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44DAFF">
      <w:pPr>
        <w:pStyle w:val="72"/>
        <w:framePr w:wrap="around" w:vAnchor="margin" w:hAnchor="text" w:y="1"/>
        <w:rPr>
          <w:rFonts w:hAnsi="黑体"/>
        </w:rPr>
      </w:pPr>
      <w:r>
        <w:rPr>
          <w:rFonts w:hAnsi="黑体"/>
        </w:rPr>
        <w:t>ICS </w:t>
      </w:r>
      <w:r>
        <w:rPr>
          <w:rFonts w:hAnsi="黑体"/>
        </w:rPr>
        <w:fldChar w:fldCharType="begin">
          <w:ffData>
            <w:name w:val="ICS"/>
            <w:enabled/>
            <w:calcOnExit w:val="0"/>
            <w:helpText w:type="text" w:val="请输入正确的ICS号："/>
            <w:textInput>
              <w:default w:val="点击此处添加ICS号"/>
            </w:textInput>
          </w:ffData>
        </w:fldChar>
      </w:r>
      <w:bookmarkStart w:id="0" w:name="ICS"/>
      <w:r>
        <w:rPr>
          <w:rFonts w:hAnsi="黑体"/>
        </w:rPr>
        <w:instrText xml:space="preserve"> FORMTEXT </w:instrText>
      </w:r>
      <w:r>
        <w:rPr>
          <w:rFonts w:hAnsi="黑体"/>
        </w:rPr>
        <w:fldChar w:fldCharType="separate"/>
      </w:r>
      <w:r>
        <w:rPr>
          <w:rFonts w:hint="eastAsia" w:hAnsi="黑体"/>
        </w:rPr>
        <w:t>点击此处添加ICS号</w:t>
      </w:r>
      <w:r>
        <w:rPr>
          <w:rFonts w:hAnsi="黑体"/>
        </w:rPr>
        <w:fldChar w:fldCharType="end"/>
      </w:r>
      <w:bookmarkEnd w:id="0"/>
    </w:p>
    <w:p w14:paraId="4EDAE706">
      <w:pPr>
        <w:pStyle w:val="72"/>
        <w:framePr w:wrap="around" w:vAnchor="margin" w:hAnchor="text" w:y="1"/>
        <w:rPr>
          <w:rFonts w:hAnsi="黑体"/>
        </w:rPr>
      </w:pPr>
      <w:r>
        <w:rPr>
          <w:rFonts w:hint="eastAsia" w:hAnsi="黑体"/>
        </w:rPr>
        <w:t>C</w:t>
      </w:r>
      <w:r>
        <w:rPr>
          <w:rFonts w:hAnsi="黑体"/>
        </w:rPr>
        <w:t xml:space="preserve">CS  </w:t>
      </w:r>
      <w:r>
        <w:rPr>
          <w:rFonts w:hAnsi="黑体"/>
        </w:rPr>
        <w:fldChar w:fldCharType="begin">
          <w:ffData>
            <w:name w:val="WXFLH"/>
            <w:enabled/>
            <w:calcOnExit w:val="0"/>
            <w:helpText w:type="text" w:val="请输入中国标准文献分类号："/>
            <w:textInput>
              <w:default w:val="点击此处添加中国标准文献分类号"/>
            </w:textInput>
          </w:ffData>
        </w:fldChar>
      </w:r>
      <w:bookmarkStart w:id="1" w:name="WXFLH"/>
      <w:r>
        <w:rPr>
          <w:rFonts w:hAnsi="黑体"/>
        </w:rPr>
        <w:instrText xml:space="preserve"> FORMTEXT </w:instrText>
      </w:r>
      <w:r>
        <w:rPr>
          <w:rFonts w:hAnsi="黑体"/>
        </w:rPr>
        <w:fldChar w:fldCharType="separate"/>
      </w:r>
      <w:r>
        <w:rPr>
          <w:rFonts w:hint="eastAsia" w:hAnsi="黑体"/>
        </w:rPr>
        <w:t>点击此处添加中国标准文献分类号</w:t>
      </w:r>
      <w:r>
        <w:rPr>
          <w:rFonts w:hAnsi="黑体"/>
        </w:rPr>
        <w:fldChar w:fldCharType="end"/>
      </w:r>
      <w:bookmarkEnd w:id="1"/>
    </w:p>
    <w:tbl>
      <w:tblPr>
        <w:tblStyle w:val="17"/>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5"/>
      </w:tblGrid>
      <w:tr w14:paraId="36232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5" w:type="dxa"/>
            <w:tcBorders>
              <w:top w:val="nil"/>
              <w:left w:val="nil"/>
              <w:bottom w:val="nil"/>
              <w:right w:val="nil"/>
            </w:tcBorders>
          </w:tcPr>
          <w:p w14:paraId="68BA5E3A">
            <w:pPr>
              <w:pStyle w:val="72"/>
              <w:framePr w:wrap="around" w:vAnchor="margin" w:hAnchor="text" w:y="1"/>
              <w:rPr>
                <w:rFonts w:ascii="宋体" w:hAnsi="黑体"/>
                <w:sz w:val="18"/>
                <w:szCs w:val="18"/>
              </w:rPr>
            </w:pPr>
          </w:p>
        </w:tc>
      </w:tr>
    </w:tbl>
    <w:p w14:paraId="5224ECB5">
      <w:pPr>
        <w:pStyle w:val="68"/>
        <w:framePr w:wrap="around"/>
      </w:pPr>
      <w:r>
        <w:t>D</w:t>
      </w:r>
      <w:r>
        <w:rPr>
          <w:spacing w:val="100"/>
        </w:rPr>
        <w:t>B</w:t>
      </w:r>
      <w:r>
        <w:fldChar w:fldCharType="begin">
          <w:ffData>
            <w:name w:val="c3"/>
            <w:enabled/>
            <w:calcOnExit w:val="0"/>
            <w:entryMacro w:val="ShowHelp16"/>
            <w:textInput/>
          </w:ffData>
        </w:fldChar>
      </w:r>
      <w:bookmarkStart w:id="2" w:name="c3"/>
      <w:r>
        <w:instrText xml:space="preserve"> FORMTEXT </w:instrText>
      </w:r>
      <w:r>
        <w:fldChar w:fldCharType="separate"/>
      </w:r>
      <w:r>
        <w:t>11</w:t>
      </w:r>
      <w:r>
        <w:fldChar w:fldCharType="end"/>
      </w:r>
      <w:bookmarkEnd w:id="2"/>
    </w:p>
    <w:p w14:paraId="6B89B311">
      <w:pPr>
        <w:pStyle w:val="69"/>
        <w:framePr w:wrap="around"/>
      </w:pPr>
      <w:r>
        <w:fldChar w:fldCharType="begin">
          <w:ffData>
            <w:name w:val="c4"/>
            <w:enabled/>
            <w:calcOnExit w:val="0"/>
            <w:entryMacro w:val="showhelp12"/>
            <w:textInput/>
          </w:ffData>
        </w:fldChar>
      </w:r>
      <w:bookmarkStart w:id="3" w:name="c4"/>
      <w:r>
        <w:instrText xml:space="preserve"> FORMTEXT </w:instrText>
      </w:r>
      <w:r>
        <w:fldChar w:fldCharType="separate"/>
      </w:r>
      <w:r>
        <w:rPr>
          <w:rFonts w:hint="eastAsia"/>
        </w:rPr>
        <w:t>北京市</w:t>
      </w:r>
      <w:r>
        <w:fldChar w:fldCharType="end"/>
      </w:r>
      <w:bookmarkEnd w:id="3"/>
      <w:r>
        <w:t>地方标准</w:t>
      </w:r>
    </w:p>
    <w:p w14:paraId="276BAAE4">
      <w:pPr>
        <w:pStyle w:val="46"/>
        <w:framePr w:wrap="around" w:vAnchor="margin" w:hAnchor="text" w:y="1"/>
        <w:rPr>
          <w:rFonts w:hAnsi="黑体"/>
        </w:rPr>
      </w:pPr>
    </w:p>
    <w:p w14:paraId="50C776E9">
      <w:pPr>
        <w:pStyle w:val="46"/>
        <w:framePr w:wrap="around" w:vAnchor="margin" w:hAnchor="text" w:y="1"/>
        <w:rPr>
          <w:rFonts w:hAnsi="黑体"/>
        </w:rPr>
      </w:pPr>
    </w:p>
    <w:p w14:paraId="5E1FF92E">
      <w:pPr>
        <w:pStyle w:val="46"/>
        <w:framePr w:wrap="around" w:vAnchor="margin" w:hAnchor="text" w:y="1"/>
        <w:rPr>
          <w:rFonts w:hAnsi="黑体"/>
        </w:rPr>
      </w:pPr>
    </w:p>
    <w:p w14:paraId="42CE0414">
      <w:pPr>
        <w:pStyle w:val="46"/>
        <w:framePr w:wrap="around" w:vAnchor="margin" w:hAnchor="text" w:y="1"/>
        <w:rPr>
          <w:rFonts w:hAnsi="黑体"/>
        </w:rPr>
      </w:pPr>
    </w:p>
    <w:p w14:paraId="5FF4DAC9">
      <w:pPr>
        <w:pStyle w:val="46"/>
        <w:framePr w:wrap="around" w:vAnchor="margin" w:hAnchor="text" w:y="1"/>
        <w:rPr>
          <w:rFonts w:hAnsi="黑体"/>
        </w:rPr>
      </w:pPr>
      <w:r>
        <w:rPr>
          <w:rFonts w:hAnsi="黑体"/>
        </w:rPr>
        <w:t xml:space="preserve">DB11/T </w:t>
      </w:r>
      <w:r>
        <w:rPr>
          <w:rFonts w:hAnsi="黑体"/>
        </w:rPr>
        <w:fldChar w:fldCharType="begin">
          <w:ffData>
            <w:name w:val="StdNo1"/>
            <w:enabled/>
            <w:calcOnExit w:val="0"/>
            <w:textInput>
              <w:default w:val="××××"/>
            </w:textInput>
          </w:ffData>
        </w:fldChar>
      </w:r>
      <w:bookmarkStart w:id="4" w:name="StdNo1"/>
      <w:r>
        <w:rPr>
          <w:rFonts w:hAnsi="黑体"/>
        </w:rPr>
        <w:instrText xml:space="preserve"> FORMTEXT </w:instrText>
      </w:r>
      <w:r>
        <w:rPr>
          <w:rFonts w:hAnsi="黑体"/>
        </w:rPr>
        <w:fldChar w:fldCharType="separate"/>
      </w:r>
      <w:r>
        <w:rPr>
          <w:rFonts w:hAnsi="黑体"/>
        </w:rPr>
        <w:t>××××</w:t>
      </w:r>
      <w:r>
        <w:rPr>
          <w:rFonts w:hAnsi="黑体"/>
        </w:rPr>
        <w:fldChar w:fldCharType="end"/>
      </w:r>
      <w:bookmarkEnd w:id="4"/>
      <w:r>
        <w:rPr>
          <w:rFonts w:hAnsi="黑体"/>
        </w:rPr>
        <w:t>—</w:t>
      </w:r>
      <w:r>
        <w:rPr>
          <w:rFonts w:hAnsi="黑体"/>
        </w:rPr>
        <w:fldChar w:fldCharType="begin">
          <w:ffData>
            <w:name w:val="StdNo2"/>
            <w:enabled/>
            <w:calcOnExit w:val="0"/>
            <w:textInput>
              <w:default w:val="××××"/>
              <w:maxLength w:val="4"/>
            </w:textInput>
          </w:ffData>
        </w:fldChar>
      </w:r>
      <w:bookmarkStart w:id="5" w:name="StdNo2"/>
      <w:r>
        <w:rPr>
          <w:rFonts w:hAnsi="黑体"/>
        </w:rPr>
        <w:instrText xml:space="preserve"> FORMTEXT </w:instrText>
      </w:r>
      <w:r>
        <w:rPr>
          <w:rFonts w:hAnsi="黑体"/>
        </w:rPr>
        <w:fldChar w:fldCharType="separate"/>
      </w:r>
      <w:r>
        <w:rPr>
          <w:rFonts w:hAnsi="黑体"/>
        </w:rPr>
        <w:t>××××</w:t>
      </w:r>
      <w:r>
        <w:rPr>
          <w:rFonts w:hAnsi="黑体"/>
        </w:rPr>
        <w:fldChar w:fldCharType="end"/>
      </w:r>
      <w:bookmarkEnd w:id="5"/>
    </w:p>
    <w:tbl>
      <w:tblPr>
        <w:tblStyle w:val="17"/>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0"/>
      </w:tblGrid>
      <w:tr w14:paraId="42CA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0" w:type="dxa"/>
            <w:tcBorders>
              <w:top w:val="nil"/>
              <w:left w:val="nil"/>
              <w:bottom w:val="nil"/>
              <w:right w:val="nil"/>
            </w:tcBorders>
          </w:tcPr>
          <w:p w14:paraId="433A458B">
            <w:pPr>
              <w:pStyle w:val="51"/>
              <w:framePr w:wrap="around" w:vAnchor="margin" w:hAnchor="text" w:y="1"/>
              <w:rPr>
                <w:rFonts w:ascii="黑体" w:hAnsi="黑体" w:eastAsia="黑体"/>
                <w:sz w:val="18"/>
                <w:szCs w:val="18"/>
              </w:rPr>
            </w:pPr>
            <w:r>
              <w:rPr>
                <w:rFonts w:hint="eastAsia" w:ascii="黑体" w:hAnsi="黑体" w:eastAsia="黑体"/>
                <w:sz w:val="18"/>
                <w:szCs w:val="18"/>
              </w:rPr>
              <mc:AlternateContent>
                <mc:Choice Requires="wps">
                  <w:drawing>
                    <wp:anchor distT="0" distB="0" distL="114300" distR="114300" simplePos="0" relativeHeight="251663360" behindDoc="1" locked="0" layoutInCell="1" allowOverlap="1">
                      <wp:simplePos x="0" y="0"/>
                      <wp:positionH relativeFrom="column">
                        <wp:posOffset>4665980</wp:posOffset>
                      </wp:positionH>
                      <wp:positionV relativeFrom="paragraph">
                        <wp:posOffset>34290</wp:posOffset>
                      </wp:positionV>
                      <wp:extent cx="1143000" cy="228600"/>
                      <wp:effectExtent l="3175" t="0" r="0" b="2540"/>
                      <wp:wrapNone/>
                      <wp:docPr id="727763474" name="矩形 77"/>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矩形 77" o:spid="_x0000_s1026" o:spt="1" style="position:absolute;left:0pt;margin-left:367.4pt;margin-top:2.7pt;height:18pt;width:90pt;z-index:-251653120;mso-width-relative:page;mso-height-relative:page;" fillcolor="#FFFFFF" filled="t" stroked="f" coordsize="21600,21600" o:gfxdata="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mHan71QAA&#10;AAgBAAAPAAAAAAAAAAEAIAAAACIAAABkcnMvZG93bnJldi54bWxQSwECFAAUAAAACACHTuJAccrl&#10;riECAAAvBAAADgAAAAAAAAABACAAAAAkAQAAZHJzL2Uyb0RvYy54bWxQSwUGAAAAAAYABgBZAQAA&#10;twUAAAAA&#10;">
                      <v:fill on="t" focussize="0,0"/>
                      <v:stroke on="f"/>
                      <v:imagedata o:title=""/>
                      <o:lock v:ext="edit" aspectratio="f"/>
                    </v:rect>
                  </w:pict>
                </mc:Fallback>
              </mc:AlternateContent>
            </w:r>
            <w:r>
              <w:rPr>
                <w:rFonts w:ascii="黑体" w:hAnsi="黑体" w:eastAsia="黑体"/>
                <w:sz w:val="18"/>
                <w:szCs w:val="18"/>
              </w:rPr>
              <w:fldChar w:fldCharType="begin">
                <w:ffData>
                  <w:name w:val="DT"/>
                  <w:enabled/>
                  <w:calcOnExit w:val="0"/>
                  <w:entryMacro w:val="ShowHelp4"/>
                  <w:textInput/>
                </w:ffData>
              </w:fldChar>
            </w:r>
            <w:bookmarkStart w:id="6" w:name="DT"/>
            <w:r>
              <w:rPr>
                <w:rFonts w:ascii="黑体" w:hAnsi="黑体" w:eastAsia="黑体"/>
                <w:sz w:val="18"/>
                <w:szCs w:val="18"/>
              </w:rPr>
              <w:instrText xml:space="preserve"> FORMTEXT </w:instrText>
            </w:r>
            <w:r>
              <w:rPr>
                <w:rFonts w:ascii="黑体" w:hAnsi="黑体" w:eastAsia="黑体"/>
                <w:sz w:val="18"/>
                <w:szCs w:val="18"/>
              </w:rPr>
              <w:fldChar w:fldCharType="separate"/>
            </w:r>
            <w:r>
              <w:rPr>
                <w:rFonts w:ascii="黑体" w:hAnsi="黑体" w:eastAsia="黑体"/>
                <w:sz w:val="18"/>
                <w:szCs w:val="18"/>
              </w:rPr>
              <w:t>     </w:t>
            </w:r>
            <w:r>
              <w:rPr>
                <w:rFonts w:ascii="黑体" w:hAnsi="黑体" w:eastAsia="黑体"/>
                <w:sz w:val="18"/>
                <w:szCs w:val="18"/>
              </w:rPr>
              <w:fldChar w:fldCharType="end"/>
            </w:r>
            <w:bookmarkEnd w:id="6"/>
          </w:p>
        </w:tc>
      </w:tr>
    </w:tbl>
    <w:p w14:paraId="6147FB56">
      <w:pPr>
        <w:pStyle w:val="46"/>
        <w:framePr w:wrap="around" w:vAnchor="margin" w:hAnchor="text" w:y="1"/>
        <w:rPr>
          <w:rFonts w:hAnsi="黑体"/>
        </w:rPr>
      </w:pPr>
    </w:p>
    <w:p w14:paraId="7637DD90">
      <w:pPr>
        <w:pStyle w:val="46"/>
        <w:framePr w:wrap="around" w:vAnchor="margin" w:hAnchor="text" w:y="1"/>
        <w:rPr>
          <w:rFonts w:hAnsi="黑体"/>
        </w:rPr>
      </w:pPr>
    </w:p>
    <w:p w14:paraId="6E48CBCE">
      <w:pPr>
        <w:pStyle w:val="52"/>
        <w:framePr w:wrap="around" w:vAnchor="margin" w:hAnchor="text" w:y="1"/>
      </w:pPr>
    </w:p>
    <w:p w14:paraId="1483C399">
      <w:pPr>
        <w:pStyle w:val="52"/>
        <w:framePr w:wrap="around" w:vAnchor="margin" w:hAnchor="text" w:y="1"/>
      </w:pPr>
      <w:r>
        <w:fldChar w:fldCharType="begin">
          <w:ffData>
            <w:name w:val="StdName"/>
            <w:enabled/>
            <w:calcOnExit w:val="0"/>
            <w:textInput>
              <w:default w:val="公路隧道灾害事故应急处置规范            （征求意见稿）"/>
            </w:textInput>
          </w:ffData>
        </w:fldChar>
      </w:r>
      <w:bookmarkStart w:id="7" w:name="StdName"/>
      <w:r>
        <w:instrText xml:space="preserve"> FORMTEXT </w:instrText>
      </w:r>
      <w:r>
        <w:fldChar w:fldCharType="separate"/>
      </w:r>
      <w:r>
        <w:rPr>
          <w:rFonts w:hint="eastAsia"/>
        </w:rPr>
        <w:t>公路隧道灾害事故应急处置规范            （征求意见稿）</w:t>
      </w:r>
      <w:r>
        <w:fldChar w:fldCharType="end"/>
      </w:r>
      <w:bookmarkEnd w:id="7"/>
    </w:p>
    <w:p w14:paraId="67858A7F">
      <w:pPr>
        <w:pStyle w:val="53"/>
        <w:framePr w:wrap="around"/>
        <w:rPr>
          <w:rFonts w:ascii="黑体" w:hAnsi="黑体"/>
        </w:rPr>
      </w:pPr>
      <w:r>
        <w:rPr>
          <w:rFonts w:hint="eastAsia" w:ascii="黑体" w:hAnsi="黑体"/>
        </w:rPr>
        <w:fldChar w:fldCharType="begin">
          <w:ffData>
            <w:name w:val="StdEnglishName"/>
            <w:enabled/>
            <w:calcOnExit w:val="0"/>
            <w:textInput>
              <w:default w:val="Emergency disposal specification for highway tunnel disaster accident"/>
            </w:textInput>
          </w:ffData>
        </w:fldChar>
      </w:r>
      <w:bookmarkStart w:id="8" w:name="StdEnglishName"/>
      <w:r>
        <w:rPr>
          <w:rFonts w:hint="eastAsia" w:ascii="黑体" w:hAnsi="黑体"/>
        </w:rPr>
        <w:instrText xml:space="preserve"> </w:instrText>
      </w:r>
      <w:r>
        <w:rPr>
          <w:rFonts w:ascii="黑体" w:hAnsi="黑体"/>
        </w:rPr>
        <w:instrText xml:space="preserve">FORMTEXT</w:instrText>
      </w:r>
      <w:r>
        <w:rPr>
          <w:rFonts w:hint="eastAsia" w:ascii="黑体" w:hAnsi="黑体"/>
        </w:rPr>
        <w:instrText xml:space="preserve"> </w:instrText>
      </w:r>
      <w:r>
        <w:rPr>
          <w:rFonts w:hint="eastAsia" w:ascii="黑体" w:hAnsi="黑体"/>
        </w:rPr>
        <w:fldChar w:fldCharType="separate"/>
      </w:r>
      <w:r>
        <w:rPr>
          <w:rFonts w:hint="eastAsia" w:ascii="黑体" w:hAnsi="黑体"/>
        </w:rPr>
        <w:t>Emergency disposal specification for highway tunnel disaster accident</w:t>
      </w:r>
      <w:r>
        <w:rPr>
          <w:rFonts w:hint="eastAsia" w:ascii="黑体" w:hAnsi="黑体"/>
        </w:rPr>
        <w:fldChar w:fldCharType="end"/>
      </w:r>
      <w:bookmarkEnd w:id="8"/>
    </w:p>
    <w:p w14:paraId="61BEBE6D">
      <w:pPr>
        <w:pStyle w:val="54"/>
        <w:framePr w:wrap="around"/>
        <w:rPr>
          <w:rFonts w:ascii="黑体" w:hAnsi="黑体" w:eastAsia="黑体"/>
        </w:rPr>
      </w:pPr>
      <w:r>
        <w:rPr>
          <w:rFonts w:ascii="黑体" w:hAnsi="黑体" w:eastAsia="黑体"/>
        </w:rPr>
        <w:fldChar w:fldCharType="begin">
          <w:ffData>
            <w:name w:val="YZBS"/>
            <w:enabled/>
            <w:calcOnExit w:val="0"/>
            <w:textInput>
              <w:default w:val="点击此处添加与国际标准一致性程度的标识"/>
            </w:textInput>
          </w:ffData>
        </w:fldChar>
      </w:r>
      <w:bookmarkStart w:id="9" w:name="YZBS"/>
      <w:r>
        <w:rPr>
          <w:rFonts w:ascii="黑体" w:hAnsi="黑体" w:eastAsia="黑体"/>
        </w:rPr>
        <w:instrText xml:space="preserve"> FORMTEXT </w:instrText>
      </w:r>
      <w:r>
        <w:rPr>
          <w:rFonts w:ascii="黑体" w:hAnsi="黑体" w:eastAsia="黑体"/>
        </w:rPr>
        <w:fldChar w:fldCharType="separate"/>
      </w:r>
      <w:r>
        <w:rPr>
          <w:rFonts w:hint="eastAsia" w:ascii="黑体" w:hAnsi="黑体" w:eastAsia="黑体"/>
        </w:rPr>
        <w:t>点击此处添加与国际标准一致性程度的标识</w:t>
      </w:r>
      <w:r>
        <w:rPr>
          <w:rFonts w:ascii="黑体" w:hAnsi="黑体" w:eastAsia="黑体"/>
        </w:rPr>
        <w:fldChar w:fldCharType="end"/>
      </w:r>
      <w:bookmarkEnd w:id="9"/>
    </w:p>
    <w:tbl>
      <w:tblPr>
        <w:tblStyle w:val="17"/>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14:paraId="533C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nil"/>
              <w:left w:val="nil"/>
              <w:bottom w:val="nil"/>
              <w:right w:val="nil"/>
            </w:tcBorders>
          </w:tcPr>
          <w:p w14:paraId="0423BB52">
            <w:pPr>
              <w:pStyle w:val="55"/>
              <w:framePr w:wrap="around"/>
            </w:pPr>
            <w:r>
              <w:rPr>
                <w:sz w:val="18"/>
                <w:szCs w:val="18"/>
              </w:rPr>
              <mc:AlternateContent>
                <mc:Choice Requires="wps">
                  <w:drawing>
                    <wp:anchor distT="0" distB="0" distL="114300" distR="114300" simplePos="0" relativeHeight="251665408" behindDoc="1" locked="1" layoutInCell="1" allowOverlap="1">
                      <wp:simplePos x="0" y="0"/>
                      <wp:positionH relativeFrom="column">
                        <wp:posOffset>2132330</wp:posOffset>
                      </wp:positionH>
                      <wp:positionV relativeFrom="paragraph">
                        <wp:posOffset>573405</wp:posOffset>
                      </wp:positionV>
                      <wp:extent cx="1905000" cy="254000"/>
                      <wp:effectExtent l="3175" t="0" r="0" b="0"/>
                      <wp:wrapNone/>
                      <wp:docPr id="127497957" name="矩形 76"/>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矩形 76" o:spid="_x0000_s1026" o:spt="1" style="position:absolute;left:0pt;margin-left:167.9pt;margin-top:45.15pt;height:20pt;width:150pt;z-index:-251651072;mso-width-relative:page;mso-height-relative:page;" fillcolor="#FFFFFF" filled="t" stroked="f" coordsize="21600,21600" o:gfxdata="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Wbo6zVAAAA&#10;CgEAAA8AAAAAAAAAAQAgAAAAIgAAAGRycy9kb3ducmV2LnhtbFBLAQIUABQAAAAIAIdO4kCYz2+D&#10;IAIAAC8EAAAOAAAAAAAAAAEAIAAAACQBAABkcnMvZTJvRG9jLnhtbFBLBQYAAAAABgAGAFkBAAC2&#10;BQAAAAA=&#10;">
                      <v:fill on="t" focussize="0,0"/>
                      <v:stroke on="f"/>
                      <v:imagedata o:title=""/>
                      <o:lock v:ext="edit" aspectratio="f"/>
                      <w10:anchorlock/>
                    </v:rect>
                  </w:pict>
                </mc:Fallback>
              </mc:AlternateContent>
            </w:r>
            <w:r>
              <w:rPr>
                <w:sz w:val="18"/>
                <w:szCs w:val="18"/>
              </w:rPr>
              <mc:AlternateContent>
                <mc:Choice Requires="wps">
                  <w:drawing>
                    <wp:anchor distT="0" distB="0" distL="114300" distR="114300" simplePos="0" relativeHeight="251664384" behindDoc="1" locked="0" layoutInCell="1" allowOverlap="1">
                      <wp:simplePos x="0" y="0"/>
                      <wp:positionH relativeFrom="column">
                        <wp:posOffset>2386330</wp:posOffset>
                      </wp:positionH>
                      <wp:positionV relativeFrom="paragraph">
                        <wp:posOffset>255905</wp:posOffset>
                      </wp:positionV>
                      <wp:extent cx="1270000" cy="304800"/>
                      <wp:effectExtent l="0" t="3810" r="0" b="0"/>
                      <wp:wrapNone/>
                      <wp:docPr id="1789136578" name="矩形 75"/>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矩形 75" o:spid="_x0000_s1026" o:spt="1" style="position:absolute;left:0pt;margin-left:187.9pt;margin-top:20.15pt;height:24pt;width:100pt;z-index:-251652096;mso-width-relative:page;mso-height-relative:page;" fillcolor="#FFFFFF" filled="t" stroked="f" coordsize="21600,21600" o:gfxdata="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yfnGDX&#10;AAAACQEAAA8AAAAAAAAAAQAgAAAAIgAAAGRycy9kb3ducmV2LnhtbFBLAQIUABQAAAAIAIdO4kBb&#10;oP8gIQIAADAEAAAOAAAAAAAAAAEAIAAAACYBAABkcnMvZTJvRG9jLnhtbFBLBQYAAAAABgAGAFkB&#10;AAC5BQAAAAA=&#10;">
                      <v:fill on="t" focussize="0,0"/>
                      <v:stroke on="f"/>
                      <v:imagedata o:title=""/>
                      <o:lock v:ext="edit" aspectratio="f"/>
                    </v:rect>
                  </w:pict>
                </mc:Fallback>
              </mc:AlternateContent>
            </w:r>
            <w:r>
              <w:rPr>
                <w:sz w:val="18"/>
                <w:szCs w:val="18"/>
              </w:rPr>
              <w:fldChar w:fldCharType="begin">
                <w:ffData>
                  <w:name w:val="LB"/>
                  <w:enabled/>
                  <w:calcOnExit w:val="0"/>
                  <w:ddList>
                    <w:listEntry w:val="文稿版次选择"/>
                    <w:listEntry w:val="（工作组讨论稿）"/>
                    <w:listEntry w:val="（征求意见稿）"/>
                    <w:listEntry w:val="（送审讨论稿）"/>
                    <w:listEntry w:val="（送审稿）"/>
                    <w:listEntry w:val="（报批稿）"/>
                  </w:ddList>
                </w:ffData>
              </w:fldChar>
            </w:r>
            <w:bookmarkStart w:id="10" w:name="LB"/>
            <w:r>
              <w:rPr>
                <w:sz w:val="18"/>
                <w:szCs w:val="18"/>
              </w:rPr>
              <w:instrText xml:space="preserve"> </w:instrText>
            </w:r>
            <w:r>
              <w:rPr>
                <w:rFonts w:hint="eastAsia"/>
                <w:sz w:val="18"/>
                <w:szCs w:val="18"/>
              </w:rPr>
              <w:instrText xml:space="preserve">FORMDROPDOWN</w:instrText>
            </w:r>
            <w:r>
              <w:rPr>
                <w:sz w:val="18"/>
                <w:szCs w:val="18"/>
              </w:rPr>
              <w:instrText xml:space="preserve"> </w:instrText>
            </w:r>
            <w:r>
              <w:rPr>
                <w:sz w:val="18"/>
                <w:szCs w:val="18"/>
              </w:rPr>
              <w:fldChar w:fldCharType="separate"/>
            </w:r>
            <w:r>
              <w:rPr>
                <w:sz w:val="18"/>
                <w:szCs w:val="18"/>
              </w:rPr>
              <w:fldChar w:fldCharType="end"/>
            </w:r>
            <w:bookmarkEnd w:id="10"/>
          </w:p>
        </w:tc>
      </w:tr>
      <w:tr w14:paraId="1960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Borders>
              <w:top w:val="nil"/>
              <w:left w:val="nil"/>
              <w:bottom w:val="nil"/>
              <w:right w:val="nil"/>
            </w:tcBorders>
          </w:tcPr>
          <w:p w14:paraId="015B57D1">
            <w:pPr>
              <w:pStyle w:val="56"/>
              <w:framePr w:wrap="around"/>
            </w:pPr>
            <w:r>
              <w:rPr>
                <w:sz w:val="18"/>
                <w:szCs w:val="18"/>
              </w:rPr>
              <w:fldChar w:fldCharType="begin">
                <w:ffData>
                  <w:name w:val="WCRQ"/>
                  <w:enabled/>
                  <w:calcOnExit w:val="0"/>
                  <w:textInput/>
                </w:ffData>
              </w:fldChar>
            </w:r>
            <w:bookmarkStart w:id="11" w:name="WCRQ"/>
            <w:r>
              <w:rPr>
                <w:sz w:val="18"/>
                <w:szCs w:val="18"/>
              </w:rPr>
              <w:instrText xml:space="preserve"> FORMTEXT </w:instrText>
            </w:r>
            <w:r>
              <w:rPr>
                <w:sz w:val="18"/>
                <w:szCs w:val="18"/>
              </w:rPr>
              <w:fldChar w:fldCharType="separate"/>
            </w:r>
            <w:r>
              <w:rPr>
                <w:sz w:val="18"/>
                <w:szCs w:val="18"/>
              </w:rPr>
              <w:t>     </w:t>
            </w:r>
            <w:r>
              <w:rPr>
                <w:sz w:val="18"/>
                <w:szCs w:val="18"/>
              </w:rPr>
              <w:fldChar w:fldCharType="end"/>
            </w:r>
            <w:bookmarkEnd w:id="11"/>
          </w:p>
        </w:tc>
      </w:tr>
    </w:tbl>
    <w:p w14:paraId="666EF049">
      <w:pPr>
        <w:pStyle w:val="74"/>
        <w:framePr w:wrap="around" w:vAnchor="margin" w:hAnchor="text" w:y="1"/>
        <w:rPr>
          <w:rFonts w:ascii="黑体" w:hAnsi="黑体"/>
        </w:rPr>
      </w:pPr>
    </w:p>
    <w:p w14:paraId="70E903F0">
      <w:pPr>
        <w:pStyle w:val="74"/>
        <w:framePr w:wrap="around" w:vAnchor="margin" w:hAnchor="text" w:y="1"/>
        <w:rPr>
          <w:rFonts w:ascii="黑体" w:hAnsi="黑体"/>
        </w:rPr>
      </w:pPr>
    </w:p>
    <w:p w14:paraId="3DBC7176">
      <w:pPr>
        <w:pStyle w:val="74"/>
        <w:framePr w:wrap="around" w:vAnchor="margin" w:hAnchor="text" w:y="1"/>
        <w:rPr>
          <w:rFonts w:ascii="黑体" w:hAnsi="黑体"/>
        </w:rPr>
      </w:pPr>
    </w:p>
    <w:p w14:paraId="4140E55C">
      <w:pPr>
        <w:pStyle w:val="74"/>
        <w:framePr w:wrap="around" w:vAnchor="margin" w:hAnchor="text" w:y="1"/>
        <w:rPr>
          <w:rFonts w:ascii="黑体" w:hAnsi="黑体"/>
        </w:rPr>
      </w:pPr>
    </w:p>
    <w:p w14:paraId="25638995">
      <w:pPr>
        <w:pStyle w:val="74"/>
        <w:framePr w:wrap="around" w:vAnchor="margin" w:hAnchor="text" w:y="1"/>
        <w:rPr>
          <w:rFonts w:ascii="黑体" w:hAnsi="黑体"/>
        </w:rPr>
      </w:pPr>
    </w:p>
    <w:p w14:paraId="4EFD2C16">
      <w:pPr>
        <w:pStyle w:val="74"/>
        <w:framePr w:wrap="around" w:vAnchor="margin" w:hAnchor="text" w:y="1"/>
        <w:rPr>
          <w:rFonts w:ascii="黑体" w:hAnsi="黑体"/>
        </w:rPr>
      </w:pPr>
    </w:p>
    <w:p w14:paraId="295A6CF4">
      <w:pPr>
        <w:pStyle w:val="74"/>
        <w:framePr w:wrap="around" w:vAnchor="margin" w:hAnchor="text" w:y="1"/>
        <w:rPr>
          <w:rFonts w:ascii="黑体" w:hAnsi="黑体"/>
        </w:rPr>
      </w:pPr>
    </w:p>
    <w:p w14:paraId="0D88CE32">
      <w:pPr>
        <w:pStyle w:val="74"/>
        <w:framePr w:wrap="around" w:vAnchor="margin" w:hAnchor="text" w:y="1"/>
        <w:rPr>
          <w:rFonts w:ascii="黑体" w:hAnsi="黑体"/>
        </w:rPr>
      </w:pPr>
      <w:r>
        <w:rPr>
          <w:rFonts w:ascii="黑体" w:hAnsi="黑体"/>
        </w:rPr>
        <w:fldChar w:fldCharType="begin">
          <w:ffData>
            <w:name w:val="FY"/>
            <w:enabled/>
            <w:calcOnExit w:val="0"/>
            <w:entryMacro w:val="ShowHelp8"/>
            <w:textInput>
              <w:default w:val="××××"/>
              <w:maxLength w:val="4"/>
            </w:textInput>
          </w:ffData>
        </w:fldChar>
      </w:r>
      <w:bookmarkStart w:id="12" w:name="FY"/>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2"/>
      <w:r>
        <w:rPr>
          <w:rFonts w:ascii="黑体" w:hAnsi="黑体"/>
        </w:rPr>
        <w:t xml:space="preserve"> - </w:t>
      </w:r>
      <w:r>
        <w:rPr>
          <w:rFonts w:ascii="黑体" w:hAnsi="黑体"/>
        </w:rPr>
        <w:fldChar w:fldCharType="begin">
          <w:ffData>
            <w:name w:val="FM"/>
            <w:enabled/>
            <w:calcOnExit w:val="0"/>
            <w:entryMacro w:val="ShowHelp8"/>
            <w:textInput>
              <w:default w:val="××"/>
              <w:maxLength w:val="2"/>
            </w:textInput>
          </w:ffData>
        </w:fldChar>
      </w:r>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r>
        <w:rPr>
          <w:rFonts w:ascii="黑体" w:hAnsi="黑体"/>
        </w:rPr>
        <w:t xml:space="preserve"> - </w:t>
      </w:r>
      <w:r>
        <w:rPr>
          <w:rFonts w:ascii="黑体" w:hAnsi="黑体"/>
        </w:rPr>
        <w:fldChar w:fldCharType="begin">
          <w:ffData>
            <w:name w:val="FD"/>
            <w:enabled/>
            <w:calcOnExit w:val="0"/>
            <w:entryMacro w:val="ShowHelp8"/>
            <w:textInput>
              <w:default w:val="××"/>
              <w:maxLength w:val="2"/>
            </w:textInput>
          </w:ffData>
        </w:fldChar>
      </w:r>
      <w:bookmarkStart w:id="13" w:name="FD"/>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3"/>
      <w:r>
        <w:rPr>
          <w:rFonts w:hint="eastAsia" w:ascii="黑体" w:hAnsi="黑体"/>
        </w:rPr>
        <w:t>发布</w:t>
      </w:r>
      <w:r>
        <w:rPr>
          <w:rFonts w:hint="eastAsia" w:ascii="黑体" w:hAnsi="黑体"/>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2339975</wp:posOffset>
                </wp:positionV>
                <wp:extent cx="6120130" cy="635"/>
                <wp:effectExtent l="13335" t="8255" r="10160" b="10160"/>
                <wp:wrapNone/>
                <wp:docPr id="608636939" name="直接连接符 74"/>
                <wp:cNvGraphicFramePr/>
                <a:graphic xmlns:a="http://schemas.openxmlformats.org/drawingml/2006/main">
                  <a:graphicData uri="http://schemas.microsoft.com/office/word/2010/wordprocessingShape">
                    <wps:wsp>
                      <wps:cNvCnPr>
                        <a:cxnSpLocks noChangeShapeType="1"/>
                      </wps:cNvCnPr>
                      <wps:spPr bwMode="auto">
                        <a:xfrm>
                          <a:off x="0" y="0"/>
                          <a:ext cx="6120130" cy="635"/>
                        </a:xfrm>
                        <a:prstGeom prst="line">
                          <a:avLst/>
                        </a:prstGeom>
                        <a:noFill/>
                        <a:ln w="9525">
                          <a:solidFill>
                            <a:srgbClr val="000000"/>
                          </a:solidFill>
                          <a:round/>
                        </a:ln>
                      </wps:spPr>
                      <wps:bodyPr/>
                    </wps:wsp>
                  </a:graphicData>
                </a:graphic>
              </wp:anchor>
            </w:drawing>
          </mc:Choice>
          <mc:Fallback>
            <w:pict>
              <v:line id="直接连接符 74" o:spid="_x0000_s1026" o:spt="20" style="position:absolute;left:0pt;margin-left:-0.05pt;margin-top:184.25pt;height:0.05pt;width:481.9pt;z-index:251660288;mso-width-relative:page;mso-height-relative:page;" filled="f" stroked="t" coordsize="21600,21600" o:gfxdata="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rx7T81wAAAAkBAAAPAAAAAAAAAAEAIAAAACIAAABkcnMvZG93bnJldi54bWxQSwECFAAUAAAA&#10;CACHTuJAlfNUVO8BAAC1AwAADgAAAAAAAAABACAAAAAmAQAAZHJzL2Uyb0RvYy54bWxQSwUGAAAA&#10;AAYABgBZAQAAhwUAAAAA&#10;">
                <v:fill on="f" focussize="0,0"/>
                <v:stroke color="#000000" joinstyle="round"/>
                <v:imagedata o:title=""/>
                <o:lock v:ext="edit" aspectratio="f"/>
              </v:line>
            </w:pict>
          </mc:Fallback>
        </mc:AlternateContent>
      </w:r>
      <w:r>
        <w:rPr>
          <w:rFonts w:hint="eastAsia" w:ascii="黑体" w:hAnsi="黑体"/>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8891905</wp:posOffset>
                </wp:positionV>
                <wp:extent cx="6120130" cy="635"/>
                <wp:effectExtent l="13335" t="6985" r="10160" b="11430"/>
                <wp:wrapNone/>
                <wp:docPr id="311789876"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130" cy="635"/>
                        </a:xfrm>
                        <a:prstGeom prst="line">
                          <a:avLst/>
                        </a:prstGeom>
                        <a:noFill/>
                        <a:ln w="9525">
                          <a:solidFill>
                            <a:srgbClr val="000000"/>
                          </a:solidFill>
                          <a:round/>
                        </a:ln>
                      </wps:spPr>
                      <wps:bodyPr/>
                    </wps:wsp>
                  </a:graphicData>
                </a:graphic>
              </wp:anchor>
            </w:drawing>
          </mc:Choice>
          <mc:Fallback>
            <w:pict>
              <v:line id="直接连接符 73" o:spid="_x0000_s1026" o:spt="20" style="position:absolute;left:0pt;margin-left:-0.05pt;margin-top:700.15pt;height:0.05pt;width:481.9pt;z-index:251659264;mso-width-relative:page;mso-height-relative:page;" filled="f" stroked="t" coordsize="21600,21600" o:gfxdata="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BOh7nXAAAACwEAAA8AAAAAAAAAAQAgAAAAIgAAAGRycy9kb3ducmV2LnhtbFBLAQIUABQAAAAI&#10;AIdO4kDRgYcg7gEAALUDAAAOAAAAAAAAAAEAIAAAACYBAABkcnMvZTJvRG9jLnhtbFBLBQYAAAAA&#10;BgAGAFkBAACGBQAAAAA=&#10;">
                <v:fill on="f" focussize="0,0"/>
                <v:stroke color="#000000" joinstyle="round"/>
                <v:imagedata o:title=""/>
                <o:lock v:ext="edit" aspectratio="f"/>
              </v:line>
            </w:pict>
          </mc:Fallback>
        </mc:AlternateContent>
      </w:r>
      <w:r>
        <w:rPr>
          <w:rFonts w:hint="eastAsia" w:ascii="黑体" w:hAnsi="黑体"/>
        </w:rPr>
        <w:t xml:space="preserve">          </w:t>
      </w:r>
      <w:r>
        <w:rPr>
          <w:rFonts w:ascii="黑体" w:hAnsi="黑体"/>
        </w:rPr>
        <w:fldChar w:fldCharType="begin">
          <w:ffData>
            <w:name w:val="SY"/>
            <w:enabled/>
            <w:calcOnExit w:val="0"/>
            <w:entryMacro w:val="ShowHelp9"/>
            <w:textInput>
              <w:default w:val="××××"/>
              <w:maxLength w:val="4"/>
            </w:textInput>
          </w:ffData>
        </w:fldChar>
      </w:r>
      <w:bookmarkStart w:id="14" w:name="SY"/>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4"/>
      <w:r>
        <w:rPr>
          <w:rFonts w:ascii="黑体" w:hAnsi="黑体"/>
        </w:rPr>
        <w:t xml:space="preserve"> - </w:t>
      </w:r>
      <w:r>
        <w:rPr>
          <w:rFonts w:ascii="黑体" w:hAnsi="黑体"/>
        </w:rPr>
        <w:fldChar w:fldCharType="begin">
          <w:ffData>
            <w:name w:val="SM"/>
            <w:enabled/>
            <w:calcOnExit w:val="0"/>
            <w:entryMacro w:val="ShowHelp9"/>
            <w:textInput>
              <w:default w:val="××"/>
              <w:maxLength w:val="2"/>
            </w:textInput>
          </w:ffData>
        </w:fldChar>
      </w:r>
      <w:bookmarkStart w:id="15" w:name="SM"/>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5"/>
      <w:r>
        <w:rPr>
          <w:rFonts w:ascii="黑体" w:hAnsi="黑体"/>
        </w:rPr>
        <w:t xml:space="preserve"> - </w:t>
      </w:r>
      <w:r>
        <w:rPr>
          <w:rFonts w:ascii="黑体" w:hAnsi="黑体"/>
        </w:rPr>
        <w:fldChar w:fldCharType="begin">
          <w:ffData>
            <w:name w:val="SD"/>
            <w:enabled/>
            <w:calcOnExit w:val="0"/>
            <w:entryMacro w:val="ShowHelp9"/>
            <w:textInput>
              <w:default w:val="××"/>
              <w:maxLength w:val="2"/>
            </w:textInput>
          </w:ffData>
        </w:fldChar>
      </w:r>
      <w:bookmarkStart w:id="16" w:name="SD"/>
      <w:r>
        <w:rPr>
          <w:rFonts w:ascii="黑体" w:hAnsi="黑体"/>
        </w:rPr>
        <w:instrText xml:space="preserve"> FORMTEXT </w:instrText>
      </w:r>
      <w:r>
        <w:rPr>
          <w:rFonts w:ascii="黑体" w:hAnsi="黑体"/>
        </w:rPr>
        <w:fldChar w:fldCharType="separate"/>
      </w:r>
      <w:r>
        <w:rPr>
          <w:rFonts w:ascii="黑体" w:hAnsi="黑体"/>
        </w:rPr>
        <w:t>××</w:t>
      </w:r>
      <w:r>
        <w:rPr>
          <w:rFonts w:ascii="黑体" w:hAnsi="黑体"/>
        </w:rPr>
        <w:fldChar w:fldCharType="end"/>
      </w:r>
      <w:bookmarkEnd w:id="16"/>
      <w:r>
        <w:rPr>
          <w:rFonts w:hint="eastAsia" w:ascii="黑体" w:hAnsi="黑体"/>
        </w:rPr>
        <w:t>实施</w:t>
      </w:r>
    </w:p>
    <w:p w14:paraId="31FB7ED5">
      <w:pPr>
        <w:pStyle w:val="70"/>
        <w:framePr w:wrap="around"/>
      </w:pPr>
      <w:r>
        <w:fldChar w:fldCharType="begin">
          <w:ffData>
            <w:name w:val="fm"/>
            <w:enabled/>
            <w:calcOnExit w:val="0"/>
            <w:textInput/>
          </w:ffData>
        </w:fldChar>
      </w:r>
      <w:bookmarkStart w:id="17" w:name="fm"/>
      <w:r>
        <w:instrText xml:space="preserve"> FORMTEXT </w:instrText>
      </w:r>
      <w:r>
        <w:fldChar w:fldCharType="separate"/>
      </w:r>
      <w:r>
        <w:rPr>
          <w:rFonts w:hint="eastAsia"/>
        </w:rPr>
        <w:t>北京市市场监督</w:t>
      </w:r>
      <w:r>
        <w:t>管理局</w:t>
      </w:r>
      <w:r>
        <w:fldChar w:fldCharType="end"/>
      </w:r>
      <w:bookmarkEnd w:id="17"/>
      <w:r>
        <w:t xml:space="preserve"> </w:t>
      </w:r>
      <w:r>
        <w:rPr>
          <w:rStyle w:val="75"/>
        </w:rPr>
        <w:t xml:space="preserve"> </w:t>
      </w:r>
      <w:r>
        <w:rPr>
          <w:rStyle w:val="75"/>
          <w:rFonts w:hint="eastAsia"/>
        </w:rPr>
        <w:t>发布</w:t>
      </w:r>
    </w:p>
    <w:p w14:paraId="299E5E68">
      <w:pPr>
        <w:pStyle w:val="27"/>
        <w:sectPr>
          <w:headerReference r:id="rId5" w:type="first"/>
          <w:footerReference r:id="rId8" w:type="first"/>
          <w:headerReference r:id="rId3" w:type="default"/>
          <w:footerReference r:id="rId6" w:type="default"/>
          <w:headerReference r:id="rId4" w:type="even"/>
          <w:footerReference r:id="rId7" w:type="even"/>
          <w:pgSz w:w="11906" w:h="16838"/>
          <w:pgMar w:top="567" w:right="1134" w:bottom="1134" w:left="1417" w:header="0" w:footer="0" w:gutter="0"/>
          <w:pgNumType w:fmt="upperRoman" w:start="1"/>
          <w:cols w:space="425" w:num="1"/>
          <w:docGrid w:type="lines" w:linePitch="312" w:charSpace="0"/>
        </w:sectPr>
      </w:pPr>
      <w:r>
        <mc:AlternateContent>
          <mc:Choice Requires="wps">
            <w:drawing>
              <wp:anchor distT="0" distB="0" distL="114300" distR="114300" simplePos="0" relativeHeight="251666432" behindDoc="1" locked="0" layoutInCell="1" allowOverlap="1">
                <wp:simplePos x="0" y="0"/>
                <wp:positionH relativeFrom="column">
                  <wp:posOffset>-66675</wp:posOffset>
                </wp:positionH>
                <wp:positionV relativeFrom="paragraph">
                  <wp:posOffset>396240</wp:posOffset>
                </wp:positionV>
                <wp:extent cx="866775" cy="198120"/>
                <wp:effectExtent l="4445" t="3810" r="0" b="0"/>
                <wp:wrapNone/>
                <wp:docPr id="1093264131" name="矩形 72"/>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矩形 72" o:spid="_x0000_s1026" o:spt="1" style="position:absolute;left:0pt;margin-left:-5.25pt;margin-top:31.2pt;height:15.6pt;width:68.25pt;z-index:-251650048;mso-width-relative:page;mso-height-relative:page;" fillcolor="#FFFFFF" filled="t" stroked="f" coordsize="21600,21600" o:gfxdata="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k&#10;GQBT1wAAAAkBAAAPAAAAAAAAAAEAIAAAACIAAABkcnMvZG93bnJldi54bWxQSwECFAAUAAAACACH&#10;TuJA2aEJsCUCAAAvBAAADgAAAAAAAAABACAAAAAmAQAAZHJzL2Uyb0RvYy54bWxQSwUGAAAAAAYA&#10;BgBZAQAAvQUAAAAA&#10;">
                <v:fill on="t" focussize="0,0"/>
                <v:stroke on="f"/>
                <v:imagedata o:title=""/>
                <o:lock v:ext="edit" aspectratio="f"/>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2339975</wp:posOffset>
                </wp:positionV>
                <wp:extent cx="6120130" cy="635"/>
                <wp:effectExtent l="13335" t="13970" r="10160" b="13970"/>
                <wp:wrapNone/>
                <wp:docPr id="1062053186" name="直接连接符 71"/>
                <wp:cNvGraphicFramePr/>
                <a:graphic xmlns:a="http://schemas.openxmlformats.org/drawingml/2006/main">
                  <a:graphicData uri="http://schemas.microsoft.com/office/word/2010/wordprocessingShape">
                    <wps:wsp>
                      <wps:cNvCnPr>
                        <a:cxnSpLocks noChangeShapeType="1"/>
                      </wps:cNvCnPr>
                      <wps:spPr bwMode="auto">
                        <a:xfrm>
                          <a:off x="0" y="0"/>
                          <a:ext cx="6120130" cy="635"/>
                        </a:xfrm>
                        <a:prstGeom prst="line">
                          <a:avLst/>
                        </a:prstGeom>
                        <a:noFill/>
                        <a:ln w="9525">
                          <a:solidFill>
                            <a:srgbClr val="000000"/>
                          </a:solidFill>
                          <a:round/>
                        </a:ln>
                      </wps:spPr>
                      <wps:bodyPr/>
                    </wps:wsp>
                  </a:graphicData>
                </a:graphic>
              </wp:anchor>
            </w:drawing>
          </mc:Choice>
          <mc:Fallback>
            <w:pict>
              <v:line id="直接连接符 71" o:spid="_x0000_s1026" o:spt="20" style="position:absolute;left:0pt;margin-left:-0.05pt;margin-top:184.25pt;height:0.05pt;width:481.9pt;z-index:251662336;mso-width-relative:page;mso-height-relative:page;" filled="f" stroked="t" coordsize="21600,21600" o:gfxdata="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vHtPzXAAAACQEAAA8AAAAAAAAAAQAgAAAAIgAAAGRycy9kb3ducmV2LnhtbFBLAQIUABQAAAAI&#10;AIdO4kAmqjeQ7gEAALYDAAAOAAAAAAAAAAEAIAAAACYBAABkcnMvZTJvRG9jLnhtbFBLBQYAAAAA&#10;BgAGAFkBAACG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8891905</wp:posOffset>
                </wp:positionV>
                <wp:extent cx="6120130" cy="635"/>
                <wp:effectExtent l="13335" t="12700" r="10160" b="5715"/>
                <wp:wrapNone/>
                <wp:docPr id="284433960" name="直接连接符 70"/>
                <wp:cNvGraphicFramePr/>
                <a:graphic xmlns:a="http://schemas.openxmlformats.org/drawingml/2006/main">
                  <a:graphicData uri="http://schemas.microsoft.com/office/word/2010/wordprocessingShape">
                    <wps:wsp>
                      <wps:cNvCnPr>
                        <a:cxnSpLocks noChangeShapeType="1"/>
                      </wps:cNvCnPr>
                      <wps:spPr bwMode="auto">
                        <a:xfrm>
                          <a:off x="0" y="0"/>
                          <a:ext cx="6120130" cy="635"/>
                        </a:xfrm>
                        <a:prstGeom prst="line">
                          <a:avLst/>
                        </a:prstGeom>
                        <a:noFill/>
                        <a:ln w="9525">
                          <a:solidFill>
                            <a:srgbClr val="000000"/>
                          </a:solidFill>
                          <a:round/>
                        </a:ln>
                      </wps:spPr>
                      <wps:bodyPr/>
                    </wps:wsp>
                  </a:graphicData>
                </a:graphic>
              </wp:anchor>
            </w:drawing>
          </mc:Choice>
          <mc:Fallback>
            <w:pict>
              <v:line id="直接连接符 70" o:spid="_x0000_s1026" o:spt="20" style="position:absolute;left:0pt;margin-left:-0.05pt;margin-top:700.15pt;height:0.05pt;width:481.9pt;z-index:251661312;mso-width-relative:page;mso-height-relative:page;" filled="f" stroked="t" coordsize="21600,21600" o:gfxdata="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QToe51wAAAAsBAAAPAAAAAAAAAAEAIAAAACIAAABkcnMvZG93bnJldi54bWxQSwECFAAUAAAA&#10;CACHTuJA9vZlx+8BAAC1AwAADgAAAAAAAAABACAAAAAmAQAAZHJzL2Uyb0RvYy54bWxQSwUGAAAA&#10;AAYABgBZAQAAhwUAAAAA&#10;">
                <v:fill on="f" focussize="0,0"/>
                <v:stroke color="#000000" joinstyle="round"/>
                <v:imagedata o:title=""/>
                <o:lock v:ext="edit" aspectratio="f"/>
              </v:line>
            </w:pict>
          </mc:Fallback>
        </mc:AlternateContent>
      </w:r>
    </w:p>
    <w:p w14:paraId="30F69BF4">
      <w:pPr>
        <w:pStyle w:val="47"/>
        <w:outlineLvl w:val="9"/>
      </w:pPr>
      <w:bookmarkStart w:id="18" w:name="_Toc212130670"/>
      <w:bookmarkStart w:id="19" w:name="_Toc212130453"/>
      <w:r>
        <w:rPr>
          <w:rFonts w:hint="eastAsia"/>
        </w:rPr>
        <w:t>目</w:t>
      </w:r>
      <w:bookmarkStart w:id="20" w:name="BKML"/>
      <w:r>
        <w:rPr>
          <w:rFonts w:hAnsi="黑体"/>
        </w:rPr>
        <w:t>  </w:t>
      </w:r>
      <w:r>
        <w:rPr>
          <w:rFonts w:hint="eastAsia"/>
        </w:rPr>
        <w:t>次</w:t>
      </w:r>
      <w:bookmarkEnd w:id="18"/>
      <w:bookmarkEnd w:id="19"/>
      <w:bookmarkEnd w:id="20"/>
    </w:p>
    <w:sdt>
      <w:sdtPr>
        <w:rPr>
          <w:lang w:val="zh-CN"/>
        </w:rPr>
        <w:id w:val="995994349"/>
        <w:docPartObj>
          <w:docPartGallery w:val="Table of Contents"/>
          <w:docPartUnique/>
        </w:docPartObj>
      </w:sdtPr>
      <w:sdtEndPr>
        <w:rPr>
          <w:rFonts w:asciiTheme="minorEastAsia" w:hAnsiTheme="minorEastAsia" w:eastAsiaTheme="minorEastAsia"/>
          <w:bCs/>
          <w:sz w:val="24"/>
          <w:szCs w:val="24"/>
          <w:lang w:val="zh-CN"/>
        </w:rPr>
      </w:sdtEndPr>
      <w:sdtContent>
        <w:p w14:paraId="57392ECB">
          <w:pPr>
            <w:pStyle w:val="12"/>
            <w:spacing w:before="60" w:after="60" w:line="360" w:lineRule="auto"/>
            <w:rPr>
              <w:rFonts w:asciiTheme="minorEastAsia" w:hAnsiTheme="minorEastAsia" w:eastAsiaTheme="minorEastAsia" w:cstheme="minorBidi"/>
              <w:szCs w:val="22"/>
            </w:rPr>
          </w:pPr>
          <w:bookmarkStart w:id="21" w:name="_Toc17878125"/>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TOC \o "1-3" \h \z \u </w:instrText>
          </w:r>
          <w:r>
            <w:rPr>
              <w:rFonts w:asciiTheme="minorEastAsia" w:hAnsiTheme="minorEastAsia" w:eastAsiaTheme="minorEastAsia"/>
              <w:sz w:val="24"/>
              <w:szCs w:val="24"/>
            </w:rPr>
            <w:fldChar w:fldCharType="separate"/>
          </w:r>
          <w:r>
            <w:fldChar w:fldCharType="begin"/>
          </w:r>
          <w:r>
            <w:instrText xml:space="preserve"> HYPERLINK \l "_Toc219106492" </w:instrText>
          </w:r>
          <w:r>
            <w:fldChar w:fldCharType="separate"/>
          </w:r>
          <w:r>
            <w:rPr>
              <w:rStyle w:val="21"/>
              <w:rFonts w:asciiTheme="minorEastAsia" w:hAnsiTheme="minorEastAsia" w:eastAsiaTheme="minorEastAsia"/>
            </w:rPr>
            <w:t>前  言</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_Toc219106492 \h </w:instrText>
          </w:r>
          <w:r>
            <w:rPr>
              <w:rFonts w:asciiTheme="minorEastAsia" w:hAnsiTheme="minorEastAsia" w:eastAsiaTheme="minorEastAsia"/>
            </w:rPr>
            <w:fldChar w:fldCharType="separate"/>
          </w:r>
          <w:r>
            <w:rPr>
              <w:rFonts w:asciiTheme="minorEastAsia" w:hAnsiTheme="minorEastAsia" w:eastAsiaTheme="minorEastAsia"/>
            </w:rPr>
            <w:t>II</w:t>
          </w:r>
          <w:r>
            <w:rPr>
              <w:rFonts w:asciiTheme="minorEastAsia" w:hAnsiTheme="minorEastAsia" w:eastAsiaTheme="minorEastAsia"/>
            </w:rPr>
            <w:fldChar w:fldCharType="end"/>
          </w:r>
          <w:r>
            <w:rPr>
              <w:rFonts w:asciiTheme="minorEastAsia" w:hAnsiTheme="minorEastAsia" w:eastAsiaTheme="minorEastAsia"/>
            </w:rPr>
            <w:fldChar w:fldCharType="end"/>
          </w:r>
        </w:p>
        <w:p w14:paraId="55F02B78">
          <w:pPr>
            <w:pStyle w:val="12"/>
            <w:spacing w:before="60" w:after="60" w:line="360" w:lineRule="auto"/>
            <w:rPr>
              <w:rFonts w:asciiTheme="minorEastAsia" w:hAnsiTheme="minorEastAsia" w:eastAsiaTheme="minorEastAsia" w:cstheme="minorBidi"/>
              <w:szCs w:val="22"/>
            </w:rPr>
          </w:pPr>
          <w:r>
            <w:fldChar w:fldCharType="begin"/>
          </w:r>
          <w:r>
            <w:instrText xml:space="preserve"> HYPERLINK \l "_Toc219106493" </w:instrText>
          </w:r>
          <w:r>
            <w:fldChar w:fldCharType="separate"/>
          </w:r>
          <w:r>
            <w:rPr>
              <w:rStyle w:val="21"/>
              <w:rFonts w:asciiTheme="minorEastAsia" w:hAnsiTheme="minorEastAsia" w:eastAsiaTheme="minorEastAsia"/>
            </w:rPr>
            <w:t>1 范围</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_Toc219106493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14:paraId="6695A252">
          <w:pPr>
            <w:pStyle w:val="12"/>
            <w:spacing w:before="60" w:after="60" w:line="360" w:lineRule="auto"/>
            <w:rPr>
              <w:rFonts w:asciiTheme="minorEastAsia" w:hAnsiTheme="minorEastAsia" w:eastAsiaTheme="minorEastAsia" w:cstheme="minorBidi"/>
              <w:szCs w:val="22"/>
            </w:rPr>
          </w:pPr>
          <w:r>
            <w:fldChar w:fldCharType="begin"/>
          </w:r>
          <w:r>
            <w:instrText xml:space="preserve"> HYPERLINK \l "_Toc219106494" </w:instrText>
          </w:r>
          <w:r>
            <w:fldChar w:fldCharType="separate"/>
          </w:r>
          <w:r>
            <w:rPr>
              <w:rStyle w:val="21"/>
              <w:rFonts w:asciiTheme="minorEastAsia" w:hAnsiTheme="minorEastAsia" w:eastAsiaTheme="minorEastAsia"/>
            </w:rPr>
            <w:t>2 规范性引用文件</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_Toc219106494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14:paraId="799CF1BA">
          <w:pPr>
            <w:pStyle w:val="12"/>
            <w:spacing w:before="60" w:after="60" w:line="360" w:lineRule="auto"/>
            <w:rPr>
              <w:rFonts w:asciiTheme="minorEastAsia" w:hAnsiTheme="minorEastAsia" w:eastAsiaTheme="minorEastAsia" w:cstheme="minorBidi"/>
              <w:szCs w:val="22"/>
            </w:rPr>
          </w:pPr>
          <w:r>
            <w:fldChar w:fldCharType="begin"/>
          </w:r>
          <w:r>
            <w:instrText xml:space="preserve"> HYPERLINK \l "_Toc219106495" </w:instrText>
          </w:r>
          <w:r>
            <w:fldChar w:fldCharType="separate"/>
          </w:r>
          <w:r>
            <w:rPr>
              <w:rStyle w:val="21"/>
              <w:rFonts w:asciiTheme="minorEastAsia" w:hAnsiTheme="minorEastAsia" w:eastAsiaTheme="minorEastAsia"/>
            </w:rPr>
            <w:t>3 术语和定义</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_Toc219106495 \h </w:instrText>
          </w:r>
          <w:r>
            <w:rPr>
              <w:rFonts w:asciiTheme="minorEastAsia" w:hAnsiTheme="minorEastAsia" w:eastAsiaTheme="minorEastAsia"/>
            </w:rPr>
            <w:fldChar w:fldCharType="separate"/>
          </w:r>
          <w:r>
            <w:rPr>
              <w:rFonts w:asciiTheme="minorEastAsia" w:hAnsiTheme="minorEastAsia" w:eastAsiaTheme="minorEastAsia"/>
            </w:rPr>
            <w:t>1</w:t>
          </w:r>
          <w:r>
            <w:rPr>
              <w:rFonts w:asciiTheme="minorEastAsia" w:hAnsiTheme="minorEastAsia" w:eastAsiaTheme="minorEastAsia"/>
            </w:rPr>
            <w:fldChar w:fldCharType="end"/>
          </w:r>
          <w:r>
            <w:rPr>
              <w:rFonts w:asciiTheme="minorEastAsia" w:hAnsiTheme="minorEastAsia" w:eastAsiaTheme="minorEastAsia"/>
            </w:rPr>
            <w:fldChar w:fldCharType="end"/>
          </w:r>
        </w:p>
        <w:p w14:paraId="7835FFBE">
          <w:pPr>
            <w:pStyle w:val="12"/>
            <w:spacing w:before="60" w:after="60" w:line="360" w:lineRule="auto"/>
            <w:rPr>
              <w:rFonts w:asciiTheme="minorEastAsia" w:hAnsiTheme="minorEastAsia" w:eastAsiaTheme="minorEastAsia" w:cstheme="minorBidi"/>
              <w:szCs w:val="22"/>
            </w:rPr>
          </w:pPr>
          <w:r>
            <w:fldChar w:fldCharType="begin"/>
          </w:r>
          <w:r>
            <w:instrText xml:space="preserve"> HYPERLINK \l "_Toc219106496" </w:instrText>
          </w:r>
          <w:r>
            <w:fldChar w:fldCharType="separate"/>
          </w:r>
          <w:r>
            <w:rPr>
              <w:rStyle w:val="21"/>
              <w:rFonts w:asciiTheme="minorEastAsia" w:hAnsiTheme="minorEastAsia" w:eastAsiaTheme="minorEastAsia"/>
            </w:rPr>
            <w:t>4 基本规定</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_Toc219106496 \h </w:instrText>
          </w:r>
          <w:r>
            <w:rPr>
              <w:rFonts w:asciiTheme="minorEastAsia" w:hAnsiTheme="minorEastAsia" w:eastAsiaTheme="minorEastAsia"/>
            </w:rPr>
            <w:fldChar w:fldCharType="separate"/>
          </w:r>
          <w:r>
            <w:rPr>
              <w:rFonts w:asciiTheme="minorEastAsia" w:hAnsiTheme="minorEastAsia" w:eastAsiaTheme="minorEastAsia"/>
            </w:rPr>
            <w:t>2</w:t>
          </w:r>
          <w:r>
            <w:rPr>
              <w:rFonts w:asciiTheme="minorEastAsia" w:hAnsiTheme="minorEastAsia" w:eastAsiaTheme="minorEastAsia"/>
            </w:rPr>
            <w:fldChar w:fldCharType="end"/>
          </w:r>
          <w:r>
            <w:rPr>
              <w:rFonts w:asciiTheme="minorEastAsia" w:hAnsiTheme="minorEastAsia" w:eastAsiaTheme="minorEastAsia"/>
            </w:rPr>
            <w:fldChar w:fldCharType="end"/>
          </w:r>
        </w:p>
        <w:p w14:paraId="15441690">
          <w:pPr>
            <w:pStyle w:val="12"/>
            <w:spacing w:before="60" w:after="60" w:line="360" w:lineRule="auto"/>
            <w:rPr>
              <w:rFonts w:asciiTheme="minorEastAsia" w:hAnsiTheme="minorEastAsia" w:eastAsiaTheme="minorEastAsia" w:cstheme="minorBidi"/>
              <w:szCs w:val="22"/>
            </w:rPr>
          </w:pPr>
          <w:r>
            <w:fldChar w:fldCharType="begin"/>
          </w:r>
          <w:r>
            <w:instrText xml:space="preserve"> HYPERLINK \l "_Toc219106497" </w:instrText>
          </w:r>
          <w:r>
            <w:fldChar w:fldCharType="separate"/>
          </w:r>
          <w:r>
            <w:rPr>
              <w:rStyle w:val="21"/>
              <w:rFonts w:asciiTheme="minorEastAsia" w:hAnsiTheme="minorEastAsia" w:eastAsiaTheme="minorEastAsia"/>
            </w:rPr>
            <w:t>5 灾害事故处置流程</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_Toc219106497 \h </w:instrText>
          </w:r>
          <w:r>
            <w:rPr>
              <w:rFonts w:asciiTheme="minorEastAsia" w:hAnsiTheme="minorEastAsia" w:eastAsiaTheme="minorEastAsia"/>
            </w:rPr>
            <w:fldChar w:fldCharType="separate"/>
          </w:r>
          <w:r>
            <w:rPr>
              <w:rFonts w:asciiTheme="minorEastAsia" w:hAnsiTheme="minorEastAsia" w:eastAsiaTheme="minorEastAsia"/>
            </w:rPr>
            <w:t>3</w:t>
          </w:r>
          <w:r>
            <w:rPr>
              <w:rFonts w:asciiTheme="minorEastAsia" w:hAnsiTheme="minorEastAsia" w:eastAsiaTheme="minorEastAsia"/>
            </w:rPr>
            <w:fldChar w:fldCharType="end"/>
          </w:r>
          <w:r>
            <w:rPr>
              <w:rFonts w:asciiTheme="minorEastAsia" w:hAnsiTheme="minorEastAsia" w:eastAsiaTheme="minorEastAsia"/>
            </w:rPr>
            <w:fldChar w:fldCharType="end"/>
          </w:r>
        </w:p>
        <w:p w14:paraId="28F32640">
          <w:pPr>
            <w:pStyle w:val="12"/>
            <w:spacing w:before="60" w:after="60" w:line="360" w:lineRule="auto"/>
            <w:rPr>
              <w:rFonts w:asciiTheme="minorEastAsia" w:hAnsiTheme="minorEastAsia" w:eastAsiaTheme="minorEastAsia" w:cstheme="minorBidi"/>
              <w:szCs w:val="22"/>
            </w:rPr>
          </w:pPr>
          <w:r>
            <w:fldChar w:fldCharType="begin"/>
          </w:r>
          <w:r>
            <w:instrText xml:space="preserve"> HYPERLINK \l "_Toc219106498" </w:instrText>
          </w:r>
          <w:r>
            <w:fldChar w:fldCharType="separate"/>
          </w:r>
          <w:r>
            <w:rPr>
              <w:rStyle w:val="21"/>
              <w:rFonts w:asciiTheme="minorEastAsia" w:hAnsiTheme="minorEastAsia" w:eastAsiaTheme="minorEastAsia"/>
            </w:rPr>
            <w:t>6 应急处置与救援</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_Toc219106498 \h </w:instrText>
          </w:r>
          <w:r>
            <w:rPr>
              <w:rFonts w:asciiTheme="minorEastAsia" w:hAnsiTheme="minorEastAsia" w:eastAsiaTheme="minorEastAsia"/>
            </w:rPr>
            <w:fldChar w:fldCharType="separate"/>
          </w:r>
          <w:r>
            <w:rPr>
              <w:rFonts w:asciiTheme="minorEastAsia" w:hAnsiTheme="minorEastAsia" w:eastAsiaTheme="minorEastAsia"/>
            </w:rPr>
            <w:t>4</w:t>
          </w:r>
          <w:r>
            <w:rPr>
              <w:rFonts w:asciiTheme="minorEastAsia" w:hAnsiTheme="minorEastAsia" w:eastAsiaTheme="minorEastAsia"/>
            </w:rPr>
            <w:fldChar w:fldCharType="end"/>
          </w:r>
          <w:r>
            <w:rPr>
              <w:rFonts w:asciiTheme="minorEastAsia" w:hAnsiTheme="minorEastAsia" w:eastAsiaTheme="minorEastAsia"/>
            </w:rPr>
            <w:fldChar w:fldCharType="end"/>
          </w:r>
        </w:p>
        <w:p w14:paraId="24243869">
          <w:pPr>
            <w:pStyle w:val="13"/>
            <w:spacing w:line="360" w:lineRule="auto"/>
            <w:rPr>
              <w:rFonts w:asciiTheme="minorEastAsia" w:hAnsiTheme="minorEastAsia" w:eastAsiaTheme="minorEastAsia" w:cstheme="minorBidi"/>
              <w:snapToGrid/>
              <w:color w:val="auto"/>
              <w:kern w:val="2"/>
              <w:szCs w:val="22"/>
              <w:lang w:eastAsia="zh-CN"/>
            </w:rPr>
          </w:pPr>
          <w:r>
            <w:fldChar w:fldCharType="begin"/>
          </w:r>
          <w:r>
            <w:instrText xml:space="preserve"> HYPERLINK \l "_Toc219106499" </w:instrText>
          </w:r>
          <w:r>
            <w:fldChar w:fldCharType="separate"/>
          </w:r>
          <w:r>
            <w:rPr>
              <w:rStyle w:val="21"/>
              <w:rFonts w:asciiTheme="minorEastAsia" w:hAnsiTheme="minorEastAsia" w:eastAsiaTheme="minorEastAsia"/>
            </w:rPr>
            <w:t xml:space="preserve">6.1 </w:t>
          </w:r>
          <w:r>
            <w:rPr>
              <w:rStyle w:val="21"/>
              <w:rFonts w:hint="eastAsia" w:cs="微软雅黑" w:asciiTheme="minorEastAsia" w:hAnsiTheme="minorEastAsia" w:eastAsiaTheme="minorEastAsia"/>
            </w:rPr>
            <w:t>灾害事故触发</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_Toc219106499 \h </w:instrText>
          </w:r>
          <w:r>
            <w:rPr>
              <w:rFonts w:asciiTheme="minorEastAsia" w:hAnsiTheme="minorEastAsia" w:eastAsiaTheme="minorEastAsia"/>
            </w:rPr>
            <w:fldChar w:fldCharType="separate"/>
          </w:r>
          <w:r>
            <w:rPr>
              <w:rFonts w:asciiTheme="minorEastAsia" w:hAnsiTheme="minorEastAsia" w:eastAsiaTheme="minorEastAsia"/>
            </w:rPr>
            <w:t>4</w:t>
          </w:r>
          <w:r>
            <w:rPr>
              <w:rFonts w:asciiTheme="minorEastAsia" w:hAnsiTheme="minorEastAsia" w:eastAsiaTheme="minorEastAsia"/>
            </w:rPr>
            <w:fldChar w:fldCharType="end"/>
          </w:r>
          <w:r>
            <w:rPr>
              <w:rFonts w:asciiTheme="minorEastAsia" w:hAnsiTheme="minorEastAsia" w:eastAsiaTheme="minorEastAsia"/>
            </w:rPr>
            <w:fldChar w:fldCharType="end"/>
          </w:r>
        </w:p>
        <w:p w14:paraId="0C08CEB1">
          <w:pPr>
            <w:pStyle w:val="13"/>
            <w:spacing w:line="360" w:lineRule="auto"/>
            <w:rPr>
              <w:rFonts w:asciiTheme="minorEastAsia" w:hAnsiTheme="minorEastAsia" w:eastAsiaTheme="minorEastAsia" w:cstheme="minorBidi"/>
              <w:snapToGrid/>
              <w:color w:val="auto"/>
              <w:kern w:val="2"/>
              <w:szCs w:val="22"/>
              <w:lang w:eastAsia="zh-CN"/>
            </w:rPr>
          </w:pPr>
          <w:r>
            <w:fldChar w:fldCharType="begin"/>
          </w:r>
          <w:r>
            <w:instrText xml:space="preserve"> HYPERLINK \l "_Toc219106500" </w:instrText>
          </w:r>
          <w:r>
            <w:fldChar w:fldCharType="separate"/>
          </w:r>
          <w:r>
            <w:rPr>
              <w:rStyle w:val="21"/>
              <w:rFonts w:asciiTheme="minorEastAsia" w:hAnsiTheme="minorEastAsia" w:eastAsiaTheme="minorEastAsia"/>
            </w:rPr>
            <w:t xml:space="preserve">6.2 </w:t>
          </w:r>
          <w:r>
            <w:rPr>
              <w:rStyle w:val="21"/>
              <w:rFonts w:hint="eastAsia" w:cs="微软雅黑" w:asciiTheme="minorEastAsia" w:hAnsiTheme="minorEastAsia" w:eastAsiaTheme="minorEastAsia"/>
            </w:rPr>
            <w:t>隧道灾害事故信息报送制度</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_Toc219106500 \h </w:instrText>
          </w:r>
          <w:r>
            <w:rPr>
              <w:rFonts w:asciiTheme="minorEastAsia" w:hAnsiTheme="minorEastAsia" w:eastAsiaTheme="minorEastAsia"/>
            </w:rPr>
            <w:fldChar w:fldCharType="separate"/>
          </w:r>
          <w:r>
            <w:rPr>
              <w:rFonts w:asciiTheme="minorEastAsia" w:hAnsiTheme="minorEastAsia" w:eastAsiaTheme="minorEastAsia"/>
            </w:rPr>
            <w:t>4</w:t>
          </w:r>
          <w:r>
            <w:rPr>
              <w:rFonts w:asciiTheme="minorEastAsia" w:hAnsiTheme="minorEastAsia" w:eastAsiaTheme="minorEastAsia"/>
            </w:rPr>
            <w:fldChar w:fldCharType="end"/>
          </w:r>
          <w:r>
            <w:rPr>
              <w:rFonts w:asciiTheme="minorEastAsia" w:hAnsiTheme="minorEastAsia" w:eastAsiaTheme="minorEastAsia"/>
            </w:rPr>
            <w:fldChar w:fldCharType="end"/>
          </w:r>
        </w:p>
        <w:p w14:paraId="19F28A96">
          <w:pPr>
            <w:pStyle w:val="13"/>
            <w:spacing w:line="360" w:lineRule="auto"/>
            <w:rPr>
              <w:rFonts w:asciiTheme="minorEastAsia" w:hAnsiTheme="minorEastAsia" w:eastAsiaTheme="minorEastAsia" w:cstheme="minorBidi"/>
              <w:snapToGrid/>
              <w:color w:val="auto"/>
              <w:kern w:val="2"/>
              <w:szCs w:val="22"/>
              <w:lang w:eastAsia="zh-CN"/>
            </w:rPr>
          </w:pPr>
          <w:r>
            <w:fldChar w:fldCharType="begin"/>
          </w:r>
          <w:r>
            <w:instrText xml:space="preserve"> HYPERLINK \l "_Toc219106501" </w:instrText>
          </w:r>
          <w:r>
            <w:fldChar w:fldCharType="separate"/>
          </w:r>
          <w:r>
            <w:rPr>
              <w:rStyle w:val="21"/>
              <w:rFonts w:asciiTheme="minorEastAsia" w:hAnsiTheme="minorEastAsia" w:eastAsiaTheme="minorEastAsia"/>
            </w:rPr>
            <w:t xml:space="preserve">6.3 </w:t>
          </w:r>
          <w:r>
            <w:rPr>
              <w:rStyle w:val="21"/>
              <w:rFonts w:hint="eastAsia" w:cs="微软雅黑" w:asciiTheme="minorEastAsia" w:hAnsiTheme="minorEastAsia" w:eastAsiaTheme="minorEastAsia"/>
            </w:rPr>
            <w:t>灾害事故初期救援与处置要求</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_Toc219106501 \h </w:instrText>
          </w:r>
          <w:r>
            <w:rPr>
              <w:rFonts w:asciiTheme="minorEastAsia" w:hAnsiTheme="minorEastAsia" w:eastAsiaTheme="minorEastAsia"/>
            </w:rPr>
            <w:fldChar w:fldCharType="separate"/>
          </w:r>
          <w:r>
            <w:rPr>
              <w:rFonts w:asciiTheme="minorEastAsia" w:hAnsiTheme="minorEastAsia" w:eastAsiaTheme="minorEastAsia"/>
            </w:rPr>
            <w:t>4</w:t>
          </w:r>
          <w:r>
            <w:rPr>
              <w:rFonts w:asciiTheme="minorEastAsia" w:hAnsiTheme="minorEastAsia" w:eastAsiaTheme="minorEastAsia"/>
            </w:rPr>
            <w:fldChar w:fldCharType="end"/>
          </w:r>
          <w:r>
            <w:rPr>
              <w:rFonts w:asciiTheme="minorEastAsia" w:hAnsiTheme="minorEastAsia" w:eastAsiaTheme="minorEastAsia"/>
            </w:rPr>
            <w:fldChar w:fldCharType="end"/>
          </w:r>
        </w:p>
        <w:p w14:paraId="2D096056">
          <w:pPr>
            <w:pStyle w:val="13"/>
            <w:spacing w:line="360" w:lineRule="auto"/>
            <w:rPr>
              <w:rFonts w:asciiTheme="minorEastAsia" w:hAnsiTheme="minorEastAsia" w:eastAsiaTheme="minorEastAsia" w:cstheme="minorBidi"/>
              <w:snapToGrid/>
              <w:color w:val="auto"/>
              <w:kern w:val="2"/>
              <w:szCs w:val="22"/>
              <w:lang w:eastAsia="zh-CN"/>
            </w:rPr>
          </w:pPr>
          <w:r>
            <w:fldChar w:fldCharType="begin"/>
          </w:r>
          <w:r>
            <w:instrText xml:space="preserve"> HYPERLINK \l "_Toc219106505" </w:instrText>
          </w:r>
          <w:r>
            <w:fldChar w:fldCharType="separate"/>
          </w:r>
          <w:r>
            <w:rPr>
              <w:rStyle w:val="21"/>
              <w:rFonts w:asciiTheme="minorEastAsia" w:hAnsiTheme="minorEastAsia" w:eastAsiaTheme="minorEastAsia"/>
            </w:rPr>
            <w:t xml:space="preserve">6.4 </w:t>
          </w:r>
          <w:r>
            <w:rPr>
              <w:rStyle w:val="21"/>
              <w:rFonts w:hint="eastAsia" w:asciiTheme="minorEastAsia" w:hAnsiTheme="minorEastAsia" w:eastAsiaTheme="minorEastAsia"/>
              <w:lang w:val="en-US" w:eastAsia="zh-CN"/>
            </w:rPr>
            <w:t>灾害事故</w:t>
          </w:r>
          <w:bookmarkStart w:id="165" w:name="_GoBack"/>
          <w:bookmarkEnd w:id="165"/>
          <w:r>
            <w:rPr>
              <w:rStyle w:val="21"/>
              <w:rFonts w:hint="eastAsia" w:cs="微软雅黑" w:asciiTheme="minorEastAsia" w:hAnsiTheme="minorEastAsia" w:eastAsiaTheme="minorEastAsia"/>
            </w:rPr>
            <w:t>场景设定</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_Toc219106505 \h </w:instrText>
          </w:r>
          <w:r>
            <w:rPr>
              <w:rFonts w:asciiTheme="minorEastAsia" w:hAnsiTheme="minorEastAsia" w:eastAsiaTheme="minorEastAsia"/>
            </w:rPr>
            <w:fldChar w:fldCharType="separate"/>
          </w:r>
          <w:r>
            <w:rPr>
              <w:rFonts w:asciiTheme="minorEastAsia" w:hAnsiTheme="minorEastAsia" w:eastAsiaTheme="minorEastAsia"/>
            </w:rPr>
            <w:t>4</w:t>
          </w:r>
          <w:r>
            <w:rPr>
              <w:rFonts w:asciiTheme="minorEastAsia" w:hAnsiTheme="minorEastAsia" w:eastAsiaTheme="minorEastAsia"/>
            </w:rPr>
            <w:fldChar w:fldCharType="end"/>
          </w:r>
          <w:r>
            <w:rPr>
              <w:rFonts w:asciiTheme="minorEastAsia" w:hAnsiTheme="minorEastAsia" w:eastAsiaTheme="minorEastAsia"/>
            </w:rPr>
            <w:fldChar w:fldCharType="end"/>
          </w:r>
        </w:p>
        <w:p w14:paraId="544D384A">
          <w:pPr>
            <w:pStyle w:val="13"/>
            <w:spacing w:line="360" w:lineRule="auto"/>
            <w:rPr>
              <w:rFonts w:asciiTheme="minorEastAsia" w:hAnsiTheme="minorEastAsia" w:eastAsiaTheme="minorEastAsia" w:cstheme="minorBidi"/>
              <w:snapToGrid/>
              <w:color w:val="auto"/>
              <w:kern w:val="2"/>
              <w:szCs w:val="22"/>
              <w:lang w:eastAsia="zh-CN"/>
            </w:rPr>
          </w:pPr>
          <w:r>
            <w:fldChar w:fldCharType="begin"/>
          </w:r>
          <w:r>
            <w:instrText xml:space="preserve"> HYPERLINK \l "_Toc219106506" </w:instrText>
          </w:r>
          <w:r>
            <w:fldChar w:fldCharType="separate"/>
          </w:r>
          <w:r>
            <w:rPr>
              <w:rStyle w:val="21"/>
              <w:rFonts w:asciiTheme="minorEastAsia" w:hAnsiTheme="minorEastAsia" w:eastAsiaTheme="minorEastAsia"/>
            </w:rPr>
            <w:t xml:space="preserve">6.5  </w:t>
          </w:r>
          <w:r>
            <w:rPr>
              <w:rStyle w:val="21"/>
              <w:rFonts w:hint="eastAsia" w:cs="微软雅黑" w:asciiTheme="minorEastAsia" w:hAnsiTheme="minorEastAsia" w:eastAsiaTheme="minorEastAsia"/>
            </w:rPr>
            <w:t>火灾工况下处置措施</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_Toc219106506 \h </w:instrText>
          </w:r>
          <w:r>
            <w:rPr>
              <w:rFonts w:asciiTheme="minorEastAsia" w:hAnsiTheme="minorEastAsia" w:eastAsiaTheme="minorEastAsia"/>
            </w:rPr>
            <w:fldChar w:fldCharType="separate"/>
          </w:r>
          <w:r>
            <w:rPr>
              <w:rFonts w:asciiTheme="minorEastAsia" w:hAnsiTheme="minorEastAsia" w:eastAsiaTheme="minorEastAsia"/>
            </w:rPr>
            <w:t>5</w:t>
          </w:r>
          <w:r>
            <w:rPr>
              <w:rFonts w:asciiTheme="minorEastAsia" w:hAnsiTheme="minorEastAsia" w:eastAsiaTheme="minorEastAsia"/>
            </w:rPr>
            <w:fldChar w:fldCharType="end"/>
          </w:r>
          <w:r>
            <w:rPr>
              <w:rFonts w:asciiTheme="minorEastAsia" w:hAnsiTheme="minorEastAsia" w:eastAsiaTheme="minorEastAsia"/>
            </w:rPr>
            <w:fldChar w:fldCharType="end"/>
          </w:r>
        </w:p>
        <w:p w14:paraId="7A6A8AE0">
          <w:pPr>
            <w:pStyle w:val="13"/>
            <w:spacing w:line="360" w:lineRule="auto"/>
            <w:rPr>
              <w:rFonts w:asciiTheme="minorEastAsia" w:hAnsiTheme="minorEastAsia" w:eastAsiaTheme="minorEastAsia" w:cstheme="minorBidi"/>
              <w:snapToGrid/>
              <w:color w:val="auto"/>
              <w:kern w:val="2"/>
              <w:szCs w:val="22"/>
              <w:lang w:eastAsia="zh-CN"/>
            </w:rPr>
          </w:pPr>
          <w:r>
            <w:fldChar w:fldCharType="begin"/>
          </w:r>
          <w:r>
            <w:instrText xml:space="preserve"> HYPERLINK \l "_Toc219106512" </w:instrText>
          </w:r>
          <w:r>
            <w:fldChar w:fldCharType="separate"/>
          </w:r>
          <w:r>
            <w:rPr>
              <w:rStyle w:val="21"/>
              <w:rFonts w:asciiTheme="minorEastAsia" w:hAnsiTheme="minorEastAsia" w:eastAsiaTheme="minorEastAsia"/>
            </w:rPr>
            <w:t xml:space="preserve">6.6  </w:t>
          </w:r>
          <w:r>
            <w:rPr>
              <w:rStyle w:val="21"/>
              <w:rFonts w:hint="eastAsia" w:cs="微软雅黑" w:asciiTheme="minorEastAsia" w:hAnsiTheme="minorEastAsia" w:eastAsiaTheme="minorEastAsia"/>
            </w:rPr>
            <w:t>交通事故处置措施</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_Toc219106512 \h </w:instrText>
          </w:r>
          <w:r>
            <w:rPr>
              <w:rFonts w:asciiTheme="minorEastAsia" w:hAnsiTheme="minorEastAsia" w:eastAsiaTheme="minorEastAsia"/>
            </w:rPr>
            <w:fldChar w:fldCharType="separate"/>
          </w:r>
          <w:r>
            <w:rPr>
              <w:rFonts w:asciiTheme="minorEastAsia" w:hAnsiTheme="minorEastAsia" w:eastAsiaTheme="minorEastAsia"/>
            </w:rPr>
            <w:t>8</w:t>
          </w:r>
          <w:r>
            <w:rPr>
              <w:rFonts w:asciiTheme="minorEastAsia" w:hAnsiTheme="minorEastAsia" w:eastAsiaTheme="minorEastAsia"/>
            </w:rPr>
            <w:fldChar w:fldCharType="end"/>
          </w:r>
          <w:r>
            <w:rPr>
              <w:rFonts w:asciiTheme="minorEastAsia" w:hAnsiTheme="minorEastAsia" w:eastAsiaTheme="minorEastAsia"/>
            </w:rPr>
            <w:fldChar w:fldCharType="end"/>
          </w:r>
        </w:p>
        <w:p w14:paraId="099E6CD5">
          <w:pPr>
            <w:pStyle w:val="13"/>
            <w:spacing w:line="360" w:lineRule="auto"/>
            <w:rPr>
              <w:rFonts w:asciiTheme="minorEastAsia" w:hAnsiTheme="minorEastAsia" w:eastAsiaTheme="minorEastAsia" w:cstheme="minorBidi"/>
              <w:snapToGrid/>
              <w:color w:val="auto"/>
              <w:kern w:val="2"/>
              <w:szCs w:val="22"/>
              <w:lang w:eastAsia="zh-CN"/>
            </w:rPr>
          </w:pPr>
          <w:r>
            <w:fldChar w:fldCharType="begin"/>
          </w:r>
          <w:r>
            <w:instrText xml:space="preserve"> HYPERLINK \l "_Toc219106517" </w:instrText>
          </w:r>
          <w:r>
            <w:fldChar w:fldCharType="separate"/>
          </w:r>
          <w:r>
            <w:rPr>
              <w:rStyle w:val="21"/>
              <w:rFonts w:asciiTheme="minorEastAsia" w:hAnsiTheme="minorEastAsia" w:eastAsiaTheme="minorEastAsia"/>
            </w:rPr>
            <w:t xml:space="preserve">6.7  </w:t>
          </w:r>
          <w:r>
            <w:rPr>
              <w:rStyle w:val="21"/>
              <w:rFonts w:hint="eastAsia" w:cs="微软雅黑" w:asciiTheme="minorEastAsia" w:hAnsiTheme="minorEastAsia" w:eastAsiaTheme="minorEastAsia"/>
            </w:rPr>
            <w:t>大雪、结冰等恶劣气象处置措施</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_Toc219106517 \h </w:instrText>
          </w:r>
          <w:r>
            <w:rPr>
              <w:rFonts w:asciiTheme="minorEastAsia" w:hAnsiTheme="minorEastAsia" w:eastAsiaTheme="minorEastAsia"/>
            </w:rPr>
            <w:fldChar w:fldCharType="separate"/>
          </w:r>
          <w:r>
            <w:rPr>
              <w:rFonts w:asciiTheme="minorEastAsia" w:hAnsiTheme="minorEastAsia" w:eastAsiaTheme="minorEastAsia"/>
            </w:rPr>
            <w:t>8</w:t>
          </w:r>
          <w:r>
            <w:rPr>
              <w:rFonts w:asciiTheme="minorEastAsia" w:hAnsiTheme="minorEastAsia" w:eastAsiaTheme="minorEastAsia"/>
            </w:rPr>
            <w:fldChar w:fldCharType="end"/>
          </w:r>
          <w:r>
            <w:rPr>
              <w:rFonts w:asciiTheme="minorEastAsia" w:hAnsiTheme="minorEastAsia" w:eastAsiaTheme="minorEastAsia"/>
            </w:rPr>
            <w:fldChar w:fldCharType="end"/>
          </w:r>
        </w:p>
        <w:p w14:paraId="3D82A690">
          <w:pPr>
            <w:pStyle w:val="13"/>
            <w:spacing w:line="360" w:lineRule="auto"/>
            <w:rPr>
              <w:rFonts w:asciiTheme="minorEastAsia" w:hAnsiTheme="minorEastAsia" w:eastAsiaTheme="minorEastAsia" w:cstheme="minorBidi"/>
              <w:snapToGrid/>
              <w:color w:val="auto"/>
              <w:kern w:val="2"/>
              <w:szCs w:val="22"/>
              <w:lang w:eastAsia="zh-CN"/>
            </w:rPr>
          </w:pPr>
          <w:r>
            <w:fldChar w:fldCharType="begin"/>
          </w:r>
          <w:r>
            <w:instrText xml:space="preserve"> HYPERLINK \l "_Toc219106522" </w:instrText>
          </w:r>
          <w:r>
            <w:fldChar w:fldCharType="separate"/>
          </w:r>
          <w:r>
            <w:rPr>
              <w:rStyle w:val="21"/>
              <w:rFonts w:asciiTheme="minorEastAsia" w:hAnsiTheme="minorEastAsia" w:eastAsiaTheme="minorEastAsia"/>
            </w:rPr>
            <w:t xml:space="preserve">6.8  </w:t>
          </w:r>
          <w:r>
            <w:rPr>
              <w:rStyle w:val="21"/>
              <w:rFonts w:hint="eastAsia" w:cs="微软雅黑" w:asciiTheme="minorEastAsia" w:hAnsiTheme="minorEastAsia" w:eastAsiaTheme="minorEastAsia"/>
            </w:rPr>
            <w:t>水淹处置措施</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_Toc219106522 \h </w:instrText>
          </w:r>
          <w:r>
            <w:rPr>
              <w:rFonts w:asciiTheme="minorEastAsia" w:hAnsiTheme="minorEastAsia" w:eastAsiaTheme="minorEastAsia"/>
            </w:rPr>
            <w:fldChar w:fldCharType="separate"/>
          </w:r>
          <w:r>
            <w:rPr>
              <w:rFonts w:asciiTheme="minorEastAsia" w:hAnsiTheme="minorEastAsia" w:eastAsiaTheme="minorEastAsia"/>
            </w:rPr>
            <w:t>9</w:t>
          </w:r>
          <w:r>
            <w:rPr>
              <w:rFonts w:asciiTheme="minorEastAsia" w:hAnsiTheme="minorEastAsia" w:eastAsiaTheme="minorEastAsia"/>
            </w:rPr>
            <w:fldChar w:fldCharType="end"/>
          </w:r>
          <w:r>
            <w:rPr>
              <w:rFonts w:asciiTheme="minorEastAsia" w:hAnsiTheme="minorEastAsia" w:eastAsiaTheme="minorEastAsia"/>
            </w:rPr>
            <w:fldChar w:fldCharType="end"/>
          </w:r>
        </w:p>
        <w:p w14:paraId="50BDBE36">
          <w:pPr>
            <w:pStyle w:val="13"/>
            <w:spacing w:line="360" w:lineRule="auto"/>
            <w:rPr>
              <w:rFonts w:asciiTheme="minorEastAsia" w:hAnsiTheme="minorEastAsia" w:eastAsiaTheme="minorEastAsia" w:cstheme="minorBidi"/>
              <w:snapToGrid/>
              <w:color w:val="auto"/>
              <w:kern w:val="2"/>
              <w:szCs w:val="22"/>
              <w:lang w:eastAsia="zh-CN"/>
            </w:rPr>
          </w:pPr>
          <w:r>
            <w:fldChar w:fldCharType="begin"/>
          </w:r>
          <w:r>
            <w:instrText xml:space="preserve"> HYPERLINK \l "_Toc219106529" </w:instrText>
          </w:r>
          <w:r>
            <w:fldChar w:fldCharType="separate"/>
          </w:r>
          <w:r>
            <w:rPr>
              <w:rStyle w:val="21"/>
              <w:rFonts w:asciiTheme="minorEastAsia" w:hAnsiTheme="minorEastAsia" w:eastAsiaTheme="minorEastAsia"/>
            </w:rPr>
            <w:t xml:space="preserve">6.9 </w:t>
          </w:r>
          <w:r>
            <w:rPr>
              <w:rStyle w:val="21"/>
              <w:rFonts w:hint="eastAsia" w:cs="微软雅黑" w:asciiTheme="minorEastAsia" w:hAnsiTheme="minorEastAsia" w:eastAsiaTheme="minorEastAsia"/>
            </w:rPr>
            <w:t>隧道主体结构损坏事故处置措施</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_Toc219106529 \h </w:instrText>
          </w:r>
          <w:r>
            <w:rPr>
              <w:rFonts w:asciiTheme="minorEastAsia" w:hAnsiTheme="minorEastAsia" w:eastAsiaTheme="minorEastAsia"/>
            </w:rPr>
            <w:fldChar w:fldCharType="separate"/>
          </w:r>
          <w:r>
            <w:rPr>
              <w:rFonts w:asciiTheme="minorEastAsia" w:hAnsiTheme="minorEastAsia" w:eastAsiaTheme="minorEastAsia"/>
            </w:rPr>
            <w:t>9</w:t>
          </w:r>
          <w:r>
            <w:rPr>
              <w:rFonts w:asciiTheme="minorEastAsia" w:hAnsiTheme="minorEastAsia" w:eastAsiaTheme="minorEastAsia"/>
            </w:rPr>
            <w:fldChar w:fldCharType="end"/>
          </w:r>
          <w:r>
            <w:rPr>
              <w:rFonts w:asciiTheme="minorEastAsia" w:hAnsiTheme="minorEastAsia" w:eastAsiaTheme="minorEastAsia"/>
            </w:rPr>
            <w:fldChar w:fldCharType="end"/>
          </w:r>
        </w:p>
        <w:p w14:paraId="1236EC6B">
          <w:pPr>
            <w:pStyle w:val="13"/>
            <w:spacing w:line="360" w:lineRule="auto"/>
            <w:rPr>
              <w:rFonts w:asciiTheme="minorEastAsia" w:hAnsiTheme="minorEastAsia" w:eastAsiaTheme="minorEastAsia" w:cstheme="minorBidi"/>
              <w:snapToGrid/>
              <w:color w:val="auto"/>
              <w:kern w:val="2"/>
              <w:szCs w:val="22"/>
              <w:lang w:eastAsia="zh-CN"/>
            </w:rPr>
          </w:pPr>
          <w:r>
            <w:fldChar w:fldCharType="begin"/>
          </w:r>
          <w:r>
            <w:instrText xml:space="preserve"> HYPERLINK \l "_Toc219106534" </w:instrText>
          </w:r>
          <w:r>
            <w:fldChar w:fldCharType="separate"/>
          </w:r>
          <w:r>
            <w:rPr>
              <w:rStyle w:val="21"/>
              <w:rFonts w:asciiTheme="minorEastAsia" w:hAnsiTheme="minorEastAsia" w:eastAsiaTheme="minorEastAsia"/>
            </w:rPr>
            <w:t xml:space="preserve">6.10 </w:t>
          </w:r>
          <w:r>
            <w:rPr>
              <w:rStyle w:val="21"/>
              <w:rFonts w:hint="eastAsia" w:cs="微软雅黑" w:asciiTheme="minorEastAsia" w:hAnsiTheme="minorEastAsia" w:eastAsiaTheme="minorEastAsia"/>
            </w:rPr>
            <w:t>机电设备故障处置措施</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_Toc219106534 \h </w:instrText>
          </w:r>
          <w:r>
            <w:rPr>
              <w:rFonts w:asciiTheme="minorEastAsia" w:hAnsiTheme="minorEastAsia" w:eastAsiaTheme="minorEastAsia"/>
            </w:rPr>
            <w:fldChar w:fldCharType="separate"/>
          </w:r>
          <w:r>
            <w:rPr>
              <w:rFonts w:asciiTheme="minorEastAsia" w:hAnsiTheme="minorEastAsia" w:eastAsiaTheme="minorEastAsia"/>
            </w:rPr>
            <w:t>9</w:t>
          </w:r>
          <w:r>
            <w:rPr>
              <w:rFonts w:asciiTheme="minorEastAsia" w:hAnsiTheme="minorEastAsia" w:eastAsiaTheme="minorEastAsia"/>
            </w:rPr>
            <w:fldChar w:fldCharType="end"/>
          </w:r>
          <w:r>
            <w:rPr>
              <w:rFonts w:asciiTheme="minorEastAsia" w:hAnsiTheme="minorEastAsia" w:eastAsiaTheme="minorEastAsia"/>
            </w:rPr>
            <w:fldChar w:fldCharType="end"/>
          </w:r>
        </w:p>
        <w:p w14:paraId="42E07FE8">
          <w:pPr>
            <w:pStyle w:val="13"/>
            <w:spacing w:line="360" w:lineRule="auto"/>
            <w:rPr>
              <w:rFonts w:asciiTheme="minorHAnsi" w:hAnsiTheme="minorHAnsi" w:eastAsiaTheme="minorEastAsia" w:cstheme="minorBidi"/>
              <w:snapToGrid/>
              <w:color w:val="auto"/>
              <w:kern w:val="2"/>
              <w:szCs w:val="22"/>
              <w:lang w:eastAsia="zh-CN"/>
            </w:rPr>
          </w:pPr>
          <w:r>
            <w:fldChar w:fldCharType="begin"/>
          </w:r>
          <w:r>
            <w:instrText xml:space="preserve"> HYPERLINK \l "_Toc219106538" </w:instrText>
          </w:r>
          <w:r>
            <w:fldChar w:fldCharType="separate"/>
          </w:r>
          <w:r>
            <w:rPr>
              <w:rStyle w:val="21"/>
              <w:rFonts w:asciiTheme="minorEastAsia" w:hAnsiTheme="minorEastAsia" w:eastAsiaTheme="minorEastAsia"/>
            </w:rPr>
            <w:t xml:space="preserve">6.11 </w:t>
          </w:r>
          <w:r>
            <w:rPr>
              <w:rStyle w:val="21"/>
              <w:rFonts w:hint="eastAsia" w:cs="微软雅黑" w:asciiTheme="minorEastAsia" w:hAnsiTheme="minorEastAsia" w:eastAsiaTheme="minorEastAsia"/>
            </w:rPr>
            <w:t>危险化学品泄漏事故处置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_Toc219106538 \h </w:instrText>
          </w:r>
          <w:r>
            <w:rPr>
              <w:rFonts w:asciiTheme="minorEastAsia" w:hAnsiTheme="minorEastAsia" w:eastAsiaTheme="minorEastAsia"/>
            </w:rPr>
            <w:fldChar w:fldCharType="separate"/>
          </w:r>
          <w:r>
            <w:rPr>
              <w:rFonts w:asciiTheme="minorEastAsia" w:hAnsiTheme="minorEastAsia" w:eastAsiaTheme="minorEastAsia"/>
            </w:rPr>
            <w:t>9</w:t>
          </w:r>
          <w:r>
            <w:rPr>
              <w:rFonts w:asciiTheme="minorEastAsia" w:hAnsiTheme="minorEastAsia" w:eastAsiaTheme="minorEastAsia"/>
            </w:rPr>
            <w:fldChar w:fldCharType="end"/>
          </w:r>
          <w:r>
            <w:rPr>
              <w:rFonts w:asciiTheme="minorEastAsia" w:hAnsiTheme="minorEastAsia" w:eastAsiaTheme="minorEastAsia"/>
            </w:rPr>
            <w:fldChar w:fldCharType="end"/>
          </w:r>
        </w:p>
        <w:p w14:paraId="54EFA7B3">
          <w:pPr>
            <w:pStyle w:val="12"/>
            <w:spacing w:before="60" w:after="60" w:line="360" w:lineRule="auto"/>
            <w:rPr>
              <w:rFonts w:asciiTheme="minorHAnsi" w:hAnsiTheme="minorHAnsi" w:eastAsiaTheme="minorEastAsia" w:cstheme="minorBidi"/>
              <w:szCs w:val="22"/>
            </w:rPr>
          </w:pPr>
          <w:r>
            <w:fldChar w:fldCharType="begin"/>
          </w:r>
          <w:r>
            <w:instrText xml:space="preserve"> HYPERLINK \l "_Toc219106545" </w:instrText>
          </w:r>
          <w:r>
            <w:fldChar w:fldCharType="separate"/>
          </w:r>
          <w:r>
            <w:rPr>
              <w:rStyle w:val="21"/>
            </w:rPr>
            <w:t>7  恢复与善后</w:t>
          </w:r>
          <w:r>
            <w:tab/>
          </w:r>
          <w:r>
            <w:fldChar w:fldCharType="begin"/>
          </w:r>
          <w:r>
            <w:instrText xml:space="preserve"> PAGEREF _Toc219106545 \h </w:instrText>
          </w:r>
          <w:r>
            <w:fldChar w:fldCharType="separate"/>
          </w:r>
          <w:r>
            <w:t>10</w:t>
          </w:r>
          <w:r>
            <w:fldChar w:fldCharType="end"/>
          </w:r>
          <w:r>
            <w:fldChar w:fldCharType="end"/>
          </w:r>
        </w:p>
        <w:p w14:paraId="612956C7">
          <w:pPr>
            <w:pStyle w:val="13"/>
            <w:spacing w:line="360" w:lineRule="auto"/>
            <w:rPr>
              <w:rFonts w:asciiTheme="minorEastAsia" w:hAnsiTheme="minorEastAsia" w:eastAsiaTheme="minorEastAsia" w:cstheme="minorBidi"/>
              <w:snapToGrid/>
              <w:color w:val="auto"/>
              <w:kern w:val="2"/>
              <w:szCs w:val="22"/>
              <w:lang w:eastAsia="zh-CN"/>
            </w:rPr>
          </w:pPr>
          <w:r>
            <w:fldChar w:fldCharType="begin"/>
          </w:r>
          <w:r>
            <w:instrText xml:space="preserve"> HYPERLINK \l "_Toc219106546" </w:instrText>
          </w:r>
          <w:r>
            <w:fldChar w:fldCharType="separate"/>
          </w:r>
          <w:r>
            <w:rPr>
              <w:rStyle w:val="21"/>
              <w:rFonts w:asciiTheme="minorEastAsia" w:hAnsiTheme="minorEastAsia" w:eastAsiaTheme="minorEastAsia"/>
            </w:rPr>
            <w:t xml:space="preserve">7.1 </w:t>
          </w:r>
          <w:r>
            <w:rPr>
              <w:rStyle w:val="21"/>
              <w:rFonts w:hint="eastAsia" w:cs="微软雅黑" w:asciiTheme="minorEastAsia" w:hAnsiTheme="minorEastAsia" w:eastAsiaTheme="minorEastAsia"/>
            </w:rPr>
            <w:t>现场恢复</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_Toc219106546 \h </w:instrText>
          </w:r>
          <w:r>
            <w:rPr>
              <w:rFonts w:asciiTheme="minorEastAsia" w:hAnsiTheme="minorEastAsia" w:eastAsiaTheme="minorEastAsia"/>
            </w:rPr>
            <w:fldChar w:fldCharType="separate"/>
          </w:r>
          <w:r>
            <w:rPr>
              <w:rFonts w:asciiTheme="minorEastAsia" w:hAnsiTheme="minorEastAsia" w:eastAsiaTheme="minorEastAsia"/>
            </w:rPr>
            <w:t>10</w:t>
          </w:r>
          <w:r>
            <w:rPr>
              <w:rFonts w:asciiTheme="minorEastAsia" w:hAnsiTheme="minorEastAsia" w:eastAsiaTheme="minorEastAsia"/>
            </w:rPr>
            <w:fldChar w:fldCharType="end"/>
          </w:r>
          <w:r>
            <w:rPr>
              <w:rFonts w:asciiTheme="minorEastAsia" w:hAnsiTheme="minorEastAsia" w:eastAsiaTheme="minorEastAsia"/>
            </w:rPr>
            <w:fldChar w:fldCharType="end"/>
          </w:r>
        </w:p>
        <w:p w14:paraId="72519ED5">
          <w:pPr>
            <w:pStyle w:val="13"/>
            <w:spacing w:line="360" w:lineRule="auto"/>
            <w:rPr>
              <w:rFonts w:asciiTheme="minorEastAsia" w:hAnsiTheme="minorEastAsia" w:eastAsiaTheme="minorEastAsia" w:cstheme="minorBidi"/>
              <w:snapToGrid/>
              <w:color w:val="auto"/>
              <w:kern w:val="2"/>
              <w:szCs w:val="22"/>
              <w:lang w:eastAsia="zh-CN"/>
            </w:rPr>
          </w:pPr>
          <w:r>
            <w:fldChar w:fldCharType="begin"/>
          </w:r>
          <w:r>
            <w:instrText xml:space="preserve"> HYPERLINK \l "_Toc219106547" </w:instrText>
          </w:r>
          <w:r>
            <w:fldChar w:fldCharType="separate"/>
          </w:r>
          <w:r>
            <w:rPr>
              <w:rStyle w:val="21"/>
              <w:rFonts w:asciiTheme="minorEastAsia" w:hAnsiTheme="minorEastAsia" w:eastAsiaTheme="minorEastAsia"/>
            </w:rPr>
            <w:t xml:space="preserve">7.2 </w:t>
          </w:r>
          <w:r>
            <w:rPr>
              <w:rStyle w:val="21"/>
              <w:rFonts w:hint="eastAsia" w:cs="微软雅黑" w:asciiTheme="minorEastAsia" w:hAnsiTheme="minorEastAsia" w:eastAsiaTheme="minorEastAsia"/>
            </w:rPr>
            <w:t>善后处置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_Toc219106547 \h </w:instrText>
          </w:r>
          <w:r>
            <w:rPr>
              <w:rFonts w:asciiTheme="minorEastAsia" w:hAnsiTheme="minorEastAsia" w:eastAsiaTheme="minorEastAsia"/>
            </w:rPr>
            <w:fldChar w:fldCharType="separate"/>
          </w:r>
          <w:r>
            <w:rPr>
              <w:rFonts w:asciiTheme="minorEastAsia" w:hAnsiTheme="minorEastAsia" w:eastAsiaTheme="minorEastAsia"/>
            </w:rPr>
            <w:t>10</w:t>
          </w:r>
          <w:r>
            <w:rPr>
              <w:rFonts w:asciiTheme="minorEastAsia" w:hAnsiTheme="minorEastAsia" w:eastAsiaTheme="minorEastAsia"/>
            </w:rPr>
            <w:fldChar w:fldCharType="end"/>
          </w:r>
          <w:r>
            <w:rPr>
              <w:rFonts w:asciiTheme="minorEastAsia" w:hAnsiTheme="minorEastAsia" w:eastAsiaTheme="minorEastAsia"/>
            </w:rPr>
            <w:fldChar w:fldCharType="end"/>
          </w:r>
        </w:p>
        <w:p w14:paraId="16D5BC82">
          <w:pPr>
            <w:pStyle w:val="12"/>
            <w:spacing w:before="60" w:after="60" w:line="360" w:lineRule="auto"/>
            <w:rPr>
              <w:rFonts w:asciiTheme="minorEastAsia" w:hAnsiTheme="minorEastAsia" w:eastAsiaTheme="minorEastAsia" w:cstheme="minorBidi"/>
              <w:szCs w:val="22"/>
            </w:rPr>
          </w:pPr>
          <w:r>
            <w:fldChar w:fldCharType="begin"/>
          </w:r>
          <w:r>
            <w:instrText xml:space="preserve"> HYPERLINK \l "_Toc219106548" </w:instrText>
          </w:r>
          <w:r>
            <w:fldChar w:fldCharType="separate"/>
          </w:r>
          <w:r>
            <w:rPr>
              <w:rStyle w:val="21"/>
              <w:rFonts w:asciiTheme="minorEastAsia" w:hAnsiTheme="minorEastAsia" w:eastAsiaTheme="minorEastAsia"/>
            </w:rPr>
            <w:t>参考文献</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_Toc219106548 \h </w:instrText>
          </w:r>
          <w:r>
            <w:rPr>
              <w:rFonts w:asciiTheme="minorEastAsia" w:hAnsiTheme="minorEastAsia" w:eastAsiaTheme="minorEastAsia"/>
            </w:rPr>
            <w:fldChar w:fldCharType="separate"/>
          </w:r>
          <w:r>
            <w:rPr>
              <w:rFonts w:asciiTheme="minorEastAsia" w:hAnsiTheme="minorEastAsia" w:eastAsiaTheme="minorEastAsia"/>
            </w:rPr>
            <w:t>11</w:t>
          </w:r>
          <w:r>
            <w:rPr>
              <w:rFonts w:asciiTheme="minorEastAsia" w:hAnsiTheme="minorEastAsia" w:eastAsiaTheme="minorEastAsia"/>
            </w:rPr>
            <w:fldChar w:fldCharType="end"/>
          </w:r>
          <w:r>
            <w:rPr>
              <w:rFonts w:asciiTheme="minorEastAsia" w:hAnsiTheme="minorEastAsia" w:eastAsiaTheme="minorEastAsia"/>
            </w:rPr>
            <w:fldChar w:fldCharType="end"/>
          </w:r>
        </w:p>
        <w:p w14:paraId="3EB9A822">
          <w:pPr>
            <w:pStyle w:val="12"/>
            <w:spacing w:before="60" w:after="60" w:line="252" w:lineRule="auto"/>
            <w:rPr>
              <w:rFonts w:asciiTheme="minorEastAsia" w:hAnsiTheme="minorEastAsia" w:eastAsiaTheme="minorEastAsia"/>
              <w:sz w:val="24"/>
              <w:szCs w:val="24"/>
            </w:rPr>
          </w:pPr>
          <w:r>
            <w:rPr>
              <w:rFonts w:asciiTheme="minorEastAsia" w:hAnsiTheme="minorEastAsia" w:eastAsiaTheme="minorEastAsia"/>
              <w:bCs/>
              <w:sz w:val="24"/>
              <w:szCs w:val="24"/>
              <w:lang w:val="zh-CN"/>
            </w:rPr>
            <w:fldChar w:fldCharType="end"/>
          </w:r>
        </w:p>
      </w:sdtContent>
    </w:sdt>
    <w:p w14:paraId="68E623B7">
      <w:pPr>
        <w:pStyle w:val="71"/>
        <w:tabs>
          <w:tab w:val="left" w:pos="1105"/>
          <w:tab w:val="center" w:pos="4677"/>
        </w:tabs>
        <w:jc w:val="left"/>
      </w:pPr>
      <w:r>
        <w:tab/>
      </w:r>
      <w:r>
        <w:tab/>
      </w:r>
      <w:bookmarkStart w:id="22" w:name="_Toc212130454"/>
      <w:bookmarkStart w:id="23" w:name="_Toc219106492"/>
      <w:bookmarkStart w:id="24" w:name="_Toc212130671"/>
      <w:r>
        <w:rPr>
          <w:rFonts w:hint="eastAsia"/>
        </w:rPr>
        <w:t>前</w:t>
      </w:r>
      <w:bookmarkStart w:id="25" w:name="BKQY"/>
      <w:r>
        <w:rPr>
          <w:rFonts w:hAnsi="黑体"/>
        </w:rPr>
        <w:t>  </w:t>
      </w:r>
      <w:r>
        <w:rPr>
          <w:rFonts w:hint="eastAsia"/>
        </w:rPr>
        <w:t>言</w:t>
      </w:r>
      <w:bookmarkEnd w:id="21"/>
      <w:bookmarkEnd w:id="22"/>
      <w:bookmarkEnd w:id="23"/>
      <w:bookmarkEnd w:id="24"/>
      <w:bookmarkEnd w:id="25"/>
    </w:p>
    <w:p w14:paraId="7CEFC123">
      <w:pPr>
        <w:pStyle w:val="27"/>
        <w:spacing w:line="360" w:lineRule="auto"/>
      </w:pPr>
      <w:r>
        <w:rPr>
          <w:rFonts w:hint="eastAsia"/>
        </w:rPr>
        <w:t>本文件按照</w:t>
      </w:r>
      <w:r>
        <w:t>GB/T 1.1—2020</w:t>
      </w:r>
      <w:r>
        <w:rPr>
          <w:rFonts w:hint="eastAsia"/>
        </w:rPr>
        <w:t>《标准化工作导则</w:t>
      </w:r>
      <w:r>
        <w:t xml:space="preserve">  </w:t>
      </w:r>
      <w:r>
        <w:rPr>
          <w:rFonts w:hint="eastAsia"/>
        </w:rPr>
        <w:t>第</w:t>
      </w:r>
      <w:r>
        <w:t>1</w:t>
      </w:r>
      <w:r>
        <w:rPr>
          <w:rFonts w:hint="eastAsia"/>
        </w:rPr>
        <w:t>部分：标准化文件的结构和起草规则》的规定起草。</w:t>
      </w:r>
    </w:p>
    <w:p w14:paraId="41ACDA1A">
      <w:pPr>
        <w:pStyle w:val="27"/>
        <w:spacing w:line="360" w:lineRule="auto"/>
      </w:pPr>
      <w:r>
        <w:rPr>
          <w:rFonts w:hint="eastAsia"/>
        </w:rPr>
        <w:t>请注意本文件的某些内容可能涉及专利。本文件的发布机构不承担识别专利的责任。</w:t>
      </w:r>
    </w:p>
    <w:p w14:paraId="5089A0F6">
      <w:pPr>
        <w:pStyle w:val="27"/>
        <w:spacing w:line="360" w:lineRule="auto"/>
      </w:pPr>
      <w:r>
        <w:rPr>
          <w:rFonts w:hint="eastAsia"/>
        </w:rPr>
        <w:t>本文件由北京市交通委员会提出并归口。</w:t>
      </w:r>
    </w:p>
    <w:p w14:paraId="643FC9F9">
      <w:pPr>
        <w:pStyle w:val="27"/>
        <w:spacing w:line="360" w:lineRule="auto"/>
      </w:pPr>
      <w:r>
        <w:rPr>
          <w:rFonts w:hint="eastAsia"/>
        </w:rPr>
        <w:t>本文件由北京市交通委员会组织实施。</w:t>
      </w:r>
    </w:p>
    <w:p w14:paraId="086B2649">
      <w:pPr>
        <w:pStyle w:val="27"/>
        <w:spacing w:line="360" w:lineRule="auto"/>
        <w:rPr>
          <w:rFonts w:hAnsi="宋体"/>
        </w:rPr>
      </w:pPr>
      <w:r>
        <w:rPr>
          <w:rFonts w:hint="eastAsia"/>
        </w:rPr>
        <w:t>本文件起草单位：北京交科公路勘察设计研究院有限公司，</w:t>
      </w:r>
      <w:r>
        <w:rPr>
          <w:rFonts w:hint="eastAsia" w:hAnsi="宋体"/>
        </w:rPr>
        <w:t>北京市市政工程设计研究总院有限公司、</w:t>
      </w:r>
      <w:r>
        <w:rPr>
          <w:rFonts w:hint="eastAsia"/>
        </w:rPr>
        <w:t>清华大学</w:t>
      </w:r>
      <w:r>
        <w:rPr>
          <w:rFonts w:hint="eastAsia" w:hAnsi="宋体"/>
        </w:rPr>
        <w:t>、中国矿业大学（北京）</w:t>
      </w:r>
    </w:p>
    <w:p w14:paraId="1F1AE0FC">
      <w:pPr>
        <w:pStyle w:val="27"/>
        <w:spacing w:line="360" w:lineRule="auto"/>
      </w:pPr>
      <w:r>
        <w:rPr>
          <w:rFonts w:hint="eastAsia"/>
        </w:rPr>
        <w:t>本文件主要起草人：</w:t>
      </w:r>
      <w:r>
        <w:t xml:space="preserve"> </w:t>
      </w:r>
    </w:p>
    <w:p w14:paraId="42296532">
      <w:pPr>
        <w:kinsoku/>
        <w:autoSpaceDE/>
        <w:autoSpaceDN/>
        <w:adjustRightInd/>
        <w:snapToGrid/>
        <w:textAlignment w:val="auto"/>
        <w:rPr>
          <w:lang w:eastAsia="zh-CN"/>
        </w:rPr>
        <w:sectPr>
          <w:footerReference r:id="rId9" w:type="default"/>
          <w:pgSz w:w="11906" w:h="16839"/>
          <w:pgMar w:top="1431" w:right="1785" w:bottom="1201" w:left="1785" w:header="0" w:footer="1011" w:gutter="0"/>
          <w:pgNumType w:fmt="upperRoman" w:start="1"/>
          <w:cols w:space="720" w:num="1"/>
        </w:sectPr>
      </w:pPr>
      <w:r>
        <w:rPr>
          <w:lang w:eastAsia="zh-CN"/>
        </w:rPr>
        <w:br w:type="page"/>
      </w:r>
    </w:p>
    <w:p w14:paraId="18314FEA">
      <w:pPr>
        <w:pStyle w:val="71"/>
        <w:tabs>
          <w:tab w:val="left" w:pos="653"/>
          <w:tab w:val="center" w:pos="4677"/>
        </w:tabs>
        <w:jc w:val="left"/>
        <w:outlineLvl w:val="9"/>
      </w:pPr>
      <w:bookmarkStart w:id="26" w:name="_Toc17878126"/>
      <w:r>
        <w:tab/>
      </w:r>
      <w:r>
        <w:tab/>
      </w:r>
      <w:bookmarkEnd w:id="26"/>
      <w:bookmarkStart w:id="27" w:name="bookmark23"/>
      <w:bookmarkEnd w:id="27"/>
      <w:bookmarkStart w:id="28" w:name="bookmark4"/>
      <w:bookmarkEnd w:id="28"/>
      <w:bookmarkStart w:id="29" w:name="_Toc212130672"/>
      <w:bookmarkStart w:id="30" w:name="_Toc212130455"/>
      <w:r>
        <w:rPr>
          <w:rFonts w:hint="eastAsia"/>
        </w:rPr>
        <w:t>公路隧道灾害事故应急处置规范</w:t>
      </w:r>
      <w:bookmarkEnd w:id="29"/>
      <w:bookmarkEnd w:id="30"/>
      <w:bookmarkStart w:id="31" w:name="StandardName"/>
      <w:bookmarkEnd w:id="31"/>
    </w:p>
    <w:p w14:paraId="11ADCC6A">
      <w:pPr>
        <w:pStyle w:val="29"/>
        <w:spacing w:before="240" w:after="240"/>
        <w:outlineLvl w:val="0"/>
      </w:pPr>
      <w:bookmarkStart w:id="32" w:name="_Toc219106493"/>
      <w:bookmarkStart w:id="33" w:name="_Toc17878127"/>
      <w:r>
        <w:rPr>
          <w:rFonts w:hint="eastAsia"/>
        </w:rPr>
        <w:t>1 范围</w:t>
      </w:r>
      <w:bookmarkEnd w:id="32"/>
      <w:bookmarkEnd w:id="33"/>
    </w:p>
    <w:p w14:paraId="125DB83A">
      <w:pPr>
        <w:pStyle w:val="27"/>
        <w:spacing w:line="360" w:lineRule="auto"/>
      </w:pPr>
      <w:r>
        <w:rPr>
          <w:rFonts w:hint="eastAsia"/>
        </w:rPr>
        <w:t>本文件规定了公路隧道运营单位在运营管理过程中，面对公路隧道灾害事故，进行应急处置的基本要求。</w:t>
      </w:r>
    </w:p>
    <w:p w14:paraId="1DFE0709">
      <w:pPr>
        <w:pStyle w:val="29"/>
        <w:spacing w:before="240" w:after="240"/>
        <w:outlineLvl w:val="0"/>
      </w:pPr>
      <w:bookmarkStart w:id="34" w:name="_Toc219106494"/>
      <w:bookmarkStart w:id="35" w:name="_Toc17878128"/>
      <w:r>
        <w:rPr>
          <w:rFonts w:hint="eastAsia"/>
        </w:rPr>
        <w:t>2 规范性引用文件</w:t>
      </w:r>
      <w:bookmarkEnd w:id="34"/>
      <w:bookmarkEnd w:id="35"/>
    </w:p>
    <w:p w14:paraId="133E0928">
      <w:pPr>
        <w:pStyle w:val="27"/>
        <w:spacing w:line="360" w:lineRule="auto"/>
      </w:pPr>
      <w:r>
        <w:rPr>
          <w:rFonts w:hint="eastAsia"/>
        </w:rPr>
        <w:t>GB/T 29639</w:t>
      </w:r>
      <w:r>
        <w:t>-2020</w:t>
      </w:r>
      <w:r>
        <w:rPr>
          <w:rFonts w:hint="eastAsia"/>
        </w:rPr>
        <w:t xml:space="preserve">  生产经营单位生产安全事故应急预案编制导则</w:t>
      </w:r>
    </w:p>
    <w:p w14:paraId="1BD9127F">
      <w:pPr>
        <w:pStyle w:val="27"/>
        <w:spacing w:line="360" w:lineRule="auto"/>
      </w:pPr>
      <w:r>
        <w:rPr>
          <w:rFonts w:hint="eastAsia"/>
        </w:rPr>
        <w:t>AQ/T 9007</w:t>
      </w:r>
      <w:r>
        <w:t>-2019</w:t>
      </w:r>
      <w:r>
        <w:rPr>
          <w:rFonts w:hint="eastAsia"/>
        </w:rPr>
        <w:t xml:space="preserve">  生产安全事故应急演练基本文件</w:t>
      </w:r>
    </w:p>
    <w:p w14:paraId="72218CE6">
      <w:pPr>
        <w:pStyle w:val="27"/>
        <w:spacing w:line="360" w:lineRule="auto"/>
      </w:pPr>
      <w:r>
        <w:rPr>
          <w:rFonts w:hint="eastAsia"/>
        </w:rPr>
        <w:t>JTG B01</w:t>
      </w:r>
      <w:r>
        <w:t>-2014</w:t>
      </w:r>
      <w:r>
        <w:rPr>
          <w:rFonts w:hint="eastAsia"/>
        </w:rPr>
        <w:t xml:space="preserve">  公路工程技术标准</w:t>
      </w:r>
    </w:p>
    <w:p w14:paraId="4709A8A2">
      <w:pPr>
        <w:pStyle w:val="27"/>
        <w:spacing w:line="360" w:lineRule="auto"/>
      </w:pPr>
      <w:r>
        <w:rPr>
          <w:rFonts w:hint="eastAsia"/>
        </w:rPr>
        <w:t>J</w:t>
      </w:r>
      <w:r>
        <w:t xml:space="preserve">TG/T D70/2-02-2014 </w:t>
      </w:r>
      <w:r>
        <w:rPr>
          <w:rFonts w:hint="eastAsia"/>
        </w:rPr>
        <w:t>公路隧道通风设计细则</w:t>
      </w:r>
    </w:p>
    <w:p w14:paraId="1C70309C">
      <w:pPr>
        <w:pStyle w:val="27"/>
        <w:spacing w:line="360" w:lineRule="auto"/>
      </w:pPr>
      <w:bookmarkStart w:id="36" w:name="OLE_LINK2"/>
      <w:bookmarkStart w:id="37" w:name="OLE_LINK1"/>
      <w:r>
        <w:rPr>
          <w:rFonts w:hint="eastAsia"/>
        </w:rPr>
        <w:t>J</w:t>
      </w:r>
      <w:r>
        <w:t xml:space="preserve">TG/T D70/2-01-2014 </w:t>
      </w:r>
      <w:r>
        <w:rPr>
          <w:rFonts w:hint="eastAsia"/>
        </w:rPr>
        <w:t>公路隧道照明设计细则</w:t>
      </w:r>
    </w:p>
    <w:bookmarkEnd w:id="36"/>
    <w:bookmarkEnd w:id="37"/>
    <w:p w14:paraId="43E1D0A7">
      <w:pPr>
        <w:pStyle w:val="27"/>
        <w:spacing w:line="360" w:lineRule="auto"/>
      </w:pPr>
      <w:r>
        <w:rPr>
          <w:rFonts w:hint="eastAsia"/>
        </w:rPr>
        <w:t>J</w:t>
      </w:r>
      <w:r>
        <w:t xml:space="preserve">TG/T D70/2-2014 </w:t>
      </w:r>
      <w:r>
        <w:rPr>
          <w:rFonts w:hint="eastAsia"/>
        </w:rPr>
        <w:t>公路隧道设计规范 第二册交通工程与附属设施</w:t>
      </w:r>
    </w:p>
    <w:p w14:paraId="6BC76AF2">
      <w:pPr>
        <w:pStyle w:val="27"/>
        <w:spacing w:line="360" w:lineRule="auto"/>
      </w:pPr>
      <w:r>
        <w:t>T/CECS G:Q11-01-2024</w:t>
      </w:r>
      <w:r>
        <w:rPr>
          <w:rFonts w:hint="eastAsia"/>
        </w:rPr>
        <w:t xml:space="preserve"> 公路隧道运营管理技术规程</w:t>
      </w:r>
    </w:p>
    <w:p w14:paraId="078C372B">
      <w:pPr>
        <w:pStyle w:val="27"/>
        <w:spacing w:line="360" w:lineRule="auto"/>
      </w:pPr>
      <w:r>
        <w:rPr>
          <w:rFonts w:hint="eastAsia"/>
        </w:rPr>
        <w:t>CJJ 221-2015  城市地下道路工程设计规范</w:t>
      </w:r>
    </w:p>
    <w:p w14:paraId="6CE60280">
      <w:pPr>
        <w:pStyle w:val="27"/>
      </w:pPr>
    </w:p>
    <w:p w14:paraId="2E9ED752">
      <w:pPr>
        <w:pStyle w:val="29"/>
        <w:spacing w:before="240" w:after="240"/>
        <w:outlineLvl w:val="0"/>
      </w:pPr>
      <w:bookmarkStart w:id="38" w:name="_Toc17878129"/>
      <w:bookmarkEnd w:id="38"/>
      <w:bookmarkStart w:id="39" w:name="_Toc219106495"/>
      <w:r>
        <w:rPr>
          <w:rFonts w:hint="eastAsia"/>
        </w:rPr>
        <w:t>3 术语</w:t>
      </w:r>
      <w:r>
        <w:t>和定义</w:t>
      </w:r>
      <w:bookmarkEnd w:id="39"/>
    </w:p>
    <w:p w14:paraId="338E11BF">
      <w:pPr>
        <w:pStyle w:val="27"/>
      </w:pPr>
      <w:r>
        <w:rPr>
          <w:rFonts w:hint="eastAsia"/>
        </w:rPr>
        <w:t>下列</w:t>
      </w:r>
      <w:r>
        <w:t>术语和定义适用于本文件。</w:t>
      </w:r>
    </w:p>
    <w:p w14:paraId="058DF609">
      <w:pPr>
        <w:pStyle w:val="37"/>
        <w:spacing w:before="120" w:beforeLines="50" w:after="120" w:afterLines="50"/>
        <w:rPr>
          <w:rFonts w:ascii="黑体" w:hAnsi="黑体" w:eastAsia="黑体"/>
        </w:rPr>
      </w:pPr>
      <w:r>
        <w:rPr>
          <w:rFonts w:hint="eastAsia" w:ascii="黑体" w:hAnsi="黑体" w:eastAsia="黑体"/>
        </w:rPr>
        <w:t>3.1</w:t>
      </w:r>
    </w:p>
    <w:p w14:paraId="16C3A965">
      <w:pPr>
        <w:pStyle w:val="38"/>
        <w:spacing w:line="360" w:lineRule="auto"/>
        <w:ind w:firstLine="420"/>
        <w:rPr>
          <w:rFonts w:ascii="黑体" w:eastAsia="黑体"/>
          <w:szCs w:val="21"/>
        </w:rPr>
      </w:pPr>
      <w:r>
        <w:rPr>
          <w:rFonts w:hint="eastAsia" w:ascii="黑体" w:eastAsia="黑体"/>
          <w:szCs w:val="21"/>
        </w:rPr>
        <w:t xml:space="preserve">公路隧道运营单位 </w:t>
      </w:r>
      <w:r>
        <w:rPr>
          <w:rFonts w:ascii="黑体" w:eastAsia="黑体"/>
          <w:szCs w:val="21"/>
        </w:rPr>
        <w:t>operation organization of highway tunnel</w:t>
      </w:r>
    </w:p>
    <w:p w14:paraId="16C9C074">
      <w:pPr>
        <w:pStyle w:val="27"/>
        <w:spacing w:line="360" w:lineRule="auto"/>
      </w:pPr>
      <w:r>
        <w:rPr>
          <w:rFonts w:hint="eastAsia"/>
        </w:rPr>
        <w:t>直接从事公路隧道运营活动的生产运营单位。</w:t>
      </w:r>
    </w:p>
    <w:p w14:paraId="7E6FFFD9">
      <w:pPr>
        <w:pStyle w:val="37"/>
        <w:spacing w:before="120" w:beforeLines="50" w:after="120" w:afterLines="50"/>
        <w:rPr>
          <w:rFonts w:ascii="黑体" w:hAnsi="黑体" w:eastAsia="黑体"/>
        </w:rPr>
      </w:pPr>
      <w:r>
        <w:rPr>
          <w:rFonts w:hint="eastAsia" w:ascii="黑体" w:hAnsi="黑体" w:eastAsia="黑体"/>
        </w:rPr>
        <w:t>3.</w:t>
      </w:r>
      <w:r>
        <w:rPr>
          <w:rFonts w:ascii="黑体" w:hAnsi="黑体" w:eastAsia="黑体"/>
        </w:rPr>
        <w:t>2</w:t>
      </w:r>
    </w:p>
    <w:p w14:paraId="63D6E0F3">
      <w:pPr>
        <w:pStyle w:val="27"/>
        <w:spacing w:line="360" w:lineRule="auto"/>
        <w:rPr>
          <w:rFonts w:ascii="黑体" w:eastAsia="黑体"/>
          <w:szCs w:val="21"/>
        </w:rPr>
      </w:pPr>
      <w:r>
        <w:rPr>
          <w:rFonts w:hint="eastAsia" w:ascii="黑体" w:eastAsia="黑体"/>
          <w:szCs w:val="21"/>
        </w:rPr>
        <w:t xml:space="preserve">公路隧道灾害事故 </w:t>
      </w:r>
      <w:r>
        <w:rPr>
          <w:rFonts w:ascii="黑体" w:eastAsia="黑体"/>
          <w:szCs w:val="21"/>
        </w:rPr>
        <w:t>road tunnel disaster accident</w:t>
      </w:r>
    </w:p>
    <w:p w14:paraId="1815D7CB">
      <w:pPr>
        <w:pStyle w:val="27"/>
        <w:spacing w:line="360" w:lineRule="auto"/>
      </w:pPr>
      <w:r>
        <w:rPr>
          <w:rFonts w:hint="eastAsia"/>
        </w:rPr>
        <w:t>公路隧道运营过程中突然发生，造成或可能造成交通阻断、人员伤亡、财产损失、环境污染的自然灾害和事故灾难：</w:t>
      </w:r>
    </w:p>
    <w:p w14:paraId="6F976439">
      <w:pPr>
        <w:pStyle w:val="43"/>
        <w:tabs>
          <w:tab w:val="left" w:pos="851"/>
        </w:tabs>
        <w:spacing w:line="360" w:lineRule="auto"/>
        <w:ind w:left="794" w:hanging="340"/>
      </w:pPr>
      <w:r>
        <w:rPr>
          <w:rFonts w:hint="eastAsia"/>
        </w:rPr>
        <w:t>（1）自然灾害。主要包括</w:t>
      </w:r>
      <w:r>
        <w:t>洪涝</w:t>
      </w:r>
      <w:r>
        <w:rPr>
          <w:rFonts w:hint="eastAsia"/>
        </w:rPr>
        <w:t>灾害、地质灾害等。</w:t>
      </w:r>
    </w:p>
    <w:p w14:paraId="78CFFC3B">
      <w:pPr>
        <w:pStyle w:val="43"/>
        <w:tabs>
          <w:tab w:val="left" w:pos="851"/>
        </w:tabs>
        <w:spacing w:line="360" w:lineRule="auto"/>
        <w:ind w:firstLine="420" w:firstLineChars="200"/>
      </w:pPr>
      <w:r>
        <w:rPr>
          <w:rFonts w:hint="eastAsia"/>
        </w:rPr>
        <w:t>（2）事故灾难。主要包括隧道运营中发生的各类生产安全事故、火灾事故、道路交通事故、危险化学品泄露事故、机电设备故障等。</w:t>
      </w:r>
    </w:p>
    <w:p w14:paraId="18BBCF74">
      <w:pPr>
        <w:pStyle w:val="37"/>
        <w:spacing w:before="120" w:beforeLines="50" w:after="120" w:afterLines="50"/>
        <w:rPr>
          <w:rFonts w:ascii="黑体" w:hAnsi="黑体" w:eastAsia="黑体"/>
        </w:rPr>
      </w:pPr>
      <w:r>
        <w:rPr>
          <w:rFonts w:hint="eastAsia" w:ascii="黑体" w:hAnsi="黑体" w:eastAsia="黑体"/>
        </w:rPr>
        <w:t>3.</w:t>
      </w:r>
      <w:r>
        <w:rPr>
          <w:rFonts w:ascii="黑体" w:hAnsi="黑体" w:eastAsia="黑体"/>
        </w:rPr>
        <w:t>3</w:t>
      </w:r>
    </w:p>
    <w:p w14:paraId="2700EC14">
      <w:pPr>
        <w:pStyle w:val="27"/>
        <w:spacing w:line="360" w:lineRule="auto"/>
        <w:rPr>
          <w:rFonts w:ascii="黑体" w:hAnsi="黑体" w:eastAsia="黑体"/>
        </w:rPr>
      </w:pPr>
      <w:r>
        <w:rPr>
          <w:rFonts w:hint="eastAsia" w:ascii="黑体" w:hAnsi="黑体" w:eastAsia="黑体"/>
        </w:rPr>
        <w:t xml:space="preserve">应急救援站 </w:t>
      </w:r>
      <w:r>
        <w:rPr>
          <w:rFonts w:ascii="黑体" w:hAnsi="黑体" w:eastAsia="黑体"/>
        </w:rPr>
        <w:t>emergency rescue station</w:t>
      </w:r>
    </w:p>
    <w:p w14:paraId="5D382375">
      <w:pPr>
        <w:pStyle w:val="27"/>
        <w:spacing w:line="360" w:lineRule="auto"/>
      </w:pPr>
      <w:r>
        <w:rPr>
          <w:rFonts w:hint="eastAsia"/>
        </w:rPr>
        <w:t>由公路隧道运营单位建立的，有一定应急救援装备，配置专职或兼职救援人员，能够在规定时间内到达并完成</w:t>
      </w:r>
      <w:r>
        <w:rPr>
          <w:rFonts w:hint="eastAsia"/>
          <w:lang w:val="en-US" w:eastAsia="zh-CN"/>
        </w:rPr>
        <w:t>灾害</w:t>
      </w:r>
      <w:r>
        <w:rPr>
          <w:rFonts w:hint="eastAsia"/>
        </w:rPr>
        <w:t>事故初期救援任务的救援站点。</w:t>
      </w:r>
    </w:p>
    <w:p w14:paraId="6465F5E0">
      <w:pPr>
        <w:pStyle w:val="37"/>
        <w:spacing w:before="120" w:beforeLines="50" w:after="120" w:afterLines="50"/>
        <w:rPr>
          <w:rFonts w:ascii="黑体" w:hAnsi="黑体" w:eastAsia="黑体"/>
        </w:rPr>
      </w:pPr>
      <w:r>
        <w:rPr>
          <w:rFonts w:hint="eastAsia" w:ascii="黑体" w:hAnsi="黑体" w:eastAsia="黑体"/>
        </w:rPr>
        <w:t>3.</w:t>
      </w:r>
      <w:r>
        <w:rPr>
          <w:rFonts w:ascii="黑体" w:hAnsi="黑体" w:eastAsia="黑体"/>
        </w:rPr>
        <w:t>4</w:t>
      </w:r>
    </w:p>
    <w:p w14:paraId="32E89C88">
      <w:pPr>
        <w:pStyle w:val="27"/>
        <w:spacing w:line="360" w:lineRule="auto"/>
        <w:rPr>
          <w:rFonts w:ascii="黑体" w:hAnsi="黑体" w:eastAsia="黑体"/>
        </w:rPr>
      </w:pPr>
      <w:r>
        <w:rPr>
          <w:rFonts w:hint="eastAsia" w:ascii="黑体" w:hAnsi="黑体" w:eastAsia="黑体"/>
        </w:rPr>
        <w:t xml:space="preserve">临界风速 </w:t>
      </w:r>
      <w:r>
        <w:rPr>
          <w:rFonts w:ascii="黑体" w:hAnsi="黑体" w:eastAsia="黑体"/>
        </w:rPr>
        <w:t>critical velocity</w:t>
      </w:r>
    </w:p>
    <w:p w14:paraId="48F5ED6E">
      <w:pPr>
        <w:pStyle w:val="27"/>
        <w:spacing w:line="360" w:lineRule="auto"/>
      </w:pPr>
      <w:r>
        <w:rPr>
          <w:rFonts w:hint="eastAsia"/>
        </w:rPr>
        <w:t>隧道内发生火灾时，公路隧道纵向通风模式下，阻止烟雾发生逆流的最小风速。</w:t>
      </w:r>
    </w:p>
    <w:p w14:paraId="4BC83035">
      <w:pPr>
        <w:pStyle w:val="37"/>
        <w:spacing w:before="120" w:beforeLines="50" w:after="120" w:afterLines="50"/>
        <w:rPr>
          <w:rFonts w:ascii="黑体" w:hAnsi="黑体" w:eastAsia="黑体"/>
        </w:rPr>
      </w:pPr>
      <w:r>
        <w:rPr>
          <w:rFonts w:hint="eastAsia" w:ascii="黑体" w:hAnsi="黑体" w:eastAsia="黑体"/>
        </w:rPr>
        <w:t>3.</w:t>
      </w:r>
      <w:r>
        <w:rPr>
          <w:rFonts w:ascii="黑体" w:hAnsi="黑体" w:eastAsia="黑体"/>
        </w:rPr>
        <w:t>5</w:t>
      </w:r>
    </w:p>
    <w:p w14:paraId="69C404A0">
      <w:pPr>
        <w:pStyle w:val="27"/>
        <w:spacing w:line="360" w:lineRule="auto"/>
        <w:rPr>
          <w:rFonts w:ascii="黑体" w:hAnsi="黑体" w:eastAsia="黑体"/>
        </w:rPr>
      </w:pPr>
      <w:r>
        <w:rPr>
          <w:rFonts w:hint="eastAsia" w:ascii="黑体" w:hAnsi="黑体" w:eastAsia="黑体"/>
        </w:rPr>
        <w:t xml:space="preserve">火灾设计当量 </w:t>
      </w:r>
      <w:r>
        <w:rPr>
          <w:rFonts w:ascii="黑体" w:hAnsi="黑体" w:eastAsia="黑体"/>
        </w:rPr>
        <w:t>fire design equivalent</w:t>
      </w:r>
    </w:p>
    <w:p w14:paraId="70AE3426">
      <w:pPr>
        <w:pStyle w:val="27"/>
        <w:spacing w:line="360" w:lineRule="auto"/>
      </w:pPr>
      <w:r>
        <w:rPr>
          <w:rFonts w:hint="eastAsia"/>
        </w:rPr>
        <w:t>隧道空间里所有可燃物品（包括建筑装修材料在内）的燃烧热能总和，直接决定着火灾持续时间的长短和隧道内温度的变化情况。</w:t>
      </w:r>
    </w:p>
    <w:p w14:paraId="4D969C0D">
      <w:pPr>
        <w:pStyle w:val="29"/>
        <w:spacing w:before="240" w:after="240"/>
        <w:outlineLvl w:val="0"/>
      </w:pPr>
      <w:bookmarkStart w:id="40" w:name="_Toc219106496"/>
      <w:r>
        <w:t xml:space="preserve">4 </w:t>
      </w:r>
      <w:r>
        <w:rPr>
          <w:rFonts w:hint="eastAsia"/>
        </w:rPr>
        <w:t>基本规定</w:t>
      </w:r>
      <w:bookmarkEnd w:id="40"/>
    </w:p>
    <w:p w14:paraId="55BDA412">
      <w:pPr>
        <w:spacing w:line="360" w:lineRule="auto"/>
        <w:jc w:val="both"/>
        <w:rPr>
          <w:rFonts w:ascii="宋体" w:hAnsi="Times New Roman" w:eastAsia="宋体" w:cs="Times New Roman"/>
          <w:snapToGrid/>
          <w:color w:val="auto"/>
          <w:szCs w:val="20"/>
          <w:lang w:eastAsia="zh-CN"/>
        </w:rPr>
      </w:pPr>
      <w:bookmarkStart w:id="41" w:name="bookmark5"/>
      <w:bookmarkEnd w:id="41"/>
      <w:r>
        <w:rPr>
          <w:rFonts w:ascii="黑体" w:hAnsi="黑体" w:eastAsia="黑体" w:cs="Times New Roman"/>
          <w:snapToGrid/>
          <w:color w:val="auto"/>
          <w:szCs w:val="20"/>
          <w:lang w:eastAsia="zh-CN"/>
        </w:rPr>
        <w:t>4.1</w:t>
      </w:r>
      <w:r>
        <w:rPr>
          <w:rFonts w:hint="eastAsia" w:ascii="黑体" w:hAnsi="黑体" w:eastAsia="黑体" w:cs="Times New Roman"/>
          <w:snapToGrid/>
          <w:color w:val="auto"/>
          <w:szCs w:val="20"/>
          <w:lang w:eastAsia="zh-CN"/>
        </w:rPr>
        <w:t xml:space="preserve">  </w:t>
      </w:r>
      <w:r>
        <w:rPr>
          <w:rFonts w:ascii="宋体" w:hAnsi="Times New Roman" w:eastAsia="宋体" w:cs="Times New Roman"/>
          <w:snapToGrid/>
          <w:color w:val="auto"/>
          <w:szCs w:val="20"/>
          <w:lang w:eastAsia="zh-CN"/>
        </w:rPr>
        <w:t>公路隧道</w:t>
      </w:r>
      <w:r>
        <w:rPr>
          <w:rFonts w:hint="eastAsia" w:ascii="宋体" w:hAnsi="Times New Roman" w:eastAsia="宋体" w:cs="Times New Roman"/>
          <w:snapToGrid/>
          <w:color w:val="auto"/>
          <w:szCs w:val="20"/>
          <w:lang w:eastAsia="zh-CN"/>
        </w:rPr>
        <w:t>运营单位应针对灾害事故</w:t>
      </w:r>
      <w:r>
        <w:rPr>
          <w:rFonts w:ascii="宋体" w:hAnsi="Times New Roman" w:eastAsia="宋体" w:cs="Times New Roman"/>
          <w:snapToGrid/>
          <w:color w:val="auto"/>
          <w:szCs w:val="20"/>
          <w:lang w:eastAsia="zh-CN"/>
        </w:rPr>
        <w:t>建立统一指挥、专常兼备、反应灵敏、上下联动的应急管理体制和综合协调、分类管理、分级负责的工作体系。</w:t>
      </w:r>
    </w:p>
    <w:p w14:paraId="26BCBF39">
      <w:pPr>
        <w:spacing w:line="360" w:lineRule="auto"/>
        <w:jc w:val="both"/>
        <w:rPr>
          <w:rFonts w:ascii="宋体" w:hAnsi="Times New Roman" w:eastAsia="宋体" w:cs="Times New Roman"/>
          <w:snapToGrid/>
          <w:color w:val="auto"/>
          <w:szCs w:val="20"/>
          <w:lang w:eastAsia="zh-CN"/>
        </w:rPr>
      </w:pPr>
      <w:r>
        <w:rPr>
          <w:rFonts w:hint="eastAsia" w:ascii="黑体" w:hAnsi="黑体" w:eastAsia="黑体" w:cs="Times New Roman"/>
          <w:snapToGrid/>
          <w:color w:val="auto"/>
          <w:szCs w:val="20"/>
          <w:lang w:eastAsia="zh-CN"/>
        </w:rPr>
        <w:t>4</w:t>
      </w:r>
      <w:r>
        <w:rPr>
          <w:rFonts w:ascii="黑体" w:hAnsi="黑体" w:eastAsia="黑体" w:cs="Times New Roman"/>
          <w:snapToGrid/>
          <w:color w:val="auto"/>
          <w:szCs w:val="20"/>
          <w:lang w:eastAsia="zh-CN"/>
        </w:rPr>
        <w:t>.2</w:t>
      </w:r>
      <w:r>
        <w:rPr>
          <w:rFonts w:ascii="宋体" w:hAnsi="Times New Roman" w:eastAsia="宋体" w:cs="Times New Roman"/>
          <w:snapToGrid/>
          <w:color w:val="auto"/>
          <w:szCs w:val="20"/>
          <w:lang w:eastAsia="zh-CN"/>
        </w:rPr>
        <w:t xml:space="preserve"> </w:t>
      </w:r>
      <w:r>
        <w:rPr>
          <w:rFonts w:hint="eastAsia" w:ascii="宋体" w:hAnsi="Times New Roman" w:eastAsia="宋体" w:cs="Times New Roman"/>
          <w:snapToGrid/>
          <w:color w:val="auto"/>
          <w:szCs w:val="20"/>
          <w:lang w:eastAsia="zh-CN"/>
        </w:rPr>
        <w:t>公路</w:t>
      </w:r>
      <w:r>
        <w:rPr>
          <w:rFonts w:ascii="宋体" w:hAnsi="Times New Roman" w:eastAsia="宋体" w:cs="Times New Roman"/>
          <w:snapToGrid/>
          <w:color w:val="auto"/>
          <w:szCs w:val="20"/>
          <w:lang w:eastAsia="zh-CN"/>
        </w:rPr>
        <w:t>隧道</w:t>
      </w:r>
      <w:r>
        <w:rPr>
          <w:rFonts w:hint="eastAsia" w:ascii="宋体" w:hAnsi="Times New Roman" w:eastAsia="宋体" w:cs="Times New Roman"/>
          <w:snapToGrid/>
          <w:color w:val="auto"/>
          <w:szCs w:val="20"/>
          <w:lang w:eastAsia="zh-CN"/>
        </w:rPr>
        <w:t>运营</w:t>
      </w:r>
      <w:r>
        <w:rPr>
          <w:rFonts w:ascii="宋体" w:hAnsi="Times New Roman" w:eastAsia="宋体" w:cs="Times New Roman"/>
          <w:snapToGrid/>
          <w:color w:val="auto"/>
          <w:szCs w:val="20"/>
          <w:lang w:eastAsia="zh-CN"/>
        </w:rPr>
        <w:t>单位应在</w:t>
      </w:r>
      <w:r>
        <w:rPr>
          <w:rFonts w:hint="eastAsia" w:ascii="宋体" w:hAnsi="Times New Roman" w:eastAsia="宋体" w:cs="Times New Roman"/>
          <w:snapToGrid/>
          <w:color w:val="auto"/>
          <w:szCs w:val="20"/>
          <w:lang w:eastAsia="zh-CN"/>
        </w:rPr>
        <w:t>灾害事故初期</w:t>
      </w:r>
      <w:r>
        <w:rPr>
          <w:rFonts w:ascii="宋体" w:hAnsi="Times New Roman" w:eastAsia="宋体" w:cs="Times New Roman"/>
          <w:snapToGrid/>
          <w:color w:val="auto"/>
          <w:szCs w:val="20"/>
          <w:lang w:eastAsia="zh-CN"/>
        </w:rPr>
        <w:t>处置阶段设立应急救援领导小组</w:t>
      </w:r>
      <w:r>
        <w:rPr>
          <w:rFonts w:hint="eastAsia" w:ascii="宋体" w:hAnsi="Times New Roman" w:eastAsia="宋体" w:cs="Times New Roman"/>
          <w:snapToGrid/>
          <w:color w:val="auto"/>
          <w:szCs w:val="20"/>
          <w:lang w:eastAsia="zh-CN"/>
        </w:rPr>
        <w:t>或</w:t>
      </w:r>
      <w:r>
        <w:rPr>
          <w:rFonts w:ascii="宋体" w:hAnsi="Times New Roman" w:eastAsia="宋体" w:cs="Times New Roman"/>
          <w:snapToGrid/>
          <w:color w:val="auto"/>
          <w:szCs w:val="20"/>
          <w:lang w:eastAsia="zh-CN"/>
        </w:rPr>
        <w:t>现场救援指挥部，待上级单位到场后将指挥权移交上级指挥。</w:t>
      </w:r>
    </w:p>
    <w:p w14:paraId="209A0270">
      <w:pPr>
        <w:spacing w:line="360" w:lineRule="auto"/>
        <w:jc w:val="both"/>
        <w:rPr>
          <w:rFonts w:ascii="宋体" w:hAnsi="Times New Roman" w:eastAsia="宋体" w:cs="Times New Roman"/>
          <w:snapToGrid/>
          <w:color w:val="auto"/>
          <w:szCs w:val="20"/>
          <w:lang w:eastAsia="zh-CN"/>
        </w:rPr>
      </w:pPr>
      <w:r>
        <w:rPr>
          <w:rFonts w:hint="eastAsia" w:ascii="黑体" w:hAnsi="黑体" w:eastAsia="黑体" w:cs="Times New Roman"/>
          <w:snapToGrid/>
          <w:color w:val="auto"/>
          <w:szCs w:val="20"/>
          <w:lang w:eastAsia="zh-CN"/>
        </w:rPr>
        <w:t>4</w:t>
      </w:r>
      <w:r>
        <w:rPr>
          <w:rFonts w:ascii="黑体" w:hAnsi="黑体" w:eastAsia="黑体" w:cs="Times New Roman"/>
          <w:snapToGrid/>
          <w:color w:val="auto"/>
          <w:szCs w:val="20"/>
          <w:lang w:eastAsia="zh-CN"/>
        </w:rPr>
        <w:t>.3</w:t>
      </w:r>
      <w:r>
        <w:rPr>
          <w:rFonts w:ascii="宋体" w:hAnsi="Times New Roman" w:eastAsia="宋体" w:cs="Times New Roman"/>
          <w:snapToGrid/>
          <w:color w:val="auto"/>
          <w:szCs w:val="20"/>
          <w:lang w:eastAsia="zh-CN"/>
        </w:rPr>
        <w:t xml:space="preserve"> </w:t>
      </w:r>
      <w:r>
        <w:rPr>
          <w:rFonts w:hint="eastAsia" w:ascii="宋体" w:hAnsi="Times New Roman" w:eastAsia="宋体" w:cs="Times New Roman"/>
          <w:snapToGrid/>
          <w:color w:val="auto"/>
          <w:szCs w:val="20"/>
          <w:lang w:eastAsia="zh-CN"/>
        </w:rPr>
        <w:t>公路隧道运营单位在确认灾害事故发生后应及时上报属地政府和行业管理部门，并及时续报处置进展。</w:t>
      </w:r>
    </w:p>
    <w:p w14:paraId="6FBF695D">
      <w:pPr>
        <w:spacing w:line="360" w:lineRule="auto"/>
        <w:jc w:val="both"/>
        <w:rPr>
          <w:rFonts w:ascii="宋体" w:hAnsi="Times New Roman" w:eastAsia="宋体" w:cs="Times New Roman"/>
          <w:snapToGrid/>
          <w:color w:val="auto"/>
          <w:szCs w:val="20"/>
          <w:lang w:eastAsia="zh-CN"/>
        </w:rPr>
      </w:pPr>
      <w:r>
        <w:rPr>
          <w:rFonts w:hint="eastAsia" w:ascii="黑体" w:hAnsi="黑体" w:eastAsia="黑体" w:cs="Times New Roman"/>
          <w:snapToGrid/>
          <w:color w:val="auto"/>
          <w:szCs w:val="20"/>
          <w:lang w:eastAsia="zh-CN"/>
        </w:rPr>
        <w:t>4</w:t>
      </w:r>
      <w:r>
        <w:rPr>
          <w:rFonts w:ascii="黑体" w:hAnsi="黑体" w:eastAsia="黑体" w:cs="Times New Roman"/>
          <w:snapToGrid/>
          <w:color w:val="auto"/>
          <w:szCs w:val="20"/>
          <w:lang w:eastAsia="zh-CN"/>
        </w:rPr>
        <w:t xml:space="preserve">.4 </w:t>
      </w:r>
      <w:r>
        <w:rPr>
          <w:rFonts w:hint="eastAsia" w:ascii="宋体" w:hAnsi="Times New Roman" w:eastAsia="宋体" w:cs="Times New Roman"/>
          <w:snapToGrid/>
          <w:color w:val="auto"/>
          <w:szCs w:val="20"/>
          <w:lang w:eastAsia="zh-CN"/>
        </w:rPr>
        <w:t>公路隧道单洞长度大于</w:t>
      </w:r>
      <w:r>
        <w:rPr>
          <w:rFonts w:ascii="宋体" w:hAnsi="Times New Roman" w:eastAsia="宋体" w:cs="Times New Roman"/>
          <w:snapToGrid/>
          <w:color w:val="auto"/>
          <w:szCs w:val="20"/>
          <w:lang w:eastAsia="zh-CN"/>
        </w:rPr>
        <w:t>5000</w:t>
      </w:r>
      <w:r>
        <w:rPr>
          <w:rFonts w:hint="eastAsia" w:ascii="宋体" w:hAnsi="Times New Roman" w:eastAsia="宋体" w:cs="Times New Roman"/>
          <w:snapToGrid/>
          <w:color w:val="auto"/>
          <w:szCs w:val="20"/>
          <w:lang w:eastAsia="zh-CN"/>
        </w:rPr>
        <w:t>米的隧道宜在隧道两端洞口附近设置应急救援站。单洞长度大于</w:t>
      </w:r>
      <w:r>
        <w:rPr>
          <w:rFonts w:ascii="宋体" w:hAnsi="Times New Roman" w:eastAsia="宋体" w:cs="Times New Roman"/>
          <w:snapToGrid/>
          <w:color w:val="auto"/>
          <w:szCs w:val="20"/>
          <w:lang w:eastAsia="zh-CN"/>
        </w:rPr>
        <w:t>3000</w:t>
      </w:r>
      <w:r>
        <w:rPr>
          <w:rFonts w:hint="eastAsia" w:ascii="宋体" w:hAnsi="Times New Roman" w:eastAsia="宋体" w:cs="Times New Roman"/>
          <w:snapToGrid/>
          <w:color w:val="auto"/>
          <w:szCs w:val="20"/>
          <w:lang w:eastAsia="zh-CN"/>
        </w:rPr>
        <w:t>米的隧道宜在隧道一端洞口附近设置应急救援站。应急救援站可以单独设置，也可以与附近隧道运营站点合并设置。</w:t>
      </w:r>
    </w:p>
    <w:p w14:paraId="42C7082A">
      <w:pPr>
        <w:spacing w:line="360" w:lineRule="auto"/>
        <w:jc w:val="both"/>
        <w:rPr>
          <w:rFonts w:ascii="宋体" w:hAnsi="Times New Roman" w:eastAsia="宋体" w:cs="Times New Roman"/>
          <w:snapToGrid/>
          <w:color w:val="auto"/>
          <w:szCs w:val="20"/>
          <w:lang w:eastAsia="zh-CN"/>
        </w:rPr>
      </w:pPr>
      <w:r>
        <w:rPr>
          <w:rFonts w:hint="eastAsia" w:ascii="黑体" w:hAnsi="黑体" w:eastAsia="黑体" w:cs="Times New Roman"/>
          <w:snapToGrid/>
          <w:color w:val="auto"/>
          <w:szCs w:val="20"/>
          <w:lang w:eastAsia="zh-CN"/>
        </w:rPr>
        <w:t>4</w:t>
      </w:r>
      <w:r>
        <w:rPr>
          <w:rFonts w:ascii="黑体" w:hAnsi="黑体" w:eastAsia="黑体" w:cs="Times New Roman"/>
          <w:snapToGrid/>
          <w:color w:val="auto"/>
          <w:szCs w:val="20"/>
          <w:lang w:eastAsia="zh-CN"/>
        </w:rPr>
        <w:t>.5</w:t>
      </w:r>
      <w:r>
        <w:rPr>
          <w:rFonts w:ascii="宋体" w:hAnsi="Times New Roman" w:eastAsia="宋体" w:cs="Times New Roman"/>
          <w:snapToGrid/>
          <w:color w:val="auto"/>
          <w:szCs w:val="20"/>
          <w:lang w:eastAsia="zh-CN"/>
        </w:rPr>
        <w:t xml:space="preserve"> </w:t>
      </w:r>
      <w:r>
        <w:rPr>
          <w:rFonts w:hint="eastAsia" w:ascii="宋体" w:hAnsi="Times New Roman" w:eastAsia="宋体" w:cs="Times New Roman"/>
          <w:snapToGrid/>
          <w:color w:val="auto"/>
          <w:szCs w:val="20"/>
          <w:lang w:eastAsia="zh-CN"/>
        </w:rPr>
        <w:t>隧道应急救援队伍应就近驻扎，设置应急救援站的救援队伍到达事故现场时间应不超过</w:t>
      </w:r>
      <w:r>
        <w:rPr>
          <w:rFonts w:ascii="宋体" w:hAnsi="Times New Roman" w:eastAsia="宋体" w:cs="Times New Roman"/>
          <w:snapToGrid/>
          <w:color w:val="auto"/>
          <w:szCs w:val="20"/>
          <w:lang w:eastAsia="zh-CN"/>
        </w:rPr>
        <w:t>8</w:t>
      </w:r>
      <w:r>
        <w:rPr>
          <w:rFonts w:hint="eastAsia" w:ascii="宋体" w:hAnsi="Times New Roman" w:eastAsia="宋体" w:cs="Times New Roman"/>
          <w:snapToGrid/>
          <w:color w:val="auto"/>
          <w:szCs w:val="20"/>
          <w:lang w:eastAsia="zh-CN"/>
        </w:rPr>
        <w:t>分钟</w:t>
      </w:r>
      <w:r>
        <w:rPr>
          <w:rFonts w:ascii="宋体" w:hAnsi="Times New Roman" w:eastAsia="宋体" w:cs="Times New Roman"/>
          <w:snapToGrid/>
          <w:color w:val="auto"/>
          <w:szCs w:val="20"/>
          <w:lang w:eastAsia="zh-CN"/>
        </w:rPr>
        <w:t>。</w:t>
      </w:r>
      <w:r>
        <w:rPr>
          <w:rFonts w:hint="eastAsia" w:ascii="宋体" w:hAnsi="Times New Roman" w:eastAsia="宋体" w:cs="Times New Roman"/>
          <w:snapToGrid/>
          <w:color w:val="auto"/>
          <w:szCs w:val="20"/>
          <w:lang w:eastAsia="zh-CN"/>
        </w:rPr>
        <w:t>其他隧道不超过3</w:t>
      </w:r>
      <w:r>
        <w:rPr>
          <w:rFonts w:ascii="宋体" w:hAnsi="Times New Roman" w:eastAsia="宋体" w:cs="Times New Roman"/>
          <w:snapToGrid/>
          <w:color w:val="auto"/>
          <w:szCs w:val="20"/>
          <w:lang w:eastAsia="zh-CN"/>
        </w:rPr>
        <w:t>0</w:t>
      </w:r>
      <w:r>
        <w:rPr>
          <w:rFonts w:hint="eastAsia" w:ascii="宋体" w:hAnsi="Times New Roman" w:eastAsia="宋体" w:cs="Times New Roman"/>
          <w:snapToGrid/>
          <w:color w:val="auto"/>
          <w:szCs w:val="20"/>
          <w:lang w:eastAsia="zh-CN"/>
        </w:rPr>
        <w:t>分钟。</w:t>
      </w:r>
    </w:p>
    <w:p w14:paraId="1EBA4355">
      <w:pPr>
        <w:pStyle w:val="41"/>
        <w:spacing w:line="360" w:lineRule="auto"/>
      </w:pPr>
      <w:r>
        <w:rPr>
          <w:rFonts w:hint="eastAsia" w:ascii="黑体" w:hAnsi="黑体" w:eastAsia="黑体"/>
        </w:rPr>
        <w:t>4</w:t>
      </w:r>
      <w:r>
        <w:rPr>
          <w:rFonts w:ascii="黑体" w:hAnsi="黑体" w:eastAsia="黑体"/>
        </w:rPr>
        <w:t>.6</w:t>
      </w:r>
      <w:r>
        <w:rPr>
          <w:color w:val="FF0000"/>
        </w:rPr>
        <w:t xml:space="preserve"> </w:t>
      </w:r>
      <w:r>
        <w:rPr>
          <w:rFonts w:hint="eastAsia"/>
        </w:rPr>
        <w:t>公路隧道运营单位管辖区域内，单洞长度大于1000米的隧道或者隧道群宜配置抢险队伍，用于隧道灾害事故的抢险救援。</w:t>
      </w:r>
    </w:p>
    <w:p w14:paraId="3A57158C">
      <w:pPr>
        <w:pStyle w:val="27"/>
        <w:spacing w:line="360" w:lineRule="auto"/>
        <w:ind w:firstLine="0" w:firstLineChars="0"/>
      </w:pPr>
      <w:r>
        <w:rPr>
          <w:rFonts w:ascii="黑体" w:hAnsi="黑体" w:eastAsia="黑体"/>
        </w:rPr>
        <w:t>4.</w:t>
      </w:r>
      <w:r>
        <w:rPr>
          <w:rFonts w:hint="eastAsia" w:ascii="黑体" w:hAnsi="黑体" w:eastAsia="黑体"/>
        </w:rPr>
        <w:t>7</w:t>
      </w:r>
      <w:r>
        <w:rPr>
          <w:rFonts w:ascii="黑体" w:hAnsi="黑体" w:eastAsia="黑体"/>
        </w:rPr>
        <w:t xml:space="preserve"> </w:t>
      </w:r>
      <w:r>
        <w:rPr>
          <w:rFonts w:hint="eastAsia"/>
        </w:rPr>
        <w:t>公路隧道运营单位应建立监测预警制度，</w:t>
      </w:r>
      <w:r>
        <w:t>按照</w:t>
      </w:r>
      <w:r>
        <w:rPr>
          <w:rFonts w:hint="eastAsia"/>
        </w:rPr>
        <w:t>灾害事故</w:t>
      </w:r>
      <w:r>
        <w:t>发生的紧急程度、发展态势和可能造成的危害程度</w:t>
      </w:r>
      <w:r>
        <w:rPr>
          <w:rFonts w:hint="eastAsia"/>
        </w:rPr>
        <w:t>发布不同等级的预警</w:t>
      </w:r>
      <w:r>
        <w:t>。</w:t>
      </w:r>
    </w:p>
    <w:p w14:paraId="6DC3C560">
      <w:pPr>
        <w:pStyle w:val="27"/>
        <w:spacing w:line="360" w:lineRule="auto"/>
        <w:ind w:firstLine="0" w:firstLineChars="0"/>
      </w:pPr>
      <w:r>
        <w:rPr>
          <w:rFonts w:ascii="黑体" w:hAnsi="黑体" w:eastAsia="黑体"/>
        </w:rPr>
        <w:t>4.</w:t>
      </w:r>
      <w:r>
        <w:rPr>
          <w:rFonts w:hint="eastAsia" w:ascii="黑体" w:hAnsi="黑体" w:eastAsia="黑体"/>
        </w:rPr>
        <w:t>8</w:t>
      </w:r>
      <w:r>
        <w:rPr>
          <w:rFonts w:ascii="黑体" w:hAnsi="黑体" w:eastAsia="黑体"/>
        </w:rPr>
        <w:t xml:space="preserve"> </w:t>
      </w:r>
      <w:r>
        <w:rPr>
          <w:rFonts w:hint="eastAsia"/>
        </w:rPr>
        <w:t>公路隧道运营</w:t>
      </w:r>
      <w:r>
        <w:t>单位应建立相应的隧道</w:t>
      </w:r>
      <w:r>
        <w:rPr>
          <w:rFonts w:hint="eastAsia"/>
        </w:rPr>
        <w:t>灾害事故</w:t>
      </w:r>
      <w:r>
        <w:t>应急</w:t>
      </w:r>
      <w:r>
        <w:rPr>
          <w:rFonts w:hint="eastAsia"/>
        </w:rPr>
        <w:t>处置</w:t>
      </w:r>
      <w:r>
        <w:t>管理制度，设定专人进行信息上报和应急指令接收，并根据事故动态发展变化，进行相应的应急处置。</w:t>
      </w:r>
    </w:p>
    <w:p w14:paraId="13B09802">
      <w:pPr>
        <w:pStyle w:val="27"/>
        <w:spacing w:line="360" w:lineRule="auto"/>
        <w:ind w:firstLine="0" w:firstLineChars="0"/>
      </w:pPr>
      <w:r>
        <w:rPr>
          <w:rFonts w:hint="eastAsia" w:ascii="黑体" w:hAnsi="黑体" w:eastAsia="黑体"/>
        </w:rPr>
        <w:t xml:space="preserve">4.9 </w:t>
      </w:r>
      <w:r>
        <w:rPr>
          <w:rFonts w:hint="eastAsia"/>
        </w:rPr>
        <w:t>公路隧道运营</w:t>
      </w:r>
      <w:r>
        <w:t>单位</w:t>
      </w:r>
      <w:r>
        <w:rPr>
          <w:rFonts w:hint="eastAsia"/>
        </w:rPr>
        <w:t>应根据国家及北京市的相关要求</w:t>
      </w:r>
      <w:r>
        <w:t>编制</w:t>
      </w:r>
      <w:r>
        <w:rPr>
          <w:rFonts w:hint="eastAsia"/>
        </w:rPr>
        <w:t>公路隧道灾害事故</w:t>
      </w:r>
      <w:r>
        <w:t>应急救援与安全疏散现场处置方案</w:t>
      </w:r>
      <w:r>
        <w:rPr>
          <w:rFonts w:hint="eastAsia"/>
        </w:rPr>
        <w:t>。</w:t>
      </w:r>
    </w:p>
    <w:p w14:paraId="30087071">
      <w:pPr>
        <w:pStyle w:val="41"/>
        <w:spacing w:line="360" w:lineRule="auto"/>
      </w:pPr>
      <w:r>
        <w:rPr>
          <w:rFonts w:hint="eastAsia" w:ascii="黑体" w:hAnsi="黑体" w:eastAsia="黑体"/>
        </w:rPr>
        <w:t>4</w:t>
      </w:r>
      <w:r>
        <w:rPr>
          <w:rFonts w:ascii="黑体" w:hAnsi="黑体" w:eastAsia="黑体"/>
        </w:rPr>
        <w:t>.1</w:t>
      </w:r>
      <w:r>
        <w:rPr>
          <w:rFonts w:hint="eastAsia" w:ascii="黑体" w:hAnsi="黑体" w:eastAsia="黑体"/>
        </w:rPr>
        <w:t>0</w:t>
      </w:r>
      <w:r>
        <w:rPr>
          <w:color w:val="FF0000"/>
        </w:rPr>
        <w:t xml:space="preserve"> </w:t>
      </w:r>
      <w:r>
        <w:rPr>
          <w:rFonts w:hint="eastAsia"/>
        </w:rPr>
        <w:t>公路隧道设备控制方案应涵盖交通运行控制、通风设施控制、照明设施控制、紧急广播控制、消防设施控制、排水设施控制方案等，并应做到“一隧一策”。</w:t>
      </w:r>
    </w:p>
    <w:p w14:paraId="237951E1">
      <w:pPr>
        <w:pStyle w:val="41"/>
        <w:spacing w:line="360" w:lineRule="auto"/>
      </w:pPr>
      <w:r>
        <w:rPr>
          <w:rFonts w:hint="eastAsia" w:ascii="黑体" w:hAnsi="黑体" w:eastAsia="黑体"/>
        </w:rPr>
        <w:t>4</w:t>
      </w:r>
      <w:r>
        <w:rPr>
          <w:rFonts w:ascii="黑体" w:hAnsi="黑体" w:eastAsia="黑体"/>
        </w:rPr>
        <w:t>.1</w:t>
      </w:r>
      <w:r>
        <w:rPr>
          <w:rFonts w:hint="eastAsia" w:ascii="黑体" w:hAnsi="黑体" w:eastAsia="黑体"/>
        </w:rPr>
        <w:t>1</w:t>
      </w:r>
      <w:r>
        <w:rPr>
          <w:rFonts w:hint="eastAsia"/>
        </w:rPr>
        <w:t>公路隧道运营单位需要与隧道区域附近的公共救援力量进行演练，并建立协同联动机制，用于灾害事故的处置。</w:t>
      </w:r>
    </w:p>
    <w:p w14:paraId="19D6CF57">
      <w:pPr>
        <w:spacing w:line="360" w:lineRule="auto"/>
        <w:jc w:val="both"/>
        <w:rPr>
          <w:rFonts w:ascii="宋体" w:hAnsi="Times New Roman" w:eastAsia="宋体" w:cs="Times New Roman"/>
          <w:snapToGrid/>
          <w:color w:val="auto"/>
          <w:szCs w:val="20"/>
          <w:lang w:eastAsia="zh-CN"/>
        </w:rPr>
      </w:pPr>
      <w:r>
        <w:rPr>
          <w:rFonts w:hint="eastAsia" w:ascii="黑体" w:hAnsi="黑体" w:eastAsia="黑体" w:cs="Times New Roman"/>
          <w:snapToGrid/>
          <w:color w:val="auto"/>
          <w:szCs w:val="20"/>
          <w:lang w:eastAsia="zh-CN"/>
        </w:rPr>
        <w:t>4</w:t>
      </w:r>
      <w:r>
        <w:rPr>
          <w:rFonts w:ascii="黑体" w:hAnsi="黑体" w:eastAsia="黑体" w:cs="Times New Roman"/>
          <w:snapToGrid/>
          <w:color w:val="auto"/>
          <w:szCs w:val="20"/>
          <w:lang w:eastAsia="zh-CN"/>
        </w:rPr>
        <w:t>.1</w:t>
      </w:r>
      <w:r>
        <w:rPr>
          <w:rFonts w:hint="eastAsia" w:ascii="黑体" w:hAnsi="黑体" w:eastAsia="黑体" w:cs="Times New Roman"/>
          <w:snapToGrid/>
          <w:color w:val="auto"/>
          <w:szCs w:val="20"/>
          <w:lang w:eastAsia="zh-CN"/>
        </w:rPr>
        <w:t>2</w:t>
      </w:r>
      <w:r>
        <w:rPr>
          <w:rFonts w:ascii="宋体" w:hAnsi="Times New Roman" w:eastAsia="宋体" w:cs="Times New Roman"/>
          <w:snapToGrid/>
          <w:color w:val="FF0000"/>
          <w:szCs w:val="20"/>
          <w:lang w:eastAsia="zh-CN"/>
        </w:rPr>
        <w:t xml:space="preserve"> </w:t>
      </w:r>
      <w:r>
        <w:rPr>
          <w:rFonts w:hint="eastAsia" w:ascii="宋体" w:hAnsi="Times New Roman" w:eastAsia="宋体" w:cs="Times New Roman"/>
          <w:snapToGrid/>
          <w:color w:val="auto"/>
          <w:szCs w:val="20"/>
          <w:lang w:eastAsia="zh-CN"/>
        </w:rPr>
        <w:t>公路隧道灭火和应急疏散演练采用实地演练或桌面演练等方式；实地演练的频次应符合如下要求：</w:t>
      </w:r>
      <w:r>
        <w:rPr>
          <w:rFonts w:ascii="宋体" w:hAnsi="Times New Roman" w:eastAsia="宋体" w:cs="Times New Roman"/>
          <w:snapToGrid/>
          <w:color w:val="auto"/>
          <w:szCs w:val="20"/>
          <w:lang w:eastAsia="zh-CN"/>
        </w:rPr>
        <w:t xml:space="preserve"> </w:t>
      </w:r>
    </w:p>
    <w:p w14:paraId="173F6534">
      <w:pPr>
        <w:pStyle w:val="43"/>
        <w:tabs>
          <w:tab w:val="left" w:pos="851"/>
        </w:tabs>
        <w:spacing w:line="360" w:lineRule="auto"/>
        <w:ind w:left="823" w:hanging="539"/>
      </w:pPr>
      <w:r>
        <w:rPr>
          <w:rFonts w:hint="eastAsia"/>
        </w:rPr>
        <w:t>a）仅管理一座长公路隧道或特长公路隧道的公路隧道运营单位，每年应针对该隧道进行不低于1次的实地演练；</w:t>
      </w:r>
    </w:p>
    <w:p w14:paraId="255FAC8C">
      <w:pPr>
        <w:pStyle w:val="43"/>
        <w:tabs>
          <w:tab w:val="left" w:pos="851"/>
        </w:tabs>
        <w:spacing w:line="360" w:lineRule="auto"/>
        <w:ind w:left="823" w:hanging="539"/>
      </w:pPr>
      <w:r>
        <w:rPr>
          <w:rFonts w:hint="eastAsia"/>
        </w:rPr>
        <w:t>b）管理多座长公路隧道、特长公路隧道的公路隧道运营单位，每年应选取不少于1座长公路隧道或特长公路隧道进行实地演练；</w:t>
      </w:r>
    </w:p>
    <w:p w14:paraId="3F1506F4">
      <w:pPr>
        <w:pStyle w:val="43"/>
        <w:tabs>
          <w:tab w:val="left" w:pos="851"/>
        </w:tabs>
        <w:spacing w:line="360" w:lineRule="auto"/>
        <w:ind w:left="823" w:hanging="539"/>
      </w:pPr>
      <w:r>
        <w:rPr>
          <w:rFonts w:hint="eastAsia"/>
        </w:rPr>
        <w:t>c）管理公路隧道累计长度</w:t>
      </w:r>
      <w:r>
        <w:rPr>
          <w:b/>
          <w:bCs/>
        </w:rPr>
        <w:t>≥</w:t>
      </w:r>
      <w:r>
        <w:t>3000</w:t>
      </w:r>
      <w:r>
        <w:rPr>
          <w:rFonts w:hint="eastAsia"/>
          <w:lang w:val="en-US" w:eastAsia="zh-CN"/>
        </w:rPr>
        <w:t>米的</w:t>
      </w:r>
      <w:r>
        <w:rPr>
          <w:rFonts w:hint="eastAsia"/>
        </w:rPr>
        <w:t>公路隧道运营单位，每年应选取公路隧道中的不少于1座隧道进行实地演练；</w:t>
      </w:r>
    </w:p>
    <w:p w14:paraId="733640C0">
      <w:pPr>
        <w:pStyle w:val="43"/>
        <w:tabs>
          <w:tab w:val="left" w:pos="851"/>
        </w:tabs>
        <w:spacing w:line="360" w:lineRule="auto"/>
        <w:ind w:left="823" w:hanging="539"/>
      </w:pPr>
      <w:r>
        <w:rPr>
          <w:rFonts w:hint="eastAsia"/>
        </w:rPr>
        <w:t>d）公路隧道运营单位应每年针对列入消防安全重点单位的公路隧道开展不少于1次实地演练。</w:t>
      </w:r>
    </w:p>
    <w:p w14:paraId="33B2805B">
      <w:pPr>
        <w:spacing w:line="360" w:lineRule="auto"/>
        <w:jc w:val="both"/>
        <w:rPr>
          <w:rFonts w:asciiTheme="minorEastAsia" w:hAnsiTheme="minorEastAsia" w:eastAsiaTheme="minorEastAsia"/>
          <w:lang w:eastAsia="zh-CN"/>
        </w:rPr>
      </w:pPr>
      <w:r>
        <w:rPr>
          <w:rFonts w:hint="eastAsia" w:ascii="黑体" w:hAnsi="黑体" w:eastAsia="黑体"/>
          <w:color w:val="auto"/>
          <w:lang w:eastAsia="zh-CN"/>
        </w:rPr>
        <w:t>4</w:t>
      </w:r>
      <w:r>
        <w:rPr>
          <w:rFonts w:ascii="黑体" w:hAnsi="黑体" w:eastAsia="黑体"/>
          <w:color w:val="auto"/>
          <w:lang w:eastAsia="zh-CN"/>
        </w:rPr>
        <w:t>.</w:t>
      </w:r>
      <w:r>
        <w:rPr>
          <w:rFonts w:ascii="黑体" w:hAnsi="黑体" w:eastAsia="黑体" w:cs="Times New Roman"/>
          <w:snapToGrid/>
          <w:color w:val="auto"/>
          <w:szCs w:val="20"/>
          <w:lang w:eastAsia="zh-CN"/>
        </w:rPr>
        <w:t>1</w:t>
      </w:r>
      <w:r>
        <w:rPr>
          <w:rFonts w:hint="eastAsia" w:ascii="黑体" w:hAnsi="黑体" w:eastAsia="黑体" w:cs="Times New Roman"/>
          <w:snapToGrid/>
          <w:color w:val="auto"/>
          <w:szCs w:val="20"/>
          <w:lang w:eastAsia="zh-CN"/>
        </w:rPr>
        <w:t>3</w:t>
      </w:r>
      <w:r>
        <w:rPr>
          <w:rFonts w:ascii="黑体" w:hAnsi="黑体" w:eastAsia="黑体"/>
          <w:color w:val="auto"/>
          <w:lang w:eastAsia="zh-CN"/>
        </w:rPr>
        <w:t xml:space="preserve"> </w:t>
      </w:r>
      <w:r>
        <w:rPr>
          <w:rFonts w:hint="eastAsia"/>
          <w:lang w:eastAsia="zh-CN"/>
        </w:rPr>
        <w:t>对于新建或</w:t>
      </w:r>
      <w:r>
        <w:rPr>
          <w:rFonts w:hint="eastAsia" w:ascii="宋体" w:hAnsi="Times New Roman" w:eastAsia="宋体" w:cs="Times New Roman"/>
          <w:snapToGrid/>
          <w:color w:val="auto"/>
          <w:szCs w:val="20"/>
          <w:lang w:eastAsia="zh-CN"/>
        </w:rPr>
        <w:t>运营的</w:t>
      </w:r>
      <w:r>
        <w:rPr>
          <w:rFonts w:ascii="宋体" w:hAnsi="Times New Roman" w:eastAsia="宋体" w:cs="Times New Roman"/>
          <w:snapToGrid/>
          <w:color w:val="auto"/>
          <w:szCs w:val="20"/>
          <w:lang w:eastAsia="zh-CN"/>
        </w:rPr>
        <w:t>3000</w:t>
      </w:r>
      <w:r>
        <w:rPr>
          <w:rFonts w:hint="eastAsia" w:ascii="宋体" w:hAnsi="Times New Roman" w:eastAsia="宋体" w:cs="Times New Roman"/>
          <w:snapToGrid/>
          <w:color w:val="auto"/>
          <w:szCs w:val="20"/>
          <w:lang w:eastAsia="zh-CN"/>
        </w:rPr>
        <w:t>米以上的隧道及隧道群</w:t>
      </w:r>
      <w:r>
        <w:rPr>
          <w:rFonts w:ascii="宋体" w:hAnsi="Times New Roman" w:eastAsia="宋体" w:cs="Times New Roman"/>
          <w:snapToGrid/>
          <w:color w:val="auto"/>
          <w:szCs w:val="20"/>
          <w:lang w:eastAsia="zh-CN"/>
        </w:rPr>
        <w:t>(</w:t>
      </w:r>
      <w:r>
        <w:rPr>
          <w:rFonts w:hint="eastAsia" w:ascii="宋体" w:hAnsi="Times New Roman" w:eastAsia="宋体" w:cs="Times New Roman"/>
          <w:snapToGrid/>
          <w:color w:val="auto"/>
          <w:szCs w:val="20"/>
          <w:lang w:eastAsia="zh-CN"/>
        </w:rPr>
        <w:t>长度超过</w:t>
      </w:r>
      <w:r>
        <w:rPr>
          <w:rFonts w:ascii="宋体" w:hAnsi="Times New Roman" w:eastAsia="宋体" w:cs="Times New Roman"/>
          <w:snapToGrid/>
          <w:color w:val="auto"/>
          <w:szCs w:val="20"/>
          <w:lang w:eastAsia="zh-CN"/>
        </w:rPr>
        <w:t>3000</w:t>
      </w:r>
      <w:r>
        <w:rPr>
          <w:rFonts w:hint="eastAsia" w:ascii="宋体" w:hAnsi="Times New Roman" w:eastAsia="宋体" w:cs="Times New Roman"/>
          <w:snapToGrid/>
          <w:color w:val="auto"/>
          <w:szCs w:val="20"/>
          <w:lang w:val="en-US" w:eastAsia="zh-CN"/>
        </w:rPr>
        <w:t>米</w:t>
      </w:r>
      <w:r>
        <w:rPr>
          <w:rFonts w:ascii="宋体" w:hAnsi="Times New Roman" w:eastAsia="宋体" w:cs="Times New Roman"/>
          <w:snapToGrid/>
          <w:color w:val="auto"/>
          <w:szCs w:val="20"/>
          <w:lang w:eastAsia="zh-CN"/>
        </w:rPr>
        <w:t>)</w:t>
      </w:r>
      <w:r>
        <w:rPr>
          <w:rFonts w:hint="eastAsia" w:ascii="宋体" w:hAnsi="Times New Roman" w:eastAsia="宋体" w:cs="Times New Roman"/>
          <w:snapToGrid/>
          <w:color w:val="auto"/>
          <w:szCs w:val="20"/>
          <w:lang w:eastAsia="zh-CN"/>
        </w:rPr>
        <w:t>，应开</w:t>
      </w:r>
      <w:r>
        <w:rPr>
          <w:rFonts w:hint="eastAsia"/>
          <w:lang w:eastAsia="zh-CN"/>
        </w:rPr>
        <w:t>展火灾实验。</w:t>
      </w:r>
      <w:r>
        <w:rPr>
          <w:rFonts w:hint="eastAsia" w:cs="微软雅黑" w:asciiTheme="minorEastAsia" w:hAnsiTheme="minorEastAsia" w:eastAsiaTheme="minorEastAsia"/>
          <w:lang w:eastAsia="zh-CN"/>
        </w:rPr>
        <w:t>火灾当量不应小于</w:t>
      </w:r>
      <w:r>
        <w:rPr>
          <w:rFonts w:hint="eastAsia" w:asciiTheme="minorEastAsia" w:hAnsiTheme="minorEastAsia" w:eastAsiaTheme="minorEastAsia"/>
          <w:lang w:eastAsia="zh-CN"/>
        </w:rPr>
        <w:t>2.5</w:t>
      </w:r>
      <w:r>
        <w:rPr>
          <w:rFonts w:hint="eastAsia" w:asciiTheme="minorEastAsia" w:hAnsiTheme="minorEastAsia" w:eastAsiaTheme="minorEastAsia"/>
          <w:lang w:val="en-US" w:eastAsia="zh-CN"/>
        </w:rPr>
        <w:t>兆瓦</w:t>
      </w:r>
      <w:r>
        <w:rPr>
          <w:rFonts w:hint="eastAsia" w:asciiTheme="minorEastAsia" w:hAnsiTheme="minorEastAsia" w:eastAsiaTheme="minorEastAsia"/>
          <w:lang w:eastAsia="zh-CN"/>
        </w:rPr>
        <w:t>。火灾实验</w:t>
      </w:r>
      <w:r>
        <w:rPr>
          <w:rFonts w:hint="eastAsia"/>
          <w:lang w:eastAsia="zh-CN"/>
        </w:rPr>
        <w:t>应选取入口段、交汇口、中间段、出口段等典型位置按照排烟策略（轴流排烟风机、加压风机、射流风机、电动排烟口等全系统）</w:t>
      </w:r>
      <w:r>
        <w:rPr>
          <w:rFonts w:hint="eastAsia" w:asciiTheme="minorEastAsia" w:hAnsiTheme="minorEastAsia" w:eastAsiaTheme="minorEastAsia"/>
          <w:lang w:eastAsia="zh-CN"/>
        </w:rPr>
        <w:t>，</w:t>
      </w:r>
      <w:r>
        <w:rPr>
          <w:rFonts w:hint="eastAsia"/>
          <w:lang w:eastAsia="zh-CN"/>
        </w:rPr>
        <w:t>验证</w:t>
      </w:r>
      <w:r>
        <w:rPr>
          <w:rFonts w:hint="eastAsia" w:cs="微软雅黑" w:asciiTheme="minorEastAsia" w:hAnsiTheme="minorEastAsia" w:eastAsiaTheme="minorEastAsia"/>
          <w:lang w:eastAsia="zh-CN"/>
        </w:rPr>
        <w:t>通风排烟系统的有效性和排烟策略的合理性。</w:t>
      </w:r>
    </w:p>
    <w:p w14:paraId="073CC327">
      <w:pPr>
        <w:spacing w:line="360" w:lineRule="auto"/>
        <w:jc w:val="both"/>
        <w:rPr>
          <w:lang w:eastAsia="zh-CN"/>
        </w:rPr>
      </w:pPr>
      <w:r>
        <w:rPr>
          <w:rFonts w:hint="eastAsia" w:ascii="黑体" w:hAnsi="黑体" w:eastAsia="黑体" w:cs="Times New Roman"/>
          <w:color w:val="auto"/>
          <w:szCs w:val="20"/>
          <w:lang w:eastAsia="zh-CN"/>
        </w:rPr>
        <w:t>4</w:t>
      </w:r>
      <w:r>
        <w:rPr>
          <w:rFonts w:ascii="黑体" w:hAnsi="黑体" w:eastAsia="黑体" w:cs="Times New Roman"/>
          <w:color w:val="auto"/>
          <w:szCs w:val="20"/>
          <w:lang w:eastAsia="zh-CN"/>
        </w:rPr>
        <w:t>.1</w:t>
      </w:r>
      <w:r>
        <w:rPr>
          <w:rFonts w:hint="eastAsia" w:ascii="黑体" w:hAnsi="黑体" w:eastAsia="黑体" w:cs="Times New Roman"/>
          <w:color w:val="auto"/>
          <w:szCs w:val="20"/>
          <w:lang w:eastAsia="zh-CN"/>
        </w:rPr>
        <w:t>4</w:t>
      </w:r>
      <w:r>
        <w:rPr>
          <w:lang w:eastAsia="zh-CN"/>
        </w:rPr>
        <w:t xml:space="preserve">  </w:t>
      </w:r>
      <w:r>
        <w:rPr>
          <w:rFonts w:hint="eastAsia"/>
          <w:lang w:eastAsia="zh-CN"/>
        </w:rPr>
        <w:t>对于设置了数字化管控平台的隧道，应结合平台进行火灾实验验证。</w:t>
      </w:r>
    </w:p>
    <w:p w14:paraId="20BAE26F">
      <w:pPr>
        <w:spacing w:line="360" w:lineRule="auto"/>
        <w:jc w:val="both"/>
        <w:rPr>
          <w:lang w:eastAsia="zh-CN"/>
        </w:rPr>
      </w:pPr>
      <w:r>
        <w:rPr>
          <w:rFonts w:hint="eastAsia" w:ascii="黑体" w:hAnsi="黑体" w:eastAsia="黑体"/>
          <w:snapToGrid/>
          <w:lang w:eastAsia="zh-CN"/>
        </w:rPr>
        <w:t>4</w:t>
      </w:r>
      <w:r>
        <w:rPr>
          <w:rFonts w:ascii="黑体" w:hAnsi="黑体" w:eastAsia="黑体"/>
          <w:snapToGrid/>
          <w:lang w:eastAsia="zh-CN"/>
        </w:rPr>
        <w:t>.1</w:t>
      </w:r>
      <w:r>
        <w:rPr>
          <w:rFonts w:hint="eastAsia" w:ascii="黑体" w:hAnsi="黑体" w:eastAsia="黑体"/>
          <w:snapToGrid/>
          <w:lang w:eastAsia="zh-CN"/>
        </w:rPr>
        <w:t>5</w:t>
      </w:r>
      <w:r>
        <w:rPr>
          <w:lang w:eastAsia="zh-CN"/>
        </w:rPr>
        <w:t xml:space="preserve">  </w:t>
      </w:r>
      <w:r>
        <w:rPr>
          <w:rFonts w:hint="eastAsia"/>
          <w:lang w:eastAsia="zh-CN"/>
        </w:rPr>
        <w:t>由多家单位共同管理的隧道应在建设期协调多家管理单位制定统一排烟策略，应急工况下由一家单位统一指挥</w:t>
      </w:r>
      <w:r>
        <w:rPr>
          <w:rFonts w:hint="eastAsia" w:asciiTheme="minorEastAsia" w:hAnsiTheme="minorEastAsia" w:eastAsiaTheme="minorEastAsia"/>
          <w:lang w:eastAsia="zh-CN"/>
        </w:rPr>
        <w:t>。</w:t>
      </w:r>
    </w:p>
    <w:p w14:paraId="5AF63BC7">
      <w:pPr>
        <w:pStyle w:val="29"/>
        <w:spacing w:before="240" w:after="240"/>
        <w:outlineLvl w:val="0"/>
      </w:pPr>
      <w:bookmarkStart w:id="42" w:name="bookmark29"/>
      <w:bookmarkEnd w:id="42"/>
      <w:bookmarkStart w:id="43" w:name="_Toc215957763"/>
      <w:bookmarkStart w:id="44" w:name="_Toc219106497"/>
      <w:r>
        <w:t xml:space="preserve">5 </w:t>
      </w:r>
      <w:r>
        <w:rPr>
          <w:rFonts w:hint="eastAsia"/>
        </w:rPr>
        <w:t>灾害事故处置流程</w:t>
      </w:r>
      <w:bookmarkEnd w:id="43"/>
      <w:bookmarkEnd w:id="44"/>
    </w:p>
    <w:p w14:paraId="681FFBB6">
      <w:pPr>
        <w:spacing w:line="360" w:lineRule="auto"/>
        <w:ind w:firstLine="420" w:firstLineChars="200"/>
        <w:jc w:val="both"/>
        <w:rPr>
          <w:rFonts w:cs="微软雅黑" w:asciiTheme="minorEastAsia" w:hAnsiTheme="minorEastAsia" w:eastAsiaTheme="minorEastAsia"/>
          <w:lang w:eastAsia="zh-CN"/>
        </w:rPr>
      </w:pPr>
      <w:r>
        <w:rPr>
          <w:rFonts w:hint="eastAsia" w:cs="微软雅黑" w:asciiTheme="minorEastAsia" w:hAnsiTheme="minorEastAsia" w:eastAsiaTheme="minorEastAsia"/>
          <w:lang w:eastAsia="zh-CN"/>
        </w:rPr>
        <w:t>隧道运营单位在隧道运营灾害事故发生后需要及时上报信息，并采取初期应急处置措施，协助消防救援等部门进行灾害处置，主要处置流程见图1</w:t>
      </w:r>
    </w:p>
    <w:p w14:paraId="01677829">
      <w:pPr>
        <w:pStyle w:val="27"/>
        <w:spacing w:line="360" w:lineRule="auto"/>
        <w:jc w:val="center"/>
      </w:pPr>
      <w:r>
        <w:object>
          <v:shape id="_x0000_i1025" o:spt="75" type="#_x0000_t75" style="height:282.75pt;width:246.75pt;" o:ole="t" filled="f" o:preferrelative="t" stroked="f" coordsize="21600,21600">
            <v:path/>
            <v:fill on="f" focussize="0,0"/>
            <v:stroke on="f" joinstyle="miter"/>
            <v:imagedata r:id="rId12" o:title=""/>
            <o:lock v:ext="edit" aspectratio="t"/>
            <w10:wrap type="none"/>
            <w10:anchorlock/>
          </v:shape>
          <o:OLEObject Type="Embed" ProgID="Visio.Drawing.11" ShapeID="_x0000_i1025" DrawAspect="Content" ObjectID="_1468075725" r:id="rId11">
            <o:LockedField>false</o:LockedField>
          </o:OLEObject>
        </w:object>
      </w:r>
    </w:p>
    <w:p w14:paraId="5EC748A5">
      <w:pPr>
        <w:pStyle w:val="27"/>
        <w:spacing w:line="360" w:lineRule="auto"/>
        <w:jc w:val="center"/>
        <w:rPr>
          <w:bCs/>
        </w:rPr>
      </w:pPr>
      <w:r>
        <w:rPr>
          <w:rFonts w:hint="eastAsia"/>
          <w:bCs/>
        </w:rPr>
        <w:t>图</w:t>
      </w:r>
      <w:r>
        <w:rPr>
          <w:bCs/>
        </w:rPr>
        <w:t>1</w:t>
      </w:r>
      <w:r>
        <w:rPr>
          <w:rFonts w:hint="eastAsia"/>
          <w:bCs/>
        </w:rPr>
        <w:t xml:space="preserve"> 隧道灾害事件应急处置流程图</w:t>
      </w:r>
    </w:p>
    <w:p w14:paraId="27F443C0">
      <w:pPr>
        <w:pStyle w:val="27"/>
        <w:spacing w:line="360" w:lineRule="auto"/>
      </w:pPr>
    </w:p>
    <w:p w14:paraId="4576AE28">
      <w:pPr>
        <w:pStyle w:val="29"/>
        <w:spacing w:before="120" w:beforeLines="50" w:after="120" w:afterLines="50" w:line="360" w:lineRule="auto"/>
        <w:outlineLvl w:val="0"/>
      </w:pPr>
      <w:bookmarkStart w:id="45" w:name="_Toc219106498"/>
      <w:r>
        <w:t xml:space="preserve">6 </w:t>
      </w:r>
      <w:r>
        <w:rPr>
          <w:rFonts w:hint="eastAsia"/>
        </w:rPr>
        <w:t>应急处置与救援</w:t>
      </w:r>
      <w:bookmarkEnd w:id="45"/>
    </w:p>
    <w:p w14:paraId="0E8BB9B2">
      <w:pPr>
        <w:pStyle w:val="29"/>
        <w:spacing w:before="240" w:after="240" w:line="360" w:lineRule="auto"/>
      </w:pPr>
      <w:bookmarkStart w:id="46" w:name="_Toc219106499"/>
      <w:r>
        <w:t xml:space="preserve">6.1 </w:t>
      </w:r>
      <w:r>
        <w:rPr>
          <w:rFonts w:hint="eastAsia"/>
        </w:rPr>
        <w:t>灾害事故触发</w:t>
      </w:r>
      <w:bookmarkEnd w:id="46"/>
    </w:p>
    <w:p w14:paraId="77D813BC">
      <w:pPr>
        <w:pStyle w:val="27"/>
        <w:spacing w:line="360" w:lineRule="auto"/>
      </w:pPr>
      <w:r>
        <w:t>6.1.1 隧道</w:t>
      </w:r>
      <w:r>
        <w:rPr>
          <w:rFonts w:hint="eastAsia"/>
        </w:rPr>
        <w:t>视频事件</w:t>
      </w:r>
      <w:r>
        <w:t>探测器、</w:t>
      </w:r>
      <w:r>
        <w:rPr>
          <w:rFonts w:hint="eastAsia"/>
        </w:rPr>
        <w:t>火灾报警系统、</w:t>
      </w:r>
      <w:r>
        <w:t>手动报警按钮、紧急电话等发出报警信号或接到人员报警时，隧道监控中心值班人员应</w:t>
      </w:r>
      <w:r>
        <w:rPr>
          <w:rFonts w:hint="eastAsia"/>
        </w:rPr>
        <w:t>通过</w:t>
      </w:r>
      <w:r>
        <w:t>视频设备</w:t>
      </w:r>
      <w:r>
        <w:rPr>
          <w:rFonts w:hint="eastAsia"/>
        </w:rPr>
        <w:t>或现场人员</w:t>
      </w:r>
      <w:r>
        <w:t>进行确认并做好相应记录。</w:t>
      </w:r>
    </w:p>
    <w:p w14:paraId="6BE32169">
      <w:pPr>
        <w:pStyle w:val="27"/>
        <w:spacing w:line="360" w:lineRule="auto"/>
      </w:pPr>
      <w:r>
        <w:t>6.1.2 经确认未形成</w:t>
      </w:r>
      <w:r>
        <w:rPr>
          <w:rFonts w:hint="eastAsia"/>
        </w:rPr>
        <w:t>灾害事故</w:t>
      </w:r>
      <w:r>
        <w:t>时，隧道监控中心值班人员应查明报警原因以及</w:t>
      </w:r>
      <w:r>
        <w:rPr>
          <w:rFonts w:hint="eastAsia"/>
        </w:rPr>
        <w:t>报警系统</w:t>
      </w:r>
      <w:r>
        <w:t>异常原因，将自动报警系统复位，并采取相应处理措施。</w:t>
      </w:r>
    </w:p>
    <w:p w14:paraId="02E963F7">
      <w:pPr>
        <w:pStyle w:val="27"/>
        <w:spacing w:line="360" w:lineRule="auto"/>
      </w:pPr>
      <w:r>
        <w:t>6.1.3 经确认发生</w:t>
      </w:r>
      <w:r>
        <w:rPr>
          <w:rFonts w:hint="eastAsia"/>
        </w:rPr>
        <w:t>灾害事故</w:t>
      </w:r>
      <w:r>
        <w:t>时，隧道监控中心值班人员应立即通知本单位负责人</w:t>
      </w:r>
      <w:r>
        <w:rPr>
          <w:rFonts w:hint="eastAsia"/>
        </w:rPr>
        <w:t>并按相关规定向公安交管及消防救援部门等报告</w:t>
      </w:r>
      <w:r>
        <w:t>事故信息。</w:t>
      </w:r>
    </w:p>
    <w:p w14:paraId="6BA8A80E">
      <w:pPr>
        <w:pStyle w:val="29"/>
        <w:spacing w:before="120" w:beforeLines="50" w:after="120" w:afterLines="50" w:line="360" w:lineRule="auto"/>
      </w:pPr>
      <w:bookmarkStart w:id="47" w:name="_Toc219106500"/>
      <w:r>
        <w:t xml:space="preserve">6.2 </w:t>
      </w:r>
      <w:r>
        <w:rPr>
          <w:rFonts w:hint="eastAsia"/>
        </w:rPr>
        <w:t>隧道灾害事故信息报送制度</w:t>
      </w:r>
      <w:bookmarkEnd w:id="47"/>
    </w:p>
    <w:p w14:paraId="755C4752">
      <w:pPr>
        <w:spacing w:line="360" w:lineRule="auto"/>
        <w:ind w:right="122" w:firstLine="420" w:firstLineChars="200"/>
        <w:jc w:val="both"/>
        <w:rPr>
          <w:rFonts w:ascii="宋体" w:hAnsi="Times New Roman" w:eastAsia="宋体" w:cs="Times New Roman"/>
          <w:snapToGrid/>
          <w:color w:val="auto"/>
          <w:szCs w:val="20"/>
          <w:lang w:eastAsia="zh-CN"/>
        </w:rPr>
      </w:pPr>
      <w:r>
        <w:rPr>
          <w:rFonts w:ascii="宋体" w:hAnsi="Times New Roman" w:eastAsia="宋体" w:cs="Times New Roman"/>
          <w:snapToGrid/>
          <w:color w:val="auto"/>
          <w:szCs w:val="20"/>
          <w:lang w:eastAsia="zh-CN"/>
        </w:rPr>
        <w:t>6</w:t>
      </w:r>
      <w:r>
        <w:rPr>
          <w:rFonts w:hint="eastAsia" w:ascii="宋体" w:hAnsi="Times New Roman" w:eastAsia="宋体" w:cs="Times New Roman"/>
          <w:snapToGrid/>
          <w:color w:val="auto"/>
          <w:szCs w:val="20"/>
          <w:lang w:eastAsia="zh-CN"/>
        </w:rPr>
        <w:t>.</w:t>
      </w:r>
      <w:r>
        <w:rPr>
          <w:rFonts w:ascii="宋体" w:hAnsi="Times New Roman" w:eastAsia="宋体" w:cs="Times New Roman"/>
          <w:snapToGrid/>
          <w:color w:val="auto"/>
          <w:szCs w:val="20"/>
          <w:lang w:eastAsia="zh-CN"/>
        </w:rPr>
        <w:t>2</w:t>
      </w:r>
      <w:r>
        <w:rPr>
          <w:rFonts w:hint="eastAsia" w:ascii="宋体" w:hAnsi="Times New Roman" w:eastAsia="宋体" w:cs="Times New Roman"/>
          <w:snapToGrid/>
          <w:color w:val="auto"/>
          <w:szCs w:val="20"/>
          <w:lang w:eastAsia="zh-CN"/>
        </w:rPr>
        <w:t>.1 公路隧道运营单位应按照有关规定向本单位及上级部门及时报告灾害事故信息。信息报送应贯穿于灾害事故处置全过程。</w:t>
      </w:r>
    </w:p>
    <w:p w14:paraId="5A6EA2F6">
      <w:pPr>
        <w:pStyle w:val="41"/>
        <w:spacing w:line="360" w:lineRule="auto"/>
        <w:ind w:firstLine="420" w:firstLineChars="200"/>
      </w:pPr>
      <w:r>
        <w:t>6.2.2</w:t>
      </w:r>
      <w:r>
        <w:rPr>
          <w:rFonts w:hint="eastAsia"/>
        </w:rPr>
        <w:t>公路隧道运营单位</w:t>
      </w:r>
      <w:r>
        <w:t>上报</w:t>
      </w:r>
      <w:r>
        <w:rPr>
          <w:rFonts w:hint="eastAsia"/>
        </w:rPr>
        <w:t>灾害事故</w:t>
      </w:r>
      <w:r>
        <w:t>信息，包括但不限于</w:t>
      </w:r>
      <w:r>
        <w:rPr>
          <w:rFonts w:hint="eastAsia"/>
        </w:rPr>
        <w:t>事故发生的时间、地点、过程、造成或可能造成的影响、应急处置救援基本情况、发展趋势以及事件原因等。</w:t>
      </w:r>
    </w:p>
    <w:p w14:paraId="366684C5">
      <w:pPr>
        <w:pStyle w:val="29"/>
        <w:spacing w:before="240" w:after="240" w:line="360" w:lineRule="auto"/>
      </w:pPr>
      <w:bookmarkStart w:id="48" w:name="bookmark12"/>
      <w:bookmarkEnd w:id="48"/>
      <w:bookmarkStart w:id="49" w:name="bookmark11"/>
      <w:bookmarkEnd w:id="49"/>
      <w:bookmarkStart w:id="50" w:name="bookmark30"/>
      <w:bookmarkEnd w:id="50"/>
      <w:bookmarkStart w:id="51" w:name="_Toc219106501"/>
      <w:r>
        <w:t>6.3 灾害</w:t>
      </w:r>
      <w:r>
        <w:rPr>
          <w:rFonts w:hint="eastAsia"/>
        </w:rPr>
        <w:t>事故</w:t>
      </w:r>
      <w:r>
        <w:t>初期救援与处置</w:t>
      </w:r>
      <w:r>
        <w:rPr>
          <w:rFonts w:hint="eastAsia"/>
        </w:rPr>
        <w:t>要求</w:t>
      </w:r>
      <w:bookmarkEnd w:id="51"/>
    </w:p>
    <w:p w14:paraId="67031642">
      <w:pPr>
        <w:pStyle w:val="41"/>
        <w:spacing w:line="360" w:lineRule="auto"/>
        <w:ind w:firstLine="420" w:firstLineChars="200"/>
        <w:outlineLvl w:val="2"/>
      </w:pPr>
      <w:bookmarkStart w:id="52" w:name="bookmark13"/>
      <w:bookmarkEnd w:id="52"/>
      <w:bookmarkStart w:id="53" w:name="_Toc219105654"/>
      <w:bookmarkStart w:id="54" w:name="_Toc215930419"/>
      <w:bookmarkStart w:id="55" w:name="_Toc219106502"/>
      <w:r>
        <w:t>6.3.1 在严格遵循国家法律法规、标准规范的基础上，厘清运营单位与专业应急救援力量的工作边界，明确运营单位在</w:t>
      </w:r>
      <w:r>
        <w:rPr>
          <w:rFonts w:hint="eastAsia"/>
        </w:rPr>
        <w:t>灾害事故</w:t>
      </w:r>
      <w:r>
        <w:t>应急处置工作中的定位、职责。跨省界或跨运营主体隧道应急处置工作应由两方运营单位共同参与，做到统一指挥调度、统一联动控制。</w:t>
      </w:r>
      <w:bookmarkEnd w:id="53"/>
      <w:bookmarkEnd w:id="54"/>
      <w:bookmarkEnd w:id="55"/>
    </w:p>
    <w:p w14:paraId="405EF9F9">
      <w:pPr>
        <w:pStyle w:val="41"/>
        <w:spacing w:line="360" w:lineRule="auto"/>
        <w:ind w:firstLine="420" w:firstLineChars="200"/>
        <w:outlineLvl w:val="2"/>
      </w:pPr>
      <w:bookmarkStart w:id="56" w:name="_Toc219106503"/>
      <w:bookmarkStart w:id="57" w:name="_Toc219105655"/>
      <w:bookmarkStart w:id="58" w:name="_Toc215930420"/>
      <w:r>
        <w:t xml:space="preserve">6.3.2 </w:t>
      </w:r>
      <w:r>
        <w:rPr>
          <w:rFonts w:hint="eastAsia"/>
        </w:rPr>
        <w:t>应根据工作岗位的设置情况和职责要求，明确各项先期处置措施的工作分工和岗位责任。</w:t>
      </w:r>
      <w:bookmarkEnd w:id="56"/>
      <w:bookmarkEnd w:id="57"/>
      <w:bookmarkEnd w:id="58"/>
    </w:p>
    <w:p w14:paraId="60ED24BB">
      <w:pPr>
        <w:pStyle w:val="41"/>
        <w:spacing w:line="360" w:lineRule="auto"/>
        <w:ind w:firstLine="420" w:firstLineChars="200"/>
        <w:outlineLvl w:val="2"/>
      </w:pPr>
      <w:bookmarkStart w:id="59" w:name="_Toc219105656"/>
      <w:bookmarkStart w:id="60" w:name="_Toc219106504"/>
      <w:bookmarkStart w:id="61" w:name="_Toc215930421"/>
      <w:r>
        <w:t>6.3.3 初期救援与处置应统一指挥，</w:t>
      </w:r>
      <w:r>
        <w:rPr>
          <w:rFonts w:hint="eastAsia"/>
        </w:rPr>
        <w:t>公路</w:t>
      </w:r>
      <w:r>
        <w:t>隧道运营单位应急救援人员到达现场后进行现场保护和</w:t>
      </w:r>
      <w:r>
        <w:rPr>
          <w:rFonts w:hint="eastAsia"/>
        </w:rPr>
        <w:t>先期</w:t>
      </w:r>
      <w:r>
        <w:t>处置</w:t>
      </w:r>
      <w:r>
        <w:rPr>
          <w:rFonts w:hint="eastAsia"/>
        </w:rPr>
        <w:t>。灾害事故</w:t>
      </w:r>
      <w:r>
        <w:t>应急处置指挥部</w:t>
      </w:r>
      <w:r>
        <w:rPr>
          <w:rFonts w:hint="eastAsia"/>
        </w:rPr>
        <w:t>组建</w:t>
      </w:r>
      <w:r>
        <w:t>后，移交指挥权，并应符合以下规定：</w:t>
      </w:r>
      <w:bookmarkEnd w:id="59"/>
      <w:bookmarkEnd w:id="60"/>
      <w:bookmarkEnd w:id="61"/>
    </w:p>
    <w:p w14:paraId="0EFAC5A4">
      <w:pPr>
        <w:pStyle w:val="43"/>
        <w:tabs>
          <w:tab w:val="left" w:pos="851"/>
        </w:tabs>
        <w:spacing w:line="360" w:lineRule="auto"/>
        <w:ind w:left="210" w:leftChars="100" w:firstLine="840" w:firstLineChars="400"/>
      </w:pPr>
      <w:r>
        <w:t>a）灾害</w:t>
      </w:r>
      <w:r>
        <w:rPr>
          <w:rFonts w:hint="eastAsia"/>
        </w:rPr>
        <w:t>事故</w:t>
      </w:r>
      <w:r>
        <w:t>初期救援处置应以管控交通、疏散人群为主要目标。</w:t>
      </w:r>
    </w:p>
    <w:p w14:paraId="235BF5D2">
      <w:pPr>
        <w:pStyle w:val="43"/>
        <w:tabs>
          <w:tab w:val="left" w:pos="851"/>
        </w:tabs>
        <w:spacing w:line="360" w:lineRule="auto"/>
        <w:ind w:left="210" w:leftChars="100" w:firstLine="840" w:firstLineChars="400"/>
      </w:pPr>
      <w:r>
        <w:t>b）</w:t>
      </w:r>
      <w:r>
        <w:rPr>
          <w:rFonts w:hint="eastAsia"/>
        </w:rPr>
        <w:t>协助交管部门进行交通疏导和救援路线的开辟</w:t>
      </w:r>
      <w:r>
        <w:t>。</w:t>
      </w:r>
    </w:p>
    <w:p w14:paraId="56DCE5DC">
      <w:pPr>
        <w:pStyle w:val="43"/>
        <w:tabs>
          <w:tab w:val="left" w:pos="851"/>
        </w:tabs>
        <w:spacing w:line="360" w:lineRule="auto"/>
        <w:ind w:left="210" w:leftChars="100" w:firstLine="840" w:firstLineChars="400"/>
      </w:pPr>
      <w:r>
        <w:t>c</w:t>
      </w:r>
      <w:r>
        <w:rPr>
          <w:rFonts w:hint="eastAsia"/>
        </w:rPr>
        <w:t>）</w:t>
      </w:r>
      <w:r>
        <w:rPr>
          <w:rFonts w:hint="eastAsia" w:hAnsi="宋体"/>
          <w:szCs w:val="21"/>
        </w:rPr>
        <w:t>指挥权移交时，公路隧道运营单位现场负责人应向专业应急救援力量指挥官提供现场基本情况，包括但不限于：突发事件类型与规模、已采取的措施、隧道内人员与车辆情况、关键设施（通风、消防、供电）状态、隧道结构图纸与设备布置图、已知的危险源等。</w:t>
      </w:r>
    </w:p>
    <w:p w14:paraId="5FB6D3F9">
      <w:pPr>
        <w:pStyle w:val="40"/>
        <w:spacing w:before="120" w:after="120" w:line="360" w:lineRule="auto"/>
      </w:pPr>
      <w:bookmarkStart w:id="62" w:name="bookmark14"/>
      <w:bookmarkEnd w:id="62"/>
      <w:bookmarkStart w:id="63" w:name="_Toc219106505"/>
      <w:bookmarkStart w:id="64" w:name="_Toc215071135"/>
      <w:r>
        <w:t xml:space="preserve">6.4 </w:t>
      </w:r>
      <w:r>
        <w:rPr>
          <w:rFonts w:hint="eastAsia"/>
          <w:lang w:val="en-US" w:eastAsia="zh-CN"/>
        </w:rPr>
        <w:t>灾害事故</w:t>
      </w:r>
      <w:r>
        <w:rPr>
          <w:rFonts w:hint="eastAsia"/>
        </w:rPr>
        <w:t>场景设定</w:t>
      </w:r>
      <w:bookmarkEnd w:id="63"/>
      <w:bookmarkEnd w:id="64"/>
    </w:p>
    <w:p w14:paraId="29B44B28">
      <w:pPr>
        <w:pStyle w:val="41"/>
        <w:spacing w:line="360" w:lineRule="auto"/>
        <w:ind w:firstLine="420" w:firstLineChars="200"/>
      </w:pPr>
      <w:r>
        <w:rPr>
          <w:rFonts w:hint="eastAsia"/>
        </w:rPr>
        <w:t>公路隧道运营单位</w:t>
      </w:r>
      <w:r>
        <w:t>应</w:t>
      </w:r>
      <w:r>
        <w:rPr>
          <w:rFonts w:hint="eastAsia"/>
        </w:rPr>
        <w:t>根据隧道运营风险评估结果设定灾害事故类型，包括但不限于以下灾害事故或重点场景类型：火灾、交通事故</w:t>
      </w:r>
      <w:r>
        <w:t>、恶劣气象、危险化学品泄漏、水淹、主体结构损坏、机电设备故障等</w:t>
      </w:r>
      <w:r>
        <w:rPr>
          <w:rFonts w:hint="eastAsia"/>
        </w:rPr>
        <w:t>。</w:t>
      </w:r>
    </w:p>
    <w:p w14:paraId="20B0E021">
      <w:pPr>
        <w:pStyle w:val="40"/>
        <w:spacing w:before="120" w:after="120" w:line="360" w:lineRule="auto"/>
      </w:pPr>
      <w:bookmarkStart w:id="65" w:name="_Toc219106506"/>
      <w:bookmarkStart w:id="66" w:name="_Toc215071136"/>
      <w:r>
        <w:t xml:space="preserve">6.5 </w:t>
      </w:r>
      <w:r>
        <w:rPr>
          <w:rFonts w:ascii="宋体" w:eastAsia="宋体"/>
        </w:rPr>
        <w:t xml:space="preserve"> </w:t>
      </w:r>
      <w:r>
        <w:rPr>
          <w:rFonts w:hint="eastAsia"/>
        </w:rPr>
        <w:t>火灾工况下</w:t>
      </w:r>
      <w:r>
        <w:t>处置措施</w:t>
      </w:r>
      <w:bookmarkEnd w:id="65"/>
      <w:bookmarkEnd w:id="66"/>
    </w:p>
    <w:p w14:paraId="403A41D7">
      <w:pPr>
        <w:pStyle w:val="27"/>
        <w:spacing w:line="360" w:lineRule="auto"/>
      </w:pPr>
      <w:bookmarkStart w:id="67" w:name="OLE_LINK4"/>
      <w:bookmarkStart w:id="68" w:name="OLE_LINK6"/>
      <w:r>
        <w:rPr>
          <w:rFonts w:hint="eastAsia"/>
        </w:rPr>
        <w:t>隧道火灾工况下处置措施只针对隧道同时只发生一处火灾的情形。火灾工况下需要采取的处置措施包括但不限于以下内容：</w:t>
      </w:r>
    </w:p>
    <w:bookmarkEnd w:id="67"/>
    <w:bookmarkEnd w:id="68"/>
    <w:p w14:paraId="754695C9">
      <w:pPr>
        <w:pStyle w:val="40"/>
        <w:spacing w:before="120" w:after="120" w:line="360" w:lineRule="auto"/>
        <w:ind w:firstLine="210" w:firstLineChars="100"/>
        <w:outlineLvl w:val="2"/>
        <w:rPr>
          <w:rFonts w:hAnsi="黑体"/>
        </w:rPr>
      </w:pPr>
      <w:bookmarkStart w:id="69" w:name="bookmark15"/>
      <w:bookmarkEnd w:id="69"/>
      <w:bookmarkStart w:id="70" w:name="_Toc219106507"/>
      <w:bookmarkStart w:id="71" w:name="_Toc215930424"/>
      <w:r>
        <w:rPr>
          <w:rFonts w:hAnsi="黑体"/>
        </w:rPr>
        <w:t>6.5.1</w:t>
      </w:r>
      <w:r>
        <w:rPr>
          <w:rFonts w:hint="eastAsia" w:hAnsi="黑体"/>
        </w:rPr>
        <w:t xml:space="preserve"> 交通控制</w:t>
      </w:r>
      <w:bookmarkEnd w:id="70"/>
      <w:bookmarkEnd w:id="71"/>
    </w:p>
    <w:p w14:paraId="3252F93F">
      <w:pPr>
        <w:pStyle w:val="41"/>
        <w:spacing w:line="360" w:lineRule="auto"/>
        <w:ind w:firstLine="420" w:firstLineChars="200"/>
      </w:pPr>
      <w:bookmarkStart w:id="72" w:name="OLE_LINK13"/>
      <w:bookmarkStart w:id="73" w:name="OLE_LINK7"/>
      <w:r>
        <w:rPr>
          <w:rFonts w:asciiTheme="minorEastAsia" w:hAnsiTheme="minorEastAsia" w:eastAsiaTheme="minorEastAsia"/>
        </w:rPr>
        <w:t>6.5.1.1</w:t>
      </w:r>
      <w:r>
        <w:rPr>
          <w:rFonts w:hint="eastAsia"/>
        </w:rPr>
        <w:t>火灾工况下</w:t>
      </w:r>
      <w:r>
        <w:t>交通控制分为交通管制与远端分流限制。</w:t>
      </w:r>
    </w:p>
    <w:p w14:paraId="761F3D88">
      <w:pPr>
        <w:pStyle w:val="41"/>
        <w:spacing w:line="360" w:lineRule="auto"/>
        <w:ind w:firstLine="420" w:firstLineChars="200"/>
      </w:pPr>
      <w:r>
        <w:rPr>
          <w:rFonts w:asciiTheme="minorEastAsia" w:hAnsiTheme="minorEastAsia" w:eastAsiaTheme="minorEastAsia"/>
        </w:rPr>
        <w:t>6.5.1.2</w:t>
      </w:r>
      <w:r>
        <w:rPr>
          <w:rFonts w:ascii="黑体" w:hAnsi="黑体" w:eastAsia="黑体"/>
        </w:rPr>
        <w:t xml:space="preserve"> </w:t>
      </w:r>
      <w:r>
        <w:t>交通控制应符合以下规定：</w:t>
      </w:r>
    </w:p>
    <w:p w14:paraId="365D62FC">
      <w:pPr>
        <w:pStyle w:val="43"/>
        <w:tabs>
          <w:tab w:val="left" w:pos="851"/>
        </w:tabs>
        <w:spacing w:line="360" w:lineRule="auto"/>
        <w:ind w:left="210" w:leftChars="100" w:firstLine="630" w:firstLineChars="300"/>
      </w:pPr>
      <w:r>
        <w:t xml:space="preserve">a) </w:t>
      </w:r>
      <w:r>
        <w:rPr>
          <w:rFonts w:hint="eastAsia"/>
        </w:rPr>
        <w:t>事故隧道</w:t>
      </w:r>
      <w:r>
        <w:t>入口前的可变信息板应及时向未驶入隧道的车辆发布突发事件信息和“禁止通行 ”的警示信息。</w:t>
      </w:r>
    </w:p>
    <w:p w14:paraId="2E4B43BB">
      <w:pPr>
        <w:pStyle w:val="43"/>
        <w:tabs>
          <w:tab w:val="left" w:pos="851"/>
        </w:tabs>
        <w:spacing w:line="360" w:lineRule="auto"/>
        <w:ind w:firstLine="840" w:firstLineChars="400"/>
      </w:pPr>
      <w:r>
        <w:t xml:space="preserve">b) </w:t>
      </w:r>
      <w:r>
        <w:rPr>
          <w:rFonts w:hint="eastAsia"/>
        </w:rPr>
        <w:t>事故隧道的</w:t>
      </w:r>
      <w:r>
        <w:t>交通信号灯应变为红灯；未进入隧道的车辆应靠右侧停驻。</w:t>
      </w:r>
    </w:p>
    <w:p w14:paraId="0EE0AF3A">
      <w:pPr>
        <w:pStyle w:val="43"/>
        <w:tabs>
          <w:tab w:val="left" w:pos="851"/>
        </w:tabs>
        <w:spacing w:line="360" w:lineRule="auto"/>
        <w:ind w:left="210" w:leftChars="100" w:firstLine="630" w:firstLineChars="300"/>
      </w:pPr>
      <w:r>
        <w:t xml:space="preserve">c) </w:t>
      </w:r>
      <w:r>
        <w:rPr>
          <w:rFonts w:hint="eastAsia"/>
        </w:rPr>
        <w:t>事故隧道内</w:t>
      </w:r>
      <w:r>
        <w:t>设有可变信息板的，应能显示安全疏散信息，引导已驶入隧道内的车辆安全行驶。</w:t>
      </w:r>
    </w:p>
    <w:p w14:paraId="4AA75530">
      <w:pPr>
        <w:pStyle w:val="43"/>
        <w:tabs>
          <w:tab w:val="left" w:pos="851"/>
        </w:tabs>
        <w:spacing w:line="360" w:lineRule="auto"/>
        <w:ind w:firstLine="840" w:firstLineChars="400"/>
      </w:pPr>
      <w:r>
        <w:t xml:space="preserve">d) </w:t>
      </w:r>
      <w:r>
        <w:rPr>
          <w:rFonts w:hint="eastAsia"/>
        </w:rPr>
        <w:t>事故隧道</w:t>
      </w:r>
      <w:r>
        <w:t>内的</w:t>
      </w:r>
      <w:r>
        <w:rPr>
          <w:rFonts w:hint="eastAsia"/>
        </w:rPr>
        <w:t>火灾上游的</w:t>
      </w:r>
      <w:r>
        <w:t>车道指示器均显示为</w:t>
      </w:r>
      <w:r>
        <w:rPr>
          <w:rFonts w:hint="eastAsia"/>
        </w:rPr>
        <w:t>禁止通行</w:t>
      </w:r>
      <w:r>
        <w:t>模式，禁止后续车辆驶入。</w:t>
      </w:r>
    </w:p>
    <w:p w14:paraId="131E026D">
      <w:pPr>
        <w:pStyle w:val="41"/>
        <w:spacing w:line="360" w:lineRule="auto"/>
        <w:ind w:firstLine="420" w:firstLineChars="200"/>
      </w:pPr>
      <w:r>
        <w:rPr>
          <w:rFonts w:asciiTheme="minorEastAsia" w:hAnsiTheme="minorEastAsia" w:eastAsiaTheme="minorEastAsia"/>
        </w:rPr>
        <w:t>6.5.1.3</w:t>
      </w:r>
      <w:r>
        <w:t>当隧道内车辆发生严重拥堵时，</w:t>
      </w:r>
      <w:bookmarkStart w:id="74" w:name="OLE_LINK25"/>
      <w:r>
        <w:rPr>
          <w:rFonts w:hint="eastAsia"/>
        </w:rPr>
        <w:t>协助</w:t>
      </w:r>
      <w:r>
        <w:rPr>
          <w:rFonts w:asciiTheme="minorEastAsia" w:hAnsiTheme="minorEastAsia" w:eastAsiaTheme="minorEastAsia"/>
        </w:rPr>
        <w:t>公安交通管理</w:t>
      </w:r>
      <w:r>
        <w:rPr>
          <w:rFonts w:hint="eastAsia"/>
        </w:rPr>
        <w:t>部门</w:t>
      </w:r>
      <w:bookmarkEnd w:id="74"/>
      <w:r>
        <w:rPr>
          <w:rFonts w:hint="eastAsia"/>
        </w:rPr>
        <w:t>开辟救援通道</w:t>
      </w:r>
      <w:r>
        <w:t>。</w:t>
      </w:r>
    </w:p>
    <w:p w14:paraId="6E9C0FD0">
      <w:pPr>
        <w:pStyle w:val="41"/>
        <w:spacing w:line="360" w:lineRule="auto"/>
        <w:ind w:firstLine="420" w:firstLineChars="200"/>
        <w:rPr>
          <w:rFonts w:hAnsi="宋体"/>
        </w:rPr>
      </w:pPr>
      <w:r>
        <w:rPr>
          <w:rFonts w:asciiTheme="minorEastAsia" w:hAnsiTheme="minorEastAsia" w:eastAsiaTheme="minorEastAsia"/>
        </w:rPr>
        <w:t>6.5.1.4</w:t>
      </w:r>
      <w:r>
        <w:rPr>
          <w:rFonts w:hAnsi="宋体"/>
        </w:rPr>
        <w:t>根据现场特点，</w:t>
      </w:r>
      <w:r>
        <w:rPr>
          <w:rFonts w:hint="eastAsia"/>
        </w:rPr>
        <w:t>协助</w:t>
      </w:r>
      <w:r>
        <w:rPr>
          <w:rFonts w:asciiTheme="minorEastAsia" w:hAnsiTheme="minorEastAsia" w:eastAsiaTheme="minorEastAsia"/>
        </w:rPr>
        <w:t>公安交通管理</w:t>
      </w:r>
      <w:r>
        <w:rPr>
          <w:rFonts w:hint="eastAsia"/>
        </w:rPr>
        <w:t>部门</w:t>
      </w:r>
      <w:r>
        <w:rPr>
          <w:rFonts w:hAnsi="宋体"/>
        </w:rPr>
        <w:t>划分车辆集结区，并为救援车辆与特种车辆预留通道。</w:t>
      </w:r>
    </w:p>
    <w:p w14:paraId="788F9B21">
      <w:pPr>
        <w:pStyle w:val="41"/>
        <w:spacing w:line="360" w:lineRule="auto"/>
        <w:ind w:firstLine="420" w:firstLineChars="200"/>
      </w:pPr>
      <w:r>
        <w:rPr>
          <w:rFonts w:asciiTheme="minorEastAsia" w:hAnsiTheme="minorEastAsia" w:eastAsiaTheme="minorEastAsia"/>
        </w:rPr>
        <w:t>6.5.1.5</w:t>
      </w:r>
      <w:r>
        <w:t>疏散集结区，</w:t>
      </w:r>
      <w:r>
        <w:rPr>
          <w:rFonts w:hint="eastAsia"/>
        </w:rPr>
        <w:t>应设置在隧道口上风向安全区域，便于人员集结、清点和医疗救助，且不影响救援车辆通行。</w:t>
      </w:r>
      <w:r>
        <w:t>协助公安</w:t>
      </w:r>
      <w:r>
        <w:rPr>
          <w:rFonts w:hint="eastAsia"/>
        </w:rPr>
        <w:t>部门</w:t>
      </w:r>
      <w:r>
        <w:t>进行现场看护和秩序维护</w:t>
      </w:r>
      <w:r>
        <w:rPr>
          <w:rFonts w:hint="eastAsia"/>
        </w:rPr>
        <w:t>，协助</w:t>
      </w:r>
      <w:r>
        <w:t>医疗人员对伤员进行急救处理。</w:t>
      </w:r>
    </w:p>
    <w:bookmarkEnd w:id="72"/>
    <w:bookmarkEnd w:id="73"/>
    <w:p w14:paraId="2877B89A">
      <w:pPr>
        <w:pStyle w:val="41"/>
        <w:spacing w:line="360" w:lineRule="auto"/>
      </w:pPr>
    </w:p>
    <w:p w14:paraId="0C9D82CD">
      <w:pPr>
        <w:pStyle w:val="40"/>
        <w:spacing w:before="120" w:after="120" w:line="360" w:lineRule="auto"/>
        <w:ind w:firstLine="210" w:firstLineChars="100"/>
        <w:outlineLvl w:val="2"/>
        <w:rPr>
          <w:rFonts w:hAnsi="黑体"/>
        </w:rPr>
      </w:pPr>
      <w:bookmarkStart w:id="75" w:name="bookmark16"/>
      <w:bookmarkEnd w:id="75"/>
      <w:bookmarkStart w:id="76" w:name="_Toc219106508"/>
      <w:bookmarkStart w:id="77" w:name="_Toc215930425"/>
      <w:r>
        <w:rPr>
          <w:rFonts w:hAnsi="黑体"/>
        </w:rPr>
        <w:t xml:space="preserve">6.5.2 </w:t>
      </w:r>
      <w:r>
        <w:rPr>
          <w:rFonts w:hint="eastAsia" w:hAnsi="黑体"/>
        </w:rPr>
        <w:t>疏散救援</w:t>
      </w:r>
      <w:bookmarkEnd w:id="76"/>
      <w:bookmarkEnd w:id="77"/>
    </w:p>
    <w:p w14:paraId="47AFC811">
      <w:pPr>
        <w:pStyle w:val="41"/>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发生火灾后，</w:t>
      </w:r>
      <w:r>
        <w:rPr>
          <w:rFonts w:asciiTheme="minorEastAsia" w:hAnsiTheme="minorEastAsia" w:eastAsiaTheme="minorEastAsia"/>
        </w:rPr>
        <w:t>应体现人员优先疏散的原则，包括但不限于下列内容：</w:t>
      </w:r>
    </w:p>
    <w:p w14:paraId="64BCAF76">
      <w:pPr>
        <w:pStyle w:val="38"/>
        <w:spacing w:line="360" w:lineRule="auto"/>
        <w:ind w:firstLine="420"/>
        <w:rPr>
          <w:rFonts w:asciiTheme="minorEastAsia" w:hAnsiTheme="minorEastAsia" w:eastAsiaTheme="minorEastAsia"/>
        </w:rPr>
      </w:pPr>
      <w:r>
        <w:rPr>
          <w:rFonts w:asciiTheme="minorEastAsia" w:hAnsiTheme="minorEastAsia" w:eastAsiaTheme="minorEastAsia"/>
        </w:rPr>
        <w:t>6.5.2.1实施疏散前，协助公安交通管理部门封闭双向隧道入口，通过交通信号灯、可变信息标志、广播等进行告知、引导；</w:t>
      </w:r>
    </w:p>
    <w:p w14:paraId="7FDAD475">
      <w:pPr>
        <w:pStyle w:val="38"/>
        <w:spacing w:line="360" w:lineRule="auto"/>
        <w:ind w:firstLine="420"/>
        <w:rPr>
          <w:rFonts w:asciiTheme="minorEastAsia" w:hAnsiTheme="minorEastAsia" w:eastAsiaTheme="minorEastAsia"/>
        </w:rPr>
      </w:pPr>
      <w:r>
        <w:rPr>
          <w:rFonts w:asciiTheme="minorEastAsia" w:hAnsiTheme="minorEastAsia" w:eastAsiaTheme="minorEastAsia"/>
        </w:rPr>
        <w:t>6.5.2.2 协助公安交通管理部门疏导事故点上游车辆及人员驶离</w:t>
      </w:r>
      <w:r>
        <w:rPr>
          <w:rFonts w:hint="eastAsia" w:asciiTheme="minorEastAsia" w:hAnsiTheme="minorEastAsia" w:eastAsiaTheme="minorEastAsia"/>
        </w:rPr>
        <w:t>事故</w:t>
      </w:r>
      <w:r>
        <w:rPr>
          <w:rFonts w:asciiTheme="minorEastAsia" w:hAnsiTheme="minorEastAsia" w:eastAsiaTheme="minorEastAsia"/>
        </w:rPr>
        <w:t>隧道所在路段；</w:t>
      </w:r>
    </w:p>
    <w:p w14:paraId="1CDEC93C">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6.5.2.3 </w:t>
      </w:r>
      <w:r>
        <w:rPr>
          <w:rFonts w:hint="eastAsia" w:asciiTheme="minorEastAsia" w:hAnsiTheme="minorEastAsia" w:eastAsiaTheme="minorEastAsia"/>
        </w:rPr>
        <w:t>将公路隧道内照明开到最大亮度以便人员逃生及车辆疏散；</w:t>
      </w:r>
    </w:p>
    <w:p w14:paraId="3C69577A">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6.5.2.4 </w:t>
      </w:r>
      <w:r>
        <w:rPr>
          <w:rFonts w:hint="eastAsia" w:asciiTheme="minorEastAsia" w:hAnsiTheme="minorEastAsia" w:eastAsiaTheme="minorEastAsia"/>
        </w:rPr>
        <w:t>发生火灾后，应通过公路隧道广播火灾信息，启动公路隧道内火灾声光报警器发出火灾警报；未设置广播或火灾声光警报器的公路隧道，可通过便携式扩音装置或其他方式发出火灾警报；</w:t>
      </w:r>
    </w:p>
    <w:p w14:paraId="04854DDF">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6.5.2.5 </w:t>
      </w:r>
      <w:r>
        <w:rPr>
          <w:rFonts w:hint="eastAsia" w:asciiTheme="minorEastAsia" w:hAnsiTheme="minorEastAsia" w:eastAsiaTheme="minorEastAsia"/>
        </w:rPr>
        <w:t>发生火灾后，配备广播的公路隧道，应通过广播组织引导人员及车辆疏散，已进入公路隧道内的工作人员，可通过手势指引和喊话等方式组织引导人员及车辆疏散。</w:t>
      </w:r>
    </w:p>
    <w:p w14:paraId="075B8AB7">
      <w:pPr>
        <w:pStyle w:val="40"/>
        <w:spacing w:before="120" w:after="120" w:line="360" w:lineRule="auto"/>
        <w:ind w:firstLine="420" w:firstLineChars="200"/>
        <w:outlineLvl w:val="9"/>
        <w:rPr>
          <w:rFonts w:asciiTheme="minorEastAsia" w:hAnsiTheme="minorEastAsia" w:eastAsiaTheme="minorEastAsia"/>
        </w:rPr>
      </w:pPr>
      <w:r>
        <w:rPr>
          <w:rFonts w:asciiTheme="minorEastAsia" w:hAnsiTheme="minorEastAsia" w:eastAsiaTheme="minorEastAsia"/>
        </w:rPr>
        <w:t xml:space="preserve">6.5.2.6 </w:t>
      </w:r>
      <w:r>
        <w:rPr>
          <w:rFonts w:hint="eastAsia" w:asciiTheme="minorEastAsia" w:hAnsiTheme="minorEastAsia" w:eastAsiaTheme="minorEastAsia"/>
        </w:rPr>
        <w:t>组织引导人员疏散及车辆疏散可采取如下策略：</w:t>
      </w:r>
    </w:p>
    <w:p w14:paraId="5CCFD468">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a) </w:t>
      </w:r>
      <w:r>
        <w:rPr>
          <w:rFonts w:hint="eastAsia" w:asciiTheme="minorEastAsia" w:hAnsiTheme="minorEastAsia" w:eastAsiaTheme="minorEastAsia"/>
        </w:rPr>
        <w:t>单向交通公路隧道发生火灾时，引导火源附近及火源上游方向人员留下车钥匙后弃车通过人行横洞或者疏散楼梯进行逃生；人员所处安全区域与隧道出（入）口距离较近时可以引导从隧道洞口进行逃生。</w:t>
      </w:r>
    </w:p>
    <w:p w14:paraId="3593CFA9">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b) </w:t>
      </w:r>
      <w:r>
        <w:rPr>
          <w:rFonts w:hint="eastAsia" w:asciiTheme="minorEastAsia" w:hAnsiTheme="minorEastAsia" w:eastAsiaTheme="minorEastAsia"/>
        </w:rPr>
        <w:t>单向交通公路隧道内发生火灾时，引导火源下游方向人员驾车驶离公路隧道。</w:t>
      </w:r>
    </w:p>
    <w:p w14:paraId="4B8CD11A">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c) </w:t>
      </w:r>
      <w:r>
        <w:rPr>
          <w:rFonts w:hint="eastAsia" w:asciiTheme="minorEastAsia" w:hAnsiTheme="minorEastAsia" w:eastAsiaTheme="minorEastAsia"/>
        </w:rPr>
        <w:t>双向交通公路隧道内发生火灾时，引导人员弃车往最近的公路隧道出</w:t>
      </w:r>
      <w:r>
        <w:rPr>
          <w:rFonts w:asciiTheme="minorEastAsia" w:hAnsiTheme="minorEastAsia" w:eastAsiaTheme="minorEastAsia"/>
        </w:rPr>
        <w:t>(</w:t>
      </w:r>
      <w:r>
        <w:rPr>
          <w:rFonts w:hint="eastAsia" w:asciiTheme="minorEastAsia" w:hAnsiTheme="minorEastAsia" w:eastAsiaTheme="minorEastAsia"/>
        </w:rPr>
        <w:t>入</w:t>
      </w:r>
      <w:r>
        <w:rPr>
          <w:rFonts w:asciiTheme="minorEastAsia" w:hAnsiTheme="minorEastAsia" w:eastAsiaTheme="minorEastAsia"/>
        </w:rPr>
        <w:t>)</w:t>
      </w:r>
      <w:r>
        <w:rPr>
          <w:rFonts w:hint="eastAsia" w:asciiTheme="minorEastAsia" w:hAnsiTheme="minorEastAsia" w:eastAsiaTheme="minorEastAsia"/>
        </w:rPr>
        <w:t>口逃生。</w:t>
      </w:r>
    </w:p>
    <w:p w14:paraId="224CE0B0">
      <w:pPr>
        <w:pStyle w:val="40"/>
        <w:spacing w:before="120" w:after="120" w:line="360" w:lineRule="auto"/>
        <w:ind w:firstLine="420" w:firstLineChars="200"/>
        <w:outlineLvl w:val="9"/>
        <w:rPr>
          <w:rFonts w:asciiTheme="minorEastAsia" w:hAnsiTheme="minorEastAsia" w:eastAsiaTheme="minorEastAsia"/>
        </w:rPr>
      </w:pPr>
      <w:r>
        <w:rPr>
          <w:rFonts w:asciiTheme="minorEastAsia" w:hAnsiTheme="minorEastAsia" w:eastAsiaTheme="minorEastAsia"/>
        </w:rPr>
        <w:t xml:space="preserve">6.5.2.7 </w:t>
      </w:r>
      <w:r>
        <w:rPr>
          <w:rFonts w:hint="eastAsia" w:asciiTheme="minorEastAsia" w:hAnsiTheme="minorEastAsia" w:eastAsiaTheme="minorEastAsia"/>
        </w:rPr>
        <w:t>针对疏散抢救出来的人员，应设置疏散集结区，做好登记、秩序维护、人员急救处置等工作。</w:t>
      </w:r>
    </w:p>
    <w:p w14:paraId="16322DF0">
      <w:pPr>
        <w:pStyle w:val="40"/>
        <w:spacing w:before="120" w:after="120" w:line="360" w:lineRule="auto"/>
        <w:ind w:firstLine="210" w:firstLineChars="100"/>
        <w:outlineLvl w:val="2"/>
        <w:rPr>
          <w:rFonts w:hAnsi="黑体"/>
        </w:rPr>
      </w:pPr>
      <w:bookmarkStart w:id="78" w:name="_Toc215930426"/>
      <w:bookmarkStart w:id="79" w:name="_Toc219106509"/>
      <w:r>
        <w:rPr>
          <w:rFonts w:hAnsi="黑体"/>
        </w:rPr>
        <w:t>6.5.3</w:t>
      </w:r>
      <w:r>
        <w:rPr>
          <w:rFonts w:hint="eastAsia" w:hAnsi="黑体"/>
        </w:rPr>
        <w:t>防排烟控制</w:t>
      </w:r>
      <w:bookmarkEnd w:id="78"/>
      <w:bookmarkEnd w:id="79"/>
    </w:p>
    <w:p w14:paraId="5F4411C1">
      <w:pPr>
        <w:pStyle w:val="38"/>
        <w:spacing w:line="360" w:lineRule="auto"/>
        <w:ind w:firstLine="420"/>
        <w:rPr>
          <w:rFonts w:asciiTheme="minorEastAsia" w:hAnsiTheme="minorEastAsia" w:eastAsiaTheme="minorEastAsia"/>
        </w:rPr>
      </w:pPr>
      <w:r>
        <w:t xml:space="preserve">6.6.3.1 </w:t>
      </w:r>
      <w:r>
        <w:rPr>
          <w:rFonts w:hint="eastAsia"/>
        </w:rPr>
        <w:t>针对采用全射流通风、重点排烟模式和</w:t>
      </w:r>
      <w:r>
        <w:rPr>
          <w:rFonts w:hint="eastAsia" w:asciiTheme="minorEastAsia" w:hAnsiTheme="minorEastAsia" w:eastAsiaTheme="minorEastAsia"/>
        </w:rPr>
        <w:t>纵向送排式通风或排烟井集中排烟的隧道，需要采取不同的防排烟策略。</w:t>
      </w:r>
    </w:p>
    <w:p w14:paraId="09DE7783">
      <w:pPr>
        <w:pStyle w:val="38"/>
        <w:spacing w:line="360" w:lineRule="auto"/>
        <w:ind w:firstLine="420"/>
      </w:pPr>
      <w:r>
        <w:rPr>
          <w:rFonts w:asciiTheme="minorEastAsia" w:hAnsiTheme="minorEastAsia" w:eastAsiaTheme="minorEastAsia"/>
        </w:rPr>
        <w:t xml:space="preserve">6.6.3.2 </w:t>
      </w:r>
      <w:r>
        <w:rPr>
          <w:rFonts w:hint="eastAsia" w:asciiTheme="minorEastAsia" w:hAnsiTheme="minorEastAsia" w:eastAsiaTheme="minorEastAsia"/>
        </w:rPr>
        <w:t>公路隧道运营单位应结合隧道实际情况和设计方案进行不同工况下现场通风控制策略的调试，保证事故工况下通风控制组合的合理性和局部设备损坏情况下的安全韧性。</w:t>
      </w:r>
    </w:p>
    <w:p w14:paraId="5AA2EAA0">
      <w:pPr>
        <w:pStyle w:val="38"/>
        <w:spacing w:line="360" w:lineRule="auto"/>
        <w:ind w:firstLine="420"/>
        <w:rPr>
          <w:rFonts w:asciiTheme="minorEastAsia" w:hAnsiTheme="minorEastAsia" w:eastAsiaTheme="minorEastAsia"/>
        </w:rPr>
      </w:pPr>
      <w:r>
        <w:t xml:space="preserve">6.6.3.3 </w:t>
      </w:r>
      <w:r>
        <w:rPr>
          <w:rFonts w:hint="eastAsia"/>
        </w:rPr>
        <w:t>采用全</w:t>
      </w:r>
      <w:r>
        <w:rPr>
          <w:rFonts w:hint="eastAsia" w:asciiTheme="minorEastAsia" w:hAnsiTheme="minorEastAsia" w:eastAsiaTheme="minorEastAsia"/>
        </w:rPr>
        <w:t>射流通风模式的双洞单向</w:t>
      </w:r>
      <w:r>
        <w:rPr>
          <w:rFonts w:asciiTheme="minorEastAsia" w:hAnsiTheme="minorEastAsia" w:eastAsiaTheme="minorEastAsia"/>
        </w:rPr>
        <w:t>交通</w:t>
      </w:r>
      <w:r>
        <w:rPr>
          <w:rFonts w:hint="eastAsia" w:asciiTheme="minorEastAsia" w:hAnsiTheme="minorEastAsia" w:eastAsiaTheme="minorEastAsia"/>
        </w:rPr>
        <w:t>公路隧道，火灾工况下通风控制应满足如下技术要求：</w:t>
      </w:r>
    </w:p>
    <w:p w14:paraId="57D38B52">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a) </w:t>
      </w:r>
      <w:r>
        <w:rPr>
          <w:rFonts w:hint="eastAsia" w:asciiTheme="minorEastAsia" w:hAnsiTheme="minorEastAsia" w:eastAsiaTheme="minorEastAsia"/>
        </w:rPr>
        <w:t>非阻滞工况下，排烟方向应与隧道行车方向相同。隧道内风速应不小于火灾临界风速（见表</w:t>
      </w:r>
      <w:r>
        <w:rPr>
          <w:rFonts w:asciiTheme="minorEastAsia" w:hAnsiTheme="minorEastAsia" w:eastAsiaTheme="minorEastAsia"/>
        </w:rPr>
        <w:t>6-1</w:t>
      </w:r>
      <w:r>
        <w:rPr>
          <w:rFonts w:hint="eastAsia" w:asciiTheme="minorEastAsia" w:hAnsiTheme="minorEastAsia" w:eastAsiaTheme="minorEastAsia"/>
        </w:rPr>
        <w:t>）。</w:t>
      </w:r>
    </w:p>
    <w:p w14:paraId="54DE652E">
      <w:pPr>
        <w:spacing w:line="360" w:lineRule="auto"/>
        <w:jc w:val="center"/>
        <w:rPr>
          <w:rFonts w:cs="Times New Roman" w:asciiTheme="minorEastAsia" w:hAnsiTheme="minorEastAsia" w:eastAsiaTheme="minorEastAsia"/>
          <w:snapToGrid/>
          <w:color w:val="auto"/>
          <w:szCs w:val="20"/>
          <w:lang w:eastAsia="zh-CN"/>
        </w:rPr>
      </w:pPr>
      <w:r>
        <w:rPr>
          <w:rFonts w:hint="eastAsia" w:cs="Times New Roman" w:asciiTheme="minorEastAsia" w:hAnsiTheme="minorEastAsia" w:eastAsiaTheme="minorEastAsia"/>
          <w:snapToGrid/>
          <w:color w:val="auto"/>
          <w:szCs w:val="20"/>
          <w:lang w:eastAsia="zh-CN"/>
        </w:rPr>
        <w:t>表</w:t>
      </w:r>
      <w:r>
        <w:rPr>
          <w:rFonts w:cs="Times New Roman" w:asciiTheme="minorEastAsia" w:hAnsiTheme="minorEastAsia" w:eastAsiaTheme="minorEastAsia"/>
          <w:snapToGrid/>
          <w:color w:val="auto"/>
          <w:szCs w:val="20"/>
          <w:lang w:eastAsia="zh-CN"/>
        </w:rPr>
        <w:t xml:space="preserve">6-1  </w:t>
      </w:r>
      <w:r>
        <w:rPr>
          <w:rFonts w:hint="eastAsia" w:cs="Times New Roman" w:asciiTheme="minorEastAsia" w:hAnsiTheme="minorEastAsia" w:eastAsiaTheme="minorEastAsia"/>
          <w:snapToGrid/>
          <w:color w:val="auto"/>
          <w:szCs w:val="20"/>
          <w:lang w:eastAsia="zh-CN"/>
        </w:rPr>
        <w:t>火灾临界风速</w:t>
      </w:r>
      <w:r>
        <w:rPr>
          <w:rFonts w:cs="Times New Roman" w:asciiTheme="minorEastAsia" w:hAnsiTheme="minorEastAsia" w:eastAsiaTheme="minorEastAsia"/>
          <w:snapToGrid/>
          <w:color w:val="auto"/>
          <w:szCs w:val="20"/>
          <w:lang w:eastAsia="zh-CN"/>
        </w:rPr>
        <w:t>V</w:t>
      </w:r>
      <w:r>
        <w:rPr>
          <w:rFonts w:cs="Times New Roman" w:asciiTheme="minorEastAsia" w:hAnsiTheme="minorEastAsia" w:eastAsiaTheme="minorEastAsia"/>
          <w:snapToGrid/>
          <w:color w:val="auto"/>
          <w:szCs w:val="20"/>
          <w:vertAlign w:val="subscript"/>
          <w:lang w:eastAsia="zh-CN"/>
        </w:rPr>
        <w:t>C</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4"/>
        <w:gridCol w:w="2094"/>
        <w:gridCol w:w="2094"/>
        <w:gridCol w:w="2094"/>
      </w:tblGrid>
      <w:tr w14:paraId="5311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4" w:type="dxa"/>
            <w:vAlign w:val="center"/>
          </w:tcPr>
          <w:p w14:paraId="26D89559">
            <w:pPr>
              <w:jc w:val="center"/>
              <w:rPr>
                <w:rFonts w:cs="Times New Roman" w:asciiTheme="minorEastAsia" w:hAnsiTheme="minorEastAsia" w:eastAsiaTheme="minorEastAsia"/>
                <w:snapToGrid/>
                <w:color w:val="auto"/>
                <w:szCs w:val="20"/>
                <w:lang w:eastAsia="zh-CN"/>
              </w:rPr>
            </w:pPr>
            <w:r>
              <w:rPr>
                <w:rFonts w:hint="eastAsia" w:cs="Times New Roman" w:asciiTheme="minorEastAsia" w:hAnsiTheme="minorEastAsia" w:eastAsiaTheme="minorEastAsia"/>
                <w:snapToGrid/>
                <w:color w:val="auto"/>
                <w:szCs w:val="20"/>
                <w:lang w:eastAsia="zh-CN"/>
              </w:rPr>
              <w:t>热释放率（</w:t>
            </w:r>
            <w:r>
              <w:rPr>
                <w:rFonts w:hint="eastAsia" w:cs="Times New Roman" w:asciiTheme="minorEastAsia" w:hAnsiTheme="minorEastAsia" w:eastAsiaTheme="minorEastAsia"/>
                <w:snapToGrid/>
                <w:color w:val="auto"/>
                <w:szCs w:val="20"/>
                <w:lang w:val="en-US" w:eastAsia="zh-CN"/>
              </w:rPr>
              <w:t>兆瓦</w:t>
            </w:r>
            <w:r>
              <w:rPr>
                <w:rFonts w:hint="eastAsia" w:cs="Times New Roman" w:asciiTheme="minorEastAsia" w:hAnsiTheme="minorEastAsia" w:eastAsiaTheme="minorEastAsia"/>
                <w:snapToGrid/>
                <w:color w:val="auto"/>
                <w:szCs w:val="20"/>
                <w:lang w:eastAsia="zh-CN"/>
              </w:rPr>
              <w:t>）</w:t>
            </w:r>
          </w:p>
        </w:tc>
        <w:tc>
          <w:tcPr>
            <w:tcW w:w="2094" w:type="dxa"/>
            <w:vAlign w:val="center"/>
          </w:tcPr>
          <w:p w14:paraId="793EE8D1">
            <w:pPr>
              <w:jc w:val="center"/>
              <w:rPr>
                <w:rFonts w:cs="Times New Roman" w:asciiTheme="minorEastAsia" w:hAnsiTheme="minorEastAsia" w:eastAsiaTheme="minorEastAsia"/>
                <w:snapToGrid/>
                <w:color w:val="auto"/>
                <w:szCs w:val="20"/>
                <w:lang w:eastAsia="zh-CN"/>
              </w:rPr>
            </w:pPr>
            <w:r>
              <w:rPr>
                <w:rFonts w:cs="Times New Roman" w:asciiTheme="minorEastAsia" w:hAnsiTheme="minorEastAsia" w:eastAsiaTheme="minorEastAsia"/>
                <w:snapToGrid/>
                <w:color w:val="auto"/>
                <w:szCs w:val="20"/>
                <w:lang w:eastAsia="zh-CN"/>
              </w:rPr>
              <w:t>20</w:t>
            </w:r>
          </w:p>
        </w:tc>
        <w:tc>
          <w:tcPr>
            <w:tcW w:w="2094" w:type="dxa"/>
            <w:vAlign w:val="center"/>
          </w:tcPr>
          <w:p w14:paraId="3B21F25D">
            <w:pPr>
              <w:jc w:val="center"/>
              <w:rPr>
                <w:rFonts w:cs="Times New Roman" w:asciiTheme="minorEastAsia" w:hAnsiTheme="minorEastAsia" w:eastAsiaTheme="minorEastAsia"/>
                <w:snapToGrid/>
                <w:color w:val="auto"/>
                <w:szCs w:val="20"/>
                <w:lang w:eastAsia="zh-CN"/>
              </w:rPr>
            </w:pPr>
            <w:r>
              <w:rPr>
                <w:rFonts w:cs="Times New Roman" w:asciiTheme="minorEastAsia" w:hAnsiTheme="minorEastAsia" w:eastAsiaTheme="minorEastAsia"/>
                <w:snapToGrid/>
                <w:color w:val="auto"/>
                <w:szCs w:val="20"/>
                <w:lang w:eastAsia="zh-CN"/>
              </w:rPr>
              <w:t>30</w:t>
            </w:r>
          </w:p>
        </w:tc>
        <w:tc>
          <w:tcPr>
            <w:tcW w:w="2094" w:type="dxa"/>
            <w:vAlign w:val="center"/>
          </w:tcPr>
          <w:p w14:paraId="0F70A68D">
            <w:pPr>
              <w:jc w:val="center"/>
              <w:rPr>
                <w:rFonts w:cs="Times New Roman" w:asciiTheme="minorEastAsia" w:hAnsiTheme="minorEastAsia" w:eastAsiaTheme="minorEastAsia"/>
                <w:snapToGrid/>
                <w:color w:val="auto"/>
                <w:szCs w:val="20"/>
                <w:lang w:eastAsia="zh-CN"/>
              </w:rPr>
            </w:pPr>
            <w:r>
              <w:rPr>
                <w:rFonts w:cs="Times New Roman" w:asciiTheme="minorEastAsia" w:hAnsiTheme="minorEastAsia" w:eastAsiaTheme="minorEastAsia"/>
                <w:snapToGrid/>
                <w:color w:val="auto"/>
                <w:szCs w:val="20"/>
                <w:lang w:eastAsia="zh-CN"/>
              </w:rPr>
              <w:t>50</w:t>
            </w:r>
          </w:p>
        </w:tc>
      </w:tr>
      <w:tr w14:paraId="12C0C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4" w:type="dxa"/>
            <w:vAlign w:val="center"/>
          </w:tcPr>
          <w:p w14:paraId="0E47FA61">
            <w:pPr>
              <w:jc w:val="center"/>
              <w:rPr>
                <w:rFonts w:cs="Times New Roman" w:asciiTheme="minorEastAsia" w:hAnsiTheme="minorEastAsia" w:eastAsiaTheme="minorEastAsia"/>
                <w:snapToGrid/>
                <w:color w:val="auto"/>
                <w:szCs w:val="20"/>
                <w:lang w:eastAsia="zh-CN"/>
              </w:rPr>
            </w:pPr>
            <w:r>
              <w:rPr>
                <w:rFonts w:hint="eastAsia" w:cs="Times New Roman" w:asciiTheme="minorEastAsia" w:hAnsiTheme="minorEastAsia" w:eastAsiaTheme="minorEastAsia"/>
                <w:snapToGrid/>
                <w:color w:val="auto"/>
                <w:szCs w:val="20"/>
                <w:lang w:eastAsia="zh-CN"/>
              </w:rPr>
              <w:t>火灾临界风速</w:t>
            </w:r>
          </w:p>
          <w:p w14:paraId="5C1F3984">
            <w:pPr>
              <w:jc w:val="center"/>
              <w:rPr>
                <w:rFonts w:cs="Times New Roman" w:asciiTheme="minorEastAsia" w:hAnsiTheme="minorEastAsia" w:eastAsiaTheme="minorEastAsia"/>
                <w:snapToGrid/>
                <w:color w:val="auto"/>
                <w:szCs w:val="20"/>
                <w:lang w:eastAsia="zh-CN"/>
              </w:rPr>
            </w:pPr>
            <w:r>
              <w:rPr>
                <w:rFonts w:cs="Times New Roman" w:asciiTheme="minorEastAsia" w:hAnsiTheme="minorEastAsia" w:eastAsiaTheme="minorEastAsia"/>
                <w:snapToGrid/>
                <w:color w:val="auto"/>
                <w:szCs w:val="20"/>
                <w:lang w:eastAsia="zh-CN"/>
              </w:rPr>
              <w:t>V</w:t>
            </w:r>
            <w:r>
              <w:rPr>
                <w:rFonts w:cs="Times New Roman" w:asciiTheme="minorEastAsia" w:hAnsiTheme="minorEastAsia" w:eastAsiaTheme="minorEastAsia"/>
                <w:snapToGrid/>
                <w:color w:val="auto"/>
                <w:szCs w:val="20"/>
                <w:vertAlign w:val="subscript"/>
                <w:lang w:eastAsia="zh-CN"/>
              </w:rPr>
              <w:t>C</w:t>
            </w:r>
            <w:r>
              <w:rPr>
                <w:rFonts w:hint="eastAsia" w:cs="Times New Roman" w:asciiTheme="minorEastAsia" w:hAnsiTheme="minorEastAsia" w:eastAsiaTheme="minorEastAsia"/>
                <w:snapToGrid/>
                <w:color w:val="auto"/>
                <w:szCs w:val="20"/>
                <w:lang w:eastAsia="zh-CN"/>
              </w:rPr>
              <w:t>（</w:t>
            </w:r>
            <w:r>
              <w:rPr>
                <w:rFonts w:hint="eastAsia" w:cs="Times New Roman" w:asciiTheme="minorEastAsia" w:hAnsiTheme="minorEastAsia" w:eastAsiaTheme="minorEastAsia"/>
                <w:snapToGrid/>
                <w:color w:val="auto"/>
                <w:szCs w:val="20"/>
                <w:lang w:val="en-US" w:eastAsia="zh-CN"/>
              </w:rPr>
              <w:t>米</w:t>
            </w:r>
            <w:r>
              <w:rPr>
                <w:rFonts w:hint="eastAsia" w:cs="Times New Roman" w:asciiTheme="minorEastAsia" w:hAnsiTheme="minorEastAsia" w:eastAsiaTheme="minorEastAsia"/>
                <w:snapToGrid/>
                <w:color w:val="auto"/>
                <w:szCs w:val="20"/>
                <w:lang w:eastAsia="zh-CN"/>
              </w:rPr>
              <w:t>/</w:t>
            </w:r>
            <w:r>
              <w:rPr>
                <w:rFonts w:hint="eastAsia" w:cs="Times New Roman" w:asciiTheme="minorEastAsia" w:hAnsiTheme="minorEastAsia" w:eastAsiaTheme="minorEastAsia"/>
                <w:snapToGrid/>
                <w:color w:val="auto"/>
                <w:szCs w:val="20"/>
                <w:lang w:val="en-US" w:eastAsia="zh-CN"/>
              </w:rPr>
              <w:t>秒</w:t>
            </w:r>
            <w:r>
              <w:rPr>
                <w:rFonts w:hint="eastAsia" w:cs="Times New Roman" w:asciiTheme="minorEastAsia" w:hAnsiTheme="minorEastAsia" w:eastAsiaTheme="minorEastAsia"/>
                <w:snapToGrid/>
                <w:color w:val="auto"/>
                <w:szCs w:val="20"/>
                <w:lang w:eastAsia="zh-CN"/>
              </w:rPr>
              <w:t>）</w:t>
            </w:r>
          </w:p>
        </w:tc>
        <w:tc>
          <w:tcPr>
            <w:tcW w:w="2094" w:type="dxa"/>
            <w:vAlign w:val="center"/>
          </w:tcPr>
          <w:p w14:paraId="234B3E72">
            <w:pPr>
              <w:jc w:val="center"/>
              <w:rPr>
                <w:rFonts w:ascii="Times New Roman" w:hAnsi="Times New Roman" w:cs="Times New Roman" w:eastAsiaTheme="minorEastAsia"/>
                <w:snapToGrid/>
                <w:color w:val="auto"/>
                <w:szCs w:val="20"/>
                <w:lang w:eastAsia="zh-CN"/>
              </w:rPr>
            </w:pPr>
            <w:r>
              <w:rPr>
                <w:rFonts w:ascii="Times New Roman" w:hAnsi="Times New Roman" w:cs="Times New Roman" w:eastAsiaTheme="minorEastAsia"/>
                <w:snapToGrid/>
                <w:color w:val="auto"/>
                <w:szCs w:val="20"/>
                <w:lang w:eastAsia="zh-CN"/>
              </w:rPr>
              <w:t>2.0~3.0</w:t>
            </w:r>
          </w:p>
        </w:tc>
        <w:tc>
          <w:tcPr>
            <w:tcW w:w="2094" w:type="dxa"/>
            <w:vAlign w:val="center"/>
          </w:tcPr>
          <w:p w14:paraId="26C6E997">
            <w:pPr>
              <w:jc w:val="center"/>
              <w:rPr>
                <w:rFonts w:ascii="Times New Roman" w:hAnsi="Times New Roman" w:cs="Times New Roman" w:eastAsiaTheme="minorEastAsia"/>
                <w:snapToGrid/>
                <w:color w:val="auto"/>
                <w:szCs w:val="20"/>
                <w:lang w:eastAsia="zh-CN"/>
              </w:rPr>
            </w:pPr>
            <w:r>
              <w:rPr>
                <w:rFonts w:ascii="Times New Roman" w:hAnsi="Times New Roman" w:cs="Times New Roman" w:eastAsiaTheme="minorEastAsia"/>
                <w:snapToGrid/>
                <w:color w:val="auto"/>
                <w:szCs w:val="20"/>
                <w:lang w:eastAsia="zh-CN"/>
              </w:rPr>
              <w:t>3.0~4.0</w:t>
            </w:r>
          </w:p>
        </w:tc>
        <w:tc>
          <w:tcPr>
            <w:tcW w:w="2094" w:type="dxa"/>
            <w:vAlign w:val="center"/>
          </w:tcPr>
          <w:p w14:paraId="63410E26">
            <w:pPr>
              <w:jc w:val="center"/>
              <w:rPr>
                <w:rFonts w:ascii="Times New Roman" w:hAnsi="Times New Roman" w:cs="Times New Roman" w:eastAsiaTheme="minorEastAsia"/>
                <w:snapToGrid/>
                <w:color w:val="auto"/>
                <w:szCs w:val="20"/>
                <w:lang w:eastAsia="zh-CN"/>
              </w:rPr>
            </w:pPr>
            <w:r>
              <w:rPr>
                <w:rFonts w:ascii="Times New Roman" w:hAnsi="Times New Roman" w:cs="Times New Roman" w:eastAsiaTheme="minorEastAsia"/>
                <w:snapToGrid/>
                <w:color w:val="auto"/>
                <w:szCs w:val="20"/>
                <w:lang w:eastAsia="zh-CN"/>
              </w:rPr>
              <w:t>4.0~5.0</w:t>
            </w:r>
          </w:p>
        </w:tc>
      </w:tr>
    </w:tbl>
    <w:p w14:paraId="0BF21B1B">
      <w:pPr>
        <w:pStyle w:val="38"/>
        <w:spacing w:line="360" w:lineRule="auto"/>
        <w:ind w:firstLine="420"/>
      </w:pPr>
      <w:r>
        <w:rPr>
          <w:rFonts w:asciiTheme="minorEastAsia" w:hAnsiTheme="minorEastAsia" w:eastAsiaTheme="minorEastAsia"/>
        </w:rPr>
        <w:t>b)</w:t>
      </w:r>
      <w:r>
        <w:t xml:space="preserve"> </w:t>
      </w:r>
      <w:r>
        <w:rPr>
          <w:rFonts w:hint="eastAsia"/>
        </w:rPr>
        <w:t>火灾工况下宜开启火源点</w:t>
      </w:r>
      <w:r>
        <w:t>150</w:t>
      </w:r>
      <w:r>
        <w:rPr>
          <w:rFonts w:hint="eastAsia"/>
          <w:lang w:val="en-US" w:eastAsia="zh-CN"/>
        </w:rPr>
        <w:t>米</w:t>
      </w:r>
      <w:r>
        <w:rPr>
          <w:rFonts w:hint="eastAsia"/>
        </w:rPr>
        <w:t>以外的射流风机，防止高速气流对烟层的扰动。</w:t>
      </w:r>
    </w:p>
    <w:p w14:paraId="5CC4AC69">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c) </w:t>
      </w:r>
      <w:r>
        <w:rPr>
          <w:rFonts w:hint="eastAsia" w:asciiTheme="minorEastAsia" w:hAnsiTheme="minorEastAsia" w:eastAsiaTheme="minorEastAsia"/>
        </w:rPr>
        <w:t>火灾发生后，应通过情报板、广播等手段要求火灾上游人员弃车逃生，火源下游车辆快速驶出隧道。</w:t>
      </w:r>
    </w:p>
    <w:p w14:paraId="2F5BD54F">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d) </w:t>
      </w:r>
      <w:r>
        <w:rPr>
          <w:rFonts w:hint="eastAsia" w:asciiTheme="minorEastAsia" w:hAnsiTheme="minorEastAsia" w:eastAsiaTheme="minorEastAsia"/>
        </w:rPr>
        <w:t>阻滞工况下，早期在人员疏散阶段，隧道内上游风速不宜过大，保持烟雾分层；灭火救援阶段，应遵从消防救援人员指挥，排烟风速应不小于火灾临界风速。</w:t>
      </w:r>
    </w:p>
    <w:p w14:paraId="54B8A4D1">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e) </w:t>
      </w:r>
      <w:r>
        <w:rPr>
          <w:rFonts w:hint="eastAsia" w:asciiTheme="minorEastAsia" w:hAnsiTheme="minorEastAsia" w:eastAsiaTheme="minorEastAsia"/>
        </w:rPr>
        <w:t>通风排烟系统的控制应控制对向隧道通风，不要使烟雾弥漫到未发生火灾的隧道侧，同时，起火点下游方向的横通道防火卷帘和防火门应关闭。</w:t>
      </w:r>
    </w:p>
    <w:p w14:paraId="3384ECE1">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f) </w:t>
      </w:r>
      <w:r>
        <w:rPr>
          <w:rFonts w:hint="eastAsia" w:asciiTheme="minorEastAsia" w:hAnsiTheme="minorEastAsia" w:eastAsiaTheme="minorEastAsia"/>
        </w:rPr>
        <w:t>逃生通道、逃生楼梯等设置正压送风装置的场所，开启加压送风装置。</w:t>
      </w:r>
    </w:p>
    <w:p w14:paraId="68F46474">
      <w:pPr>
        <w:pStyle w:val="41"/>
        <w:spacing w:line="360" w:lineRule="auto"/>
        <w:ind w:firstLine="210" w:firstLineChars="100"/>
        <w:rPr>
          <w:rFonts w:asciiTheme="minorEastAsia" w:hAnsiTheme="minorEastAsia" w:eastAsiaTheme="minorEastAsia"/>
        </w:rPr>
      </w:pPr>
      <w:r>
        <w:rPr>
          <w:rFonts w:asciiTheme="minorEastAsia" w:hAnsiTheme="minorEastAsia" w:eastAsiaTheme="minorEastAsia"/>
        </w:rPr>
        <w:t xml:space="preserve">6.6.3.4 </w:t>
      </w:r>
      <w:r>
        <w:rPr>
          <w:rFonts w:hint="eastAsia" w:asciiTheme="minorEastAsia" w:hAnsiTheme="minorEastAsia" w:eastAsiaTheme="minorEastAsia"/>
        </w:rPr>
        <w:t>采用全射流通风模式的单洞双向交通隧道，火灾工况下通风控制应满足如下技术要求：</w:t>
      </w:r>
    </w:p>
    <w:p w14:paraId="44CE36EB">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a) </w:t>
      </w:r>
      <w:r>
        <w:rPr>
          <w:rFonts w:hint="eastAsia" w:asciiTheme="minorEastAsia" w:hAnsiTheme="minorEastAsia" w:eastAsiaTheme="minorEastAsia"/>
        </w:rPr>
        <w:t>排烟方向一般应与隧道气流方向保持一致。</w:t>
      </w:r>
    </w:p>
    <w:p w14:paraId="0D000DB7">
      <w:pPr>
        <w:pStyle w:val="38"/>
        <w:spacing w:line="360" w:lineRule="auto"/>
        <w:ind w:firstLine="420"/>
      </w:pPr>
      <w:r>
        <w:rPr>
          <w:rFonts w:asciiTheme="minorEastAsia" w:hAnsiTheme="minorEastAsia" w:eastAsiaTheme="minorEastAsia"/>
        </w:rPr>
        <w:t>b)</w:t>
      </w:r>
      <w:r>
        <w:t xml:space="preserve"> </w:t>
      </w:r>
      <w:r>
        <w:rPr>
          <w:rFonts w:hint="eastAsia"/>
        </w:rPr>
        <w:t>火灾工况下宜开启火源点</w:t>
      </w:r>
      <w:r>
        <w:t>150</w:t>
      </w:r>
      <w:r>
        <w:rPr>
          <w:rFonts w:hint="eastAsia"/>
          <w:lang w:val="en-US" w:eastAsia="zh-CN"/>
        </w:rPr>
        <w:t>米</w:t>
      </w:r>
      <w:r>
        <w:rPr>
          <w:rFonts w:hint="eastAsia"/>
        </w:rPr>
        <w:t>以外的射流风机，防止高速气流对烟层的扰动。</w:t>
      </w:r>
    </w:p>
    <w:p w14:paraId="7149621A">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c) </w:t>
      </w:r>
      <w:r>
        <w:rPr>
          <w:rFonts w:hint="eastAsia" w:asciiTheme="minorEastAsia" w:hAnsiTheme="minorEastAsia" w:eastAsiaTheme="minorEastAsia"/>
        </w:rPr>
        <w:t>在人员疏散阶段，隧道内风速不宜过大，保持烟雾分层。</w:t>
      </w:r>
    </w:p>
    <w:p w14:paraId="3DA15DBA">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d) </w:t>
      </w:r>
      <w:r>
        <w:rPr>
          <w:rFonts w:hint="eastAsia" w:asciiTheme="minorEastAsia" w:hAnsiTheme="minorEastAsia" w:eastAsiaTheme="minorEastAsia"/>
        </w:rPr>
        <w:t>灭火救援阶段，排烟风速应不小于火灾临界风速。</w:t>
      </w:r>
    </w:p>
    <w:p w14:paraId="6AA78B79">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e) </w:t>
      </w:r>
      <w:r>
        <w:rPr>
          <w:rFonts w:hint="eastAsia" w:asciiTheme="minorEastAsia" w:hAnsiTheme="minorEastAsia" w:eastAsiaTheme="minorEastAsia"/>
        </w:rPr>
        <w:t>逃生通道、逃生楼梯、平行导洞等设置正压送风装置的场所，开启加压送风装置。</w:t>
      </w:r>
    </w:p>
    <w:p w14:paraId="05EA587E">
      <w:pPr>
        <w:pStyle w:val="41"/>
        <w:spacing w:line="360" w:lineRule="auto"/>
        <w:ind w:firstLine="210" w:firstLineChars="100"/>
        <w:rPr>
          <w:rFonts w:asciiTheme="minorEastAsia" w:hAnsiTheme="minorEastAsia" w:eastAsiaTheme="minorEastAsia"/>
        </w:rPr>
      </w:pPr>
      <w:r>
        <w:rPr>
          <w:rFonts w:asciiTheme="minorEastAsia" w:hAnsiTheme="minorEastAsia" w:eastAsiaTheme="minorEastAsia"/>
        </w:rPr>
        <w:t xml:space="preserve">6.6.3.5 </w:t>
      </w:r>
      <w:r>
        <w:rPr>
          <w:rFonts w:hint="eastAsia" w:asciiTheme="minorEastAsia" w:hAnsiTheme="minorEastAsia" w:eastAsiaTheme="minorEastAsia"/>
        </w:rPr>
        <w:t>对采用重点排烟模式的隧道，火灾工况下通风控制应满足如下技术要求：</w:t>
      </w:r>
    </w:p>
    <w:p w14:paraId="02F5B977">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a) </w:t>
      </w:r>
      <w:r>
        <w:rPr>
          <w:rFonts w:hint="eastAsia" w:asciiTheme="minorEastAsia" w:hAnsiTheme="minorEastAsia" w:eastAsiaTheme="minorEastAsia"/>
        </w:rPr>
        <w:t>火灾工况下应及时开启距离起火点位置附近的轴流风机及电动排烟口，将火灾烟雾通过火灾区域的排烟口排出隧道。同步操作隧道内射流风机，控制隧道内纵向风速，确保将烟气控制在一定区域。</w:t>
      </w:r>
    </w:p>
    <w:p w14:paraId="3D819F08">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b) </w:t>
      </w:r>
      <w:r>
        <w:rPr>
          <w:rFonts w:hint="eastAsia" w:asciiTheme="minorEastAsia" w:hAnsiTheme="minorEastAsia" w:eastAsiaTheme="minorEastAsia"/>
        </w:rPr>
        <w:t>考虑到重点排烟系统的复杂性，电动排烟口开启策略（开启位置及开启数量）、轴流排烟风机开启策略及隧道纵向风速控制策略应以现场火灾实验结果为准。</w:t>
      </w:r>
    </w:p>
    <w:p w14:paraId="2C0EDB38">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c) </w:t>
      </w:r>
      <w:r>
        <w:rPr>
          <w:rFonts w:hint="eastAsia" w:asciiTheme="minorEastAsia" w:hAnsiTheme="minorEastAsia" w:eastAsiaTheme="minorEastAsia"/>
        </w:rPr>
        <w:t>电动排烟口应能远程开启和关闭。</w:t>
      </w:r>
    </w:p>
    <w:p w14:paraId="0A180EA4">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d) </w:t>
      </w:r>
      <w:r>
        <w:rPr>
          <w:rFonts w:hint="eastAsia" w:asciiTheme="minorEastAsia" w:hAnsiTheme="minorEastAsia" w:eastAsiaTheme="minorEastAsia"/>
        </w:rPr>
        <w:t>对于采用重点排烟的隧道应结合现场火灾实验，“一隧一策”制订火灾工况下风机开启方案。</w:t>
      </w:r>
    </w:p>
    <w:p w14:paraId="22972441">
      <w:pPr>
        <w:pStyle w:val="41"/>
        <w:spacing w:line="360" w:lineRule="auto"/>
        <w:ind w:firstLine="210" w:firstLineChars="100"/>
        <w:rPr>
          <w:rFonts w:asciiTheme="minorEastAsia" w:hAnsiTheme="minorEastAsia" w:eastAsiaTheme="minorEastAsia"/>
        </w:rPr>
      </w:pPr>
      <w:r>
        <w:rPr>
          <w:rFonts w:asciiTheme="minorEastAsia" w:hAnsiTheme="minorEastAsia" w:eastAsiaTheme="minorEastAsia"/>
        </w:rPr>
        <w:t xml:space="preserve">6.6.3.6 </w:t>
      </w:r>
      <w:r>
        <w:rPr>
          <w:rFonts w:hint="eastAsia" w:asciiTheme="minorEastAsia" w:hAnsiTheme="minorEastAsia" w:eastAsiaTheme="minorEastAsia"/>
        </w:rPr>
        <w:t>对采用纵向送排式通风或排烟井集中排烟的公路隧道，火灾工况下通风控制应满足如下技术要求：</w:t>
      </w:r>
    </w:p>
    <w:p w14:paraId="6E756435">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a) </w:t>
      </w:r>
      <w:r>
        <w:rPr>
          <w:rFonts w:hint="eastAsia" w:asciiTheme="minorEastAsia" w:hAnsiTheme="minorEastAsia" w:eastAsiaTheme="minorEastAsia"/>
        </w:rPr>
        <w:t>非阻滞工况下，人员疏散阶段。排烟方向应与隧道行车方向相同。隧道内风速应不小于火灾临界风速。</w:t>
      </w:r>
    </w:p>
    <w:p w14:paraId="3CF7F490">
      <w:pPr>
        <w:pStyle w:val="38"/>
        <w:spacing w:line="360" w:lineRule="auto"/>
        <w:ind w:firstLine="420"/>
        <w:rPr>
          <w:rFonts w:asciiTheme="minorEastAsia" w:hAnsiTheme="minorEastAsia" w:eastAsiaTheme="minorEastAsia"/>
        </w:rPr>
      </w:pPr>
      <w:r>
        <w:rPr>
          <w:rFonts w:asciiTheme="minorEastAsia" w:hAnsiTheme="minorEastAsia" w:eastAsiaTheme="minorEastAsia"/>
        </w:rPr>
        <w:t>b)</w:t>
      </w:r>
      <w:r>
        <w:rPr>
          <w:rFonts w:hint="eastAsia" w:asciiTheme="minorEastAsia" w:hAnsiTheme="minorEastAsia" w:eastAsiaTheme="minorEastAsia"/>
        </w:rPr>
        <w:t>非阻滞工况下，人员疏散阶段。当火灾发生在排烟口上游时，开启火源下游的排烟口及轴流排烟风机，烟雾通过排烟井进行排出。</w:t>
      </w:r>
    </w:p>
    <w:p w14:paraId="64C7AB13">
      <w:pPr>
        <w:pStyle w:val="38"/>
        <w:spacing w:line="360" w:lineRule="auto"/>
        <w:ind w:firstLine="420"/>
        <w:rPr>
          <w:rFonts w:asciiTheme="minorEastAsia" w:hAnsiTheme="minorEastAsia" w:eastAsiaTheme="minorEastAsia"/>
        </w:rPr>
      </w:pPr>
      <w:r>
        <w:rPr>
          <w:rFonts w:asciiTheme="minorEastAsia" w:hAnsiTheme="minorEastAsia" w:eastAsiaTheme="minorEastAsia"/>
        </w:rPr>
        <w:t>c)</w:t>
      </w:r>
      <w:r>
        <w:rPr>
          <w:rFonts w:hint="eastAsia" w:asciiTheme="minorEastAsia" w:hAnsiTheme="minorEastAsia" w:eastAsiaTheme="minorEastAsia"/>
        </w:rPr>
        <w:t>非阻滞工况下，人员疏散阶段。当火灾发生在排烟口下游时，关闭火源上游的排烟口及轴流排烟风机，烟雾通过隧道洞口排出。</w:t>
      </w:r>
    </w:p>
    <w:p w14:paraId="0644DA98">
      <w:pPr>
        <w:pStyle w:val="38"/>
        <w:spacing w:line="360" w:lineRule="auto"/>
        <w:ind w:firstLine="420"/>
        <w:rPr>
          <w:rFonts w:asciiTheme="minorEastAsia" w:hAnsiTheme="minorEastAsia" w:eastAsiaTheme="minorEastAsia"/>
        </w:rPr>
      </w:pPr>
      <w:r>
        <w:rPr>
          <w:rFonts w:asciiTheme="minorEastAsia" w:hAnsiTheme="minorEastAsia" w:eastAsiaTheme="minorEastAsia"/>
        </w:rPr>
        <w:t>d)</w:t>
      </w:r>
      <w:r>
        <w:rPr>
          <w:rFonts w:hint="eastAsia" w:asciiTheme="minorEastAsia" w:hAnsiTheme="minorEastAsia" w:eastAsiaTheme="minorEastAsia"/>
        </w:rPr>
        <w:t>非阻滞工况下，人员疏散阶段。火灾上游人员弃车逃生，火源下游车辆快速驶出隧道。</w:t>
      </w:r>
    </w:p>
    <w:p w14:paraId="36753DA5">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e) </w:t>
      </w:r>
      <w:r>
        <w:rPr>
          <w:rFonts w:hint="eastAsia" w:asciiTheme="minorEastAsia" w:hAnsiTheme="minorEastAsia" w:eastAsiaTheme="minorEastAsia"/>
        </w:rPr>
        <w:t>非阻滞工况下，灭火救援阶段。应遵从消防救援人员指挥，排烟风速应不小于火灾临界风速。</w:t>
      </w:r>
    </w:p>
    <w:p w14:paraId="300A299F">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f) </w:t>
      </w:r>
      <w:r>
        <w:rPr>
          <w:rFonts w:hint="eastAsia" w:asciiTheme="minorEastAsia" w:hAnsiTheme="minorEastAsia" w:eastAsiaTheme="minorEastAsia"/>
        </w:rPr>
        <w:t>阻滞工况下，人员疏散阶段。排烟方向应与隧道行车方向相同。隧道内风速不宜过大，保持烟雾分层。</w:t>
      </w:r>
    </w:p>
    <w:p w14:paraId="2FB9F9B8">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g) </w:t>
      </w:r>
      <w:r>
        <w:rPr>
          <w:rFonts w:hint="eastAsia" w:asciiTheme="minorEastAsia" w:hAnsiTheme="minorEastAsia" w:eastAsiaTheme="minorEastAsia"/>
        </w:rPr>
        <w:t>阻滞工况下，灭火救援阶段。应遵从消防救援人员指挥，排烟风速应不小于火灾临界风速。</w:t>
      </w:r>
    </w:p>
    <w:p w14:paraId="6E7EBB04">
      <w:pPr>
        <w:pStyle w:val="38"/>
        <w:spacing w:line="360" w:lineRule="auto"/>
        <w:ind w:firstLine="420"/>
        <w:rPr>
          <w:rFonts w:asciiTheme="minorEastAsia" w:hAnsiTheme="minorEastAsia" w:eastAsiaTheme="minorEastAsia"/>
        </w:rPr>
      </w:pPr>
      <w:r>
        <w:rPr>
          <w:rFonts w:asciiTheme="minorEastAsia" w:hAnsiTheme="minorEastAsia" w:eastAsiaTheme="minorEastAsia"/>
        </w:rPr>
        <w:t xml:space="preserve">h) </w:t>
      </w:r>
      <w:r>
        <w:rPr>
          <w:rFonts w:hint="eastAsia" w:asciiTheme="minorEastAsia" w:hAnsiTheme="minorEastAsia" w:eastAsiaTheme="minorEastAsia"/>
        </w:rPr>
        <w:t>考虑到分段排烟系统的复杂性，电动排烟口开启策略（开启位置等）、轴流风机开启策略及隧道纵向风速控制策略应结合现场火灾实验，“一隧一策”制订火灾工况下风机开启方案。</w:t>
      </w:r>
    </w:p>
    <w:p w14:paraId="15A8F846">
      <w:pPr>
        <w:pStyle w:val="40"/>
        <w:spacing w:before="120" w:after="120" w:line="360" w:lineRule="auto"/>
        <w:outlineLvl w:val="2"/>
        <w:rPr>
          <w:rFonts w:hAnsi="黑体"/>
        </w:rPr>
      </w:pPr>
      <w:bookmarkStart w:id="80" w:name="bookmark17"/>
      <w:bookmarkEnd w:id="80"/>
      <w:bookmarkStart w:id="81" w:name="_Toc219106510"/>
      <w:bookmarkStart w:id="82" w:name="_Toc215930427"/>
      <w:r>
        <w:rPr>
          <w:rFonts w:hAnsi="黑体"/>
        </w:rPr>
        <w:t>6.5.4</w:t>
      </w:r>
      <w:r>
        <w:rPr>
          <w:rFonts w:hint="eastAsia" w:hAnsi="黑体"/>
        </w:rPr>
        <w:t>照明控制</w:t>
      </w:r>
      <w:bookmarkEnd w:id="81"/>
      <w:bookmarkEnd w:id="82"/>
    </w:p>
    <w:p w14:paraId="3CFB89BA">
      <w:pPr>
        <w:pStyle w:val="41"/>
        <w:spacing w:line="360" w:lineRule="auto"/>
        <w:ind w:firstLine="210" w:firstLineChars="100"/>
      </w:pPr>
      <w:r>
        <w:t xml:space="preserve">6.5.4.1 </w:t>
      </w:r>
      <w:r>
        <w:rPr>
          <w:rFonts w:hint="eastAsia"/>
        </w:rPr>
        <w:t>若非易燃易爆物品事故，则开启事故路段的全部照明；</w:t>
      </w:r>
    </w:p>
    <w:p w14:paraId="18F0C793">
      <w:pPr>
        <w:pStyle w:val="41"/>
        <w:spacing w:line="360" w:lineRule="auto"/>
        <w:ind w:firstLine="210" w:firstLineChars="100"/>
      </w:pPr>
      <w:r>
        <w:t xml:space="preserve">6.5.4.2 </w:t>
      </w:r>
      <w:r>
        <w:rPr>
          <w:rFonts w:hint="eastAsia"/>
        </w:rPr>
        <w:t>若是易燃、易爆物品事故，除保障应急照明、生命救助和关键通风所需的电气设备外，应避免进行不必要的电气开关操作。所有操作应在确认无爆炸风险或由专业救援人员指导下进行。</w:t>
      </w:r>
    </w:p>
    <w:p w14:paraId="513BC7A1">
      <w:pPr>
        <w:pStyle w:val="40"/>
        <w:spacing w:before="120" w:after="120" w:line="360" w:lineRule="auto"/>
        <w:outlineLvl w:val="2"/>
        <w:rPr>
          <w:rFonts w:hAnsi="黑体"/>
        </w:rPr>
      </w:pPr>
      <w:bookmarkStart w:id="83" w:name="_Toc215930428"/>
      <w:bookmarkStart w:id="84" w:name="_Toc219106511"/>
      <w:r>
        <w:rPr>
          <w:rFonts w:hAnsi="黑体"/>
        </w:rPr>
        <w:t xml:space="preserve">6.5.5 </w:t>
      </w:r>
      <w:r>
        <w:rPr>
          <w:rFonts w:hint="eastAsia" w:hAnsi="黑体"/>
        </w:rPr>
        <w:t>灭火处置</w:t>
      </w:r>
      <w:bookmarkEnd w:id="83"/>
      <w:bookmarkEnd w:id="84"/>
    </w:p>
    <w:p w14:paraId="17B7B0D6">
      <w:pPr>
        <w:pStyle w:val="41"/>
        <w:spacing w:line="360" w:lineRule="auto"/>
        <w:ind w:firstLine="210" w:firstLineChars="100"/>
      </w:pPr>
      <w:r>
        <w:t xml:space="preserve">6.5.5.1 </w:t>
      </w:r>
      <w:r>
        <w:rPr>
          <w:rFonts w:hint="eastAsia"/>
        </w:rPr>
        <w:t>火灾发生后，公路隧道运营单位应立即组织自身消防救援力量进行灭火处置。</w:t>
      </w:r>
    </w:p>
    <w:p w14:paraId="7B827B87">
      <w:pPr>
        <w:pStyle w:val="41"/>
        <w:spacing w:line="360" w:lineRule="auto"/>
        <w:ind w:firstLine="210" w:firstLineChars="100"/>
      </w:pPr>
      <w:r>
        <w:t xml:space="preserve">6.5.5.2 </w:t>
      </w:r>
      <w:r>
        <w:rPr>
          <w:rFonts w:hint="eastAsia"/>
        </w:rPr>
        <w:t>公路隧道运营单位自身消防救援力量无法进行灭火时，应等待消防救援部门来处置。同时应迅速调集机电等技术人员就地等待，保持联络畅通。</w:t>
      </w:r>
    </w:p>
    <w:p w14:paraId="699AF2F3">
      <w:pPr>
        <w:pStyle w:val="41"/>
        <w:spacing w:line="360" w:lineRule="auto"/>
        <w:ind w:firstLine="210" w:firstLineChars="100"/>
      </w:pPr>
      <w:r>
        <w:t xml:space="preserve">6.5.5.3 </w:t>
      </w:r>
      <w:r>
        <w:rPr>
          <w:rFonts w:hint="eastAsia"/>
        </w:rPr>
        <w:t>设置有自动灭火设施的公路隧道发生火灾后，公路隧道运营单位在确认火灾发生后应立即开启火源区段的自动灭火设施。</w:t>
      </w:r>
    </w:p>
    <w:p w14:paraId="02DEC45A">
      <w:pPr>
        <w:pStyle w:val="40"/>
        <w:spacing w:before="120" w:after="120" w:line="360" w:lineRule="auto"/>
      </w:pPr>
      <w:bookmarkStart w:id="85" w:name="_Toc219106512"/>
      <w:bookmarkStart w:id="86" w:name="_Toc215071137"/>
      <w:r>
        <w:t xml:space="preserve">6.6 </w:t>
      </w:r>
      <w:r>
        <w:rPr>
          <w:rFonts w:ascii="宋体" w:eastAsia="宋体"/>
        </w:rPr>
        <w:t xml:space="preserve"> </w:t>
      </w:r>
      <w:r>
        <w:t>交通</w:t>
      </w:r>
      <w:r>
        <w:rPr>
          <w:rFonts w:hint="eastAsia"/>
        </w:rPr>
        <w:t>事故</w:t>
      </w:r>
      <w:r>
        <w:t>处置措施</w:t>
      </w:r>
      <w:bookmarkEnd w:id="85"/>
      <w:bookmarkEnd w:id="86"/>
    </w:p>
    <w:p w14:paraId="3BFE1305">
      <w:pPr>
        <w:pStyle w:val="41"/>
        <w:spacing w:line="360" w:lineRule="auto"/>
        <w:ind w:firstLine="420" w:firstLineChars="200"/>
      </w:pPr>
      <w:r>
        <w:rPr>
          <w:rFonts w:hint="eastAsia"/>
        </w:rPr>
        <w:t>交通事故工况下需要采取的处置措施包括但不限于以下内容：</w:t>
      </w:r>
    </w:p>
    <w:p w14:paraId="54AC158F">
      <w:pPr>
        <w:pStyle w:val="41"/>
        <w:spacing w:line="360" w:lineRule="auto"/>
        <w:ind w:firstLine="210" w:firstLineChars="100"/>
        <w:outlineLvl w:val="2"/>
      </w:pPr>
      <w:bookmarkStart w:id="87" w:name="_Toc215930430"/>
      <w:bookmarkStart w:id="88" w:name="_Toc219105665"/>
      <w:bookmarkStart w:id="89" w:name="_Toc219106513"/>
      <w:r>
        <w:t>6.6.1 实时监测隧道内的环境状况、交通流量及排队长度等；</w:t>
      </w:r>
      <w:bookmarkEnd w:id="87"/>
      <w:bookmarkEnd w:id="88"/>
      <w:bookmarkEnd w:id="89"/>
    </w:p>
    <w:p w14:paraId="2CC6DA81">
      <w:pPr>
        <w:pStyle w:val="41"/>
        <w:spacing w:line="360" w:lineRule="auto"/>
        <w:ind w:firstLine="210" w:firstLineChars="100"/>
        <w:outlineLvl w:val="2"/>
      </w:pPr>
      <w:bookmarkStart w:id="90" w:name="_Toc219106514"/>
      <w:bookmarkStart w:id="91" w:name="_Toc219105666"/>
      <w:bookmarkStart w:id="92" w:name="_Toc215930431"/>
      <w:r>
        <w:t>6.6.2</w:t>
      </w:r>
      <w:r>
        <w:rPr>
          <w:rFonts w:hint="eastAsia"/>
        </w:rPr>
        <w:t xml:space="preserve"> 交通事故导致交通完全中断情况下，</w:t>
      </w:r>
      <w:r>
        <w:t>交通控制应符合以下规定：</w:t>
      </w:r>
      <w:bookmarkEnd w:id="90"/>
      <w:bookmarkEnd w:id="91"/>
      <w:bookmarkEnd w:id="92"/>
    </w:p>
    <w:p w14:paraId="0C421725">
      <w:pPr>
        <w:pStyle w:val="43"/>
        <w:tabs>
          <w:tab w:val="left" w:pos="851"/>
        </w:tabs>
        <w:spacing w:line="360" w:lineRule="auto"/>
        <w:ind w:left="210" w:leftChars="100" w:firstLine="630" w:firstLineChars="300"/>
      </w:pPr>
      <w:r>
        <w:rPr>
          <w:rFonts w:hint="eastAsia"/>
        </w:rPr>
        <w:t>a）事故隧道</w:t>
      </w:r>
      <w:r>
        <w:t>入口前的可变信息板应及时向未驶入隧道的车辆发布突发事件信息和</w:t>
      </w:r>
      <w:r>
        <w:rPr>
          <w:rFonts w:hint="eastAsia"/>
        </w:rPr>
        <w:t>“</w:t>
      </w:r>
      <w:r>
        <w:t>禁止通行</w:t>
      </w:r>
      <w:r>
        <w:rPr>
          <w:rFonts w:hint="eastAsia"/>
        </w:rPr>
        <w:t>”</w:t>
      </w:r>
      <w:r>
        <w:t>的警示信息。</w:t>
      </w:r>
    </w:p>
    <w:p w14:paraId="19B302F0">
      <w:pPr>
        <w:pStyle w:val="43"/>
        <w:tabs>
          <w:tab w:val="left" w:pos="851"/>
        </w:tabs>
        <w:spacing w:line="360" w:lineRule="auto"/>
        <w:ind w:left="210" w:leftChars="100" w:firstLine="630" w:firstLineChars="300"/>
      </w:pPr>
      <w:r>
        <w:t>b</w:t>
      </w:r>
      <w:r>
        <w:rPr>
          <w:rFonts w:hint="eastAsia"/>
        </w:rPr>
        <w:t>）事故隧道的入口</w:t>
      </w:r>
      <w:r>
        <w:t>交通信号灯应变为红灯。</w:t>
      </w:r>
    </w:p>
    <w:p w14:paraId="35D88E4D">
      <w:pPr>
        <w:pStyle w:val="43"/>
        <w:tabs>
          <w:tab w:val="left" w:pos="851"/>
        </w:tabs>
        <w:spacing w:line="360" w:lineRule="auto"/>
        <w:ind w:left="210" w:leftChars="100" w:firstLine="630" w:firstLineChars="300"/>
      </w:pPr>
      <w:r>
        <w:t>c</w:t>
      </w:r>
      <w:r>
        <w:rPr>
          <w:rFonts w:hint="eastAsia"/>
        </w:rPr>
        <w:t>）事故隧道内</w:t>
      </w:r>
      <w:r>
        <w:t>设有可变信息板的，应能显示安全疏散信息，引导已驶入隧道内的车辆安全行驶。</w:t>
      </w:r>
    </w:p>
    <w:p w14:paraId="6145FE43">
      <w:pPr>
        <w:pStyle w:val="43"/>
        <w:tabs>
          <w:tab w:val="left" w:pos="851"/>
        </w:tabs>
        <w:spacing w:line="360" w:lineRule="auto"/>
        <w:ind w:left="210" w:leftChars="100" w:firstLine="630" w:firstLineChars="300"/>
      </w:pPr>
      <w:r>
        <w:t>d</w:t>
      </w:r>
      <w:r>
        <w:rPr>
          <w:rFonts w:hint="eastAsia"/>
        </w:rPr>
        <w:t>）事故隧道</w:t>
      </w:r>
      <w:r>
        <w:t>内的车道指示器均显示为封道模式，禁止后续车辆驶入。</w:t>
      </w:r>
    </w:p>
    <w:p w14:paraId="67FF1D26">
      <w:pPr>
        <w:pStyle w:val="41"/>
        <w:spacing w:line="360" w:lineRule="auto"/>
        <w:ind w:firstLine="210" w:firstLineChars="100"/>
        <w:outlineLvl w:val="2"/>
      </w:pPr>
      <w:bookmarkStart w:id="93" w:name="_Toc219106515"/>
      <w:bookmarkStart w:id="94" w:name="_Toc215930432"/>
      <w:bookmarkStart w:id="95" w:name="_Toc219105667"/>
      <w:r>
        <w:t xml:space="preserve">6.6.3 </w:t>
      </w:r>
      <w:r>
        <w:rPr>
          <w:rFonts w:hint="eastAsia"/>
        </w:rPr>
        <w:t>交通事故导致局部车道交通中断情况下，</w:t>
      </w:r>
      <w:r>
        <w:t>交通控制应符合以下规定：</w:t>
      </w:r>
      <w:bookmarkEnd w:id="93"/>
      <w:bookmarkEnd w:id="94"/>
      <w:bookmarkEnd w:id="95"/>
    </w:p>
    <w:p w14:paraId="6050001C">
      <w:pPr>
        <w:pStyle w:val="43"/>
        <w:tabs>
          <w:tab w:val="left" w:pos="851"/>
        </w:tabs>
        <w:spacing w:line="360" w:lineRule="auto"/>
        <w:ind w:left="210" w:leftChars="100" w:firstLine="630" w:firstLineChars="300"/>
      </w:pPr>
      <w:r>
        <w:t>a</w:t>
      </w:r>
      <w:r>
        <w:rPr>
          <w:rFonts w:hint="eastAsia"/>
        </w:rPr>
        <w:t>）事故隧道</w:t>
      </w:r>
      <w:r>
        <w:t>入口前的可变信息板应及时向未驶入隧道的车辆发布</w:t>
      </w:r>
      <w:r>
        <w:rPr>
          <w:rFonts w:hint="eastAsia"/>
        </w:rPr>
        <w:t>交通事故</w:t>
      </w:r>
      <w:r>
        <w:t>信息和</w:t>
      </w:r>
      <w:r>
        <w:rPr>
          <w:rFonts w:hint="eastAsia"/>
        </w:rPr>
        <w:t>“前方事故，小心</w:t>
      </w:r>
      <w:r>
        <w:t>通行</w:t>
      </w:r>
      <w:r>
        <w:rPr>
          <w:rFonts w:hint="eastAsia"/>
        </w:rPr>
        <w:t>”</w:t>
      </w:r>
      <w:r>
        <w:t>的警示信息。</w:t>
      </w:r>
    </w:p>
    <w:p w14:paraId="2830ACBA">
      <w:pPr>
        <w:pStyle w:val="43"/>
        <w:tabs>
          <w:tab w:val="left" w:pos="851"/>
        </w:tabs>
        <w:spacing w:line="360" w:lineRule="auto"/>
        <w:ind w:left="210" w:leftChars="100" w:firstLine="630" w:firstLineChars="300"/>
      </w:pPr>
      <w:r>
        <w:t>b</w:t>
      </w:r>
      <w:r>
        <w:rPr>
          <w:rFonts w:hint="eastAsia"/>
        </w:rPr>
        <w:t>）隧道洞口及相关区域增加限流措施。</w:t>
      </w:r>
    </w:p>
    <w:p w14:paraId="046FC654">
      <w:pPr>
        <w:pStyle w:val="43"/>
        <w:tabs>
          <w:tab w:val="left" w:pos="851"/>
        </w:tabs>
        <w:spacing w:line="360" w:lineRule="auto"/>
        <w:ind w:left="210" w:leftChars="100" w:firstLine="630" w:firstLineChars="300"/>
      </w:pPr>
      <w:r>
        <w:t>c</w:t>
      </w:r>
      <w:r>
        <w:rPr>
          <w:rFonts w:hint="eastAsia"/>
        </w:rPr>
        <w:t>）隧道事故车辆上游所在车道的</w:t>
      </w:r>
      <w:r>
        <w:t>交通信号灯应变为红灯。</w:t>
      </w:r>
    </w:p>
    <w:p w14:paraId="3ECA7643">
      <w:pPr>
        <w:pStyle w:val="43"/>
        <w:tabs>
          <w:tab w:val="left" w:pos="851"/>
        </w:tabs>
        <w:spacing w:line="360" w:lineRule="auto"/>
        <w:ind w:left="210" w:leftChars="100" w:firstLine="630" w:firstLineChars="300"/>
      </w:pPr>
      <w:r>
        <w:t>d</w:t>
      </w:r>
      <w:r>
        <w:rPr>
          <w:rFonts w:hint="eastAsia"/>
        </w:rPr>
        <w:t>）事故隧道内</w:t>
      </w:r>
      <w:r>
        <w:t>设有可变信息板的，应能显示</w:t>
      </w:r>
      <w:r>
        <w:rPr>
          <w:rFonts w:hint="eastAsia"/>
        </w:rPr>
        <w:t>事故</w:t>
      </w:r>
      <w:r>
        <w:t>信息，引导已驶入隧道内的车辆安全</w:t>
      </w:r>
      <w:r>
        <w:rPr>
          <w:rFonts w:hint="eastAsia"/>
        </w:rPr>
        <w:t>驶出隧道</w:t>
      </w:r>
      <w:r>
        <w:t>。</w:t>
      </w:r>
    </w:p>
    <w:p w14:paraId="052D8EC6">
      <w:pPr>
        <w:pStyle w:val="41"/>
        <w:spacing w:line="360" w:lineRule="auto"/>
        <w:ind w:firstLine="210" w:firstLineChars="100"/>
        <w:outlineLvl w:val="2"/>
      </w:pPr>
      <w:bookmarkStart w:id="96" w:name="_Toc219106516"/>
      <w:bookmarkStart w:id="97" w:name="_Toc215930433"/>
      <w:bookmarkStart w:id="98" w:name="_Toc219105668"/>
      <w:r>
        <w:rPr>
          <w:rFonts w:ascii="黑体" w:hAnsi="黑体" w:eastAsia="黑体"/>
        </w:rPr>
        <w:t>6.6.4</w:t>
      </w:r>
      <w:r>
        <w:t>出现严重交通堵塞且可能引发二次事故的隧道，</w:t>
      </w:r>
      <w:r>
        <w:rPr>
          <w:rFonts w:hint="eastAsia"/>
        </w:rPr>
        <w:t>交通事故</w:t>
      </w:r>
      <w:r>
        <w:t>点附近的车辆难以进行安全疏散时，公路隧道运营单位人员引导司乘人员通过检修道、人行横通道、专用避难疏散通道等进行安全疏散。疏散过程中提醒司乘人员下车逃生，车钥匙要留在车内，不要锁闭车门。</w:t>
      </w:r>
      <w:bookmarkEnd w:id="96"/>
      <w:bookmarkEnd w:id="97"/>
      <w:bookmarkEnd w:id="98"/>
    </w:p>
    <w:p w14:paraId="08A7F74E">
      <w:pPr>
        <w:pStyle w:val="41"/>
        <w:spacing w:line="360" w:lineRule="auto"/>
        <w:ind w:firstLine="210" w:firstLineChars="100"/>
      </w:pPr>
      <w:r>
        <w:t>6.6.5</w:t>
      </w:r>
      <w:r>
        <w:rPr>
          <w:rFonts w:hint="eastAsia"/>
        </w:rPr>
        <w:t>事故隧道应</w:t>
      </w:r>
      <w:r>
        <w:t>增加通风换气次数</w:t>
      </w:r>
      <w:r>
        <w:rPr>
          <w:rFonts w:hint="eastAsia"/>
        </w:rPr>
        <w:t>，按照《公路隧道通风设计细则》（J</w:t>
      </w:r>
      <w:r>
        <w:t>TG/T D70/2-02-2014</w:t>
      </w:r>
      <w:r>
        <w:rPr>
          <w:rFonts w:hint="eastAsia"/>
        </w:rPr>
        <w:t>）5</w:t>
      </w:r>
      <w:r>
        <w:t>.3.2</w:t>
      </w:r>
      <w:r>
        <w:rPr>
          <w:rFonts w:hint="eastAsia"/>
        </w:rPr>
        <w:t>的相关要求执行</w:t>
      </w:r>
      <w:r>
        <w:t>；</w:t>
      </w:r>
    </w:p>
    <w:p w14:paraId="58DA556A">
      <w:pPr>
        <w:pStyle w:val="41"/>
        <w:spacing w:line="360" w:lineRule="auto"/>
        <w:ind w:firstLine="210" w:firstLineChars="100"/>
      </w:pPr>
      <w:r>
        <w:t xml:space="preserve">6.6.6 </w:t>
      </w:r>
      <w:r>
        <w:rPr>
          <w:rFonts w:hint="eastAsia"/>
        </w:rPr>
        <w:t>事故</w:t>
      </w:r>
      <w:r>
        <w:t>隧道内</w:t>
      </w:r>
      <w:r>
        <w:rPr>
          <w:rFonts w:hint="eastAsia"/>
        </w:rPr>
        <w:t>应</w:t>
      </w:r>
      <w:r>
        <w:t>照明</w:t>
      </w:r>
      <w:r>
        <w:rPr>
          <w:rFonts w:hint="eastAsia"/>
        </w:rPr>
        <w:t>全开</w:t>
      </w:r>
      <w:r>
        <w:t>；</w:t>
      </w:r>
    </w:p>
    <w:p w14:paraId="3CEAA7BE">
      <w:pPr>
        <w:pStyle w:val="41"/>
        <w:spacing w:line="360" w:lineRule="auto"/>
        <w:ind w:firstLine="210" w:firstLineChars="100"/>
      </w:pPr>
      <w:r>
        <w:t>6.6.7 协助公安交通管理部门疏导隧道内的车辆；协助公安交通管理部门控制进入隧道内的车辆数量；协助公安交通管理部门疏导事故点上游车辆驶离隧道所在路段或绕行。</w:t>
      </w:r>
    </w:p>
    <w:p w14:paraId="3E12B544">
      <w:pPr>
        <w:pStyle w:val="40"/>
        <w:spacing w:before="120" w:after="120" w:line="360" w:lineRule="auto"/>
      </w:pPr>
      <w:bookmarkStart w:id="99" w:name="_Toc215071138"/>
      <w:bookmarkStart w:id="100" w:name="_Toc219106517"/>
      <w:r>
        <w:t xml:space="preserve">6.7 </w:t>
      </w:r>
      <w:r>
        <w:rPr>
          <w:rFonts w:ascii="宋体" w:eastAsia="宋体"/>
        </w:rPr>
        <w:t xml:space="preserve"> </w:t>
      </w:r>
      <w:r>
        <w:rPr>
          <w:rFonts w:hint="eastAsia"/>
        </w:rPr>
        <w:t>大雪、结冰等恶劣气象处置措施</w:t>
      </w:r>
      <w:bookmarkEnd w:id="99"/>
      <w:bookmarkEnd w:id="100"/>
    </w:p>
    <w:p w14:paraId="1BFB3688">
      <w:pPr>
        <w:pStyle w:val="41"/>
        <w:spacing w:line="360" w:lineRule="auto"/>
        <w:ind w:firstLine="420" w:firstLineChars="200"/>
      </w:pPr>
      <w:r>
        <w:rPr>
          <w:rFonts w:hint="eastAsia"/>
        </w:rPr>
        <w:t>恶劣气候工况下需要采取的处置措施包括但不限于以下内容：</w:t>
      </w:r>
    </w:p>
    <w:p w14:paraId="0CE93863">
      <w:pPr>
        <w:pStyle w:val="41"/>
        <w:spacing w:line="360" w:lineRule="auto"/>
        <w:ind w:firstLine="210" w:firstLineChars="100"/>
        <w:outlineLvl w:val="2"/>
      </w:pPr>
      <w:bookmarkStart w:id="101" w:name="_Toc215930435"/>
      <w:bookmarkStart w:id="102" w:name="_Toc219106518"/>
      <w:r>
        <w:rPr>
          <w:rFonts w:hint="eastAsia"/>
        </w:rPr>
        <w:t>6.</w:t>
      </w:r>
      <w:r>
        <w:t>7</w:t>
      </w:r>
      <w:r>
        <w:rPr>
          <w:rFonts w:hint="eastAsia"/>
        </w:rPr>
        <w:t>.1持续关注恶劣气象发展态势，实时监测能见度、交通流量及排队长度等。</w:t>
      </w:r>
      <w:bookmarkEnd w:id="101"/>
      <w:bookmarkEnd w:id="102"/>
    </w:p>
    <w:p w14:paraId="5ACA0F30">
      <w:pPr>
        <w:pStyle w:val="41"/>
        <w:spacing w:line="360" w:lineRule="auto"/>
        <w:ind w:firstLine="210" w:firstLineChars="100"/>
        <w:outlineLvl w:val="2"/>
      </w:pPr>
      <w:bookmarkStart w:id="103" w:name="_Toc215930436"/>
      <w:bookmarkStart w:id="104" w:name="_Toc219106519"/>
      <w:r>
        <w:rPr>
          <w:rFonts w:hint="eastAsia"/>
        </w:rPr>
        <w:t>6.</w:t>
      </w:r>
      <w:r>
        <w:t>7</w:t>
      </w:r>
      <w:r>
        <w:rPr>
          <w:rFonts w:hint="eastAsia"/>
        </w:rPr>
        <w:t>.2协助公安交通管理部门做好交通疏导。</w:t>
      </w:r>
      <w:bookmarkEnd w:id="103"/>
      <w:bookmarkEnd w:id="104"/>
    </w:p>
    <w:p w14:paraId="15D8183D">
      <w:pPr>
        <w:pStyle w:val="41"/>
        <w:spacing w:line="360" w:lineRule="auto"/>
        <w:ind w:firstLine="210" w:firstLineChars="100"/>
        <w:outlineLvl w:val="2"/>
      </w:pPr>
      <w:bookmarkStart w:id="105" w:name="_Toc219106520"/>
      <w:bookmarkStart w:id="106" w:name="_Toc215930437"/>
      <w:r>
        <w:rPr>
          <w:rFonts w:hint="eastAsia"/>
        </w:rPr>
        <w:t>6.</w:t>
      </w:r>
      <w:r>
        <w:t>7</w:t>
      </w:r>
      <w:r>
        <w:rPr>
          <w:rFonts w:hint="eastAsia"/>
        </w:rPr>
        <w:t>.3通过可变信息标志、广播等协助公安交通管理部门发布减速、控距、诱导等交通管控信息。</w:t>
      </w:r>
      <w:bookmarkEnd w:id="105"/>
      <w:bookmarkEnd w:id="106"/>
    </w:p>
    <w:p w14:paraId="15BA1306">
      <w:pPr>
        <w:pStyle w:val="41"/>
        <w:spacing w:line="360" w:lineRule="auto"/>
        <w:ind w:firstLine="210" w:firstLineChars="100"/>
        <w:outlineLvl w:val="2"/>
      </w:pPr>
      <w:bookmarkStart w:id="107" w:name="_Toc215930438"/>
      <w:bookmarkStart w:id="108" w:name="_Toc219106521"/>
      <w:r>
        <w:t xml:space="preserve">6.7.4 </w:t>
      </w:r>
      <w:r>
        <w:rPr>
          <w:rFonts w:hint="eastAsia"/>
        </w:rPr>
        <w:t>隧道洞口积雪结冰时，调用除雪、除冰机械设备。</w:t>
      </w:r>
      <w:bookmarkEnd w:id="107"/>
      <w:bookmarkEnd w:id="108"/>
    </w:p>
    <w:p w14:paraId="03497040">
      <w:pPr>
        <w:pStyle w:val="40"/>
        <w:spacing w:before="120" w:after="120" w:line="360" w:lineRule="auto"/>
      </w:pPr>
      <w:bookmarkStart w:id="109" w:name="_Toc219106522"/>
      <w:bookmarkStart w:id="110" w:name="_Toc215071139"/>
      <w:r>
        <w:t>6.8  水淹处置措施</w:t>
      </w:r>
      <w:bookmarkEnd w:id="109"/>
      <w:bookmarkEnd w:id="110"/>
    </w:p>
    <w:p w14:paraId="7F3E17D8">
      <w:pPr>
        <w:pStyle w:val="41"/>
        <w:spacing w:line="360" w:lineRule="auto"/>
        <w:ind w:firstLine="420" w:firstLineChars="200"/>
      </w:pPr>
      <w:r>
        <w:rPr>
          <w:rFonts w:hint="eastAsia"/>
        </w:rPr>
        <w:t>水淹工况下需要采取的处置措施包括但不限于以下内容：</w:t>
      </w:r>
    </w:p>
    <w:p w14:paraId="6EF17A73">
      <w:pPr>
        <w:pStyle w:val="41"/>
        <w:spacing w:line="360" w:lineRule="auto"/>
        <w:ind w:firstLine="210" w:firstLineChars="100"/>
        <w:outlineLvl w:val="2"/>
      </w:pPr>
      <w:bookmarkStart w:id="111" w:name="_Toc215930440"/>
      <w:bookmarkStart w:id="112" w:name="_Toc219106523"/>
      <w:r>
        <w:t>6.8.1 持续关注</w:t>
      </w:r>
      <w:r>
        <w:rPr>
          <w:rFonts w:hint="eastAsia"/>
        </w:rPr>
        <w:t>隧道水淹</w:t>
      </w:r>
      <w:r>
        <w:t>发展态势，实时监测</w:t>
      </w:r>
      <w:r>
        <w:rPr>
          <w:rFonts w:hint="eastAsia"/>
        </w:rPr>
        <w:t>水位变化</w:t>
      </w:r>
      <w:r>
        <w:t>、</w:t>
      </w:r>
      <w:r>
        <w:rPr>
          <w:rFonts w:hint="eastAsia"/>
        </w:rPr>
        <w:t>隧道内车辆数量</w:t>
      </w:r>
      <w:r>
        <w:t>及排队长度等；</w:t>
      </w:r>
      <w:bookmarkEnd w:id="111"/>
      <w:bookmarkEnd w:id="112"/>
    </w:p>
    <w:p w14:paraId="4FC1C6FA">
      <w:pPr>
        <w:pStyle w:val="41"/>
        <w:spacing w:line="360" w:lineRule="auto"/>
        <w:ind w:firstLine="210" w:firstLineChars="100"/>
        <w:outlineLvl w:val="2"/>
      </w:pPr>
      <w:bookmarkStart w:id="113" w:name="_Toc215930441"/>
      <w:bookmarkStart w:id="114" w:name="_Toc219106524"/>
      <w:r>
        <w:t xml:space="preserve">6.8.2 </w:t>
      </w:r>
      <w:r>
        <w:rPr>
          <w:rFonts w:hint="eastAsia"/>
        </w:rPr>
        <w:t>隧道</w:t>
      </w:r>
      <w:r>
        <w:t>入口前的可变信息板应及时向未驶入隧道的车辆发布突发事件信息和</w:t>
      </w:r>
      <w:r>
        <w:rPr>
          <w:rFonts w:hint="eastAsia"/>
        </w:rPr>
        <w:t>“</w:t>
      </w:r>
      <w:r>
        <w:t>禁止通行</w:t>
      </w:r>
      <w:r>
        <w:rPr>
          <w:rFonts w:hint="eastAsia"/>
        </w:rPr>
        <w:t>”</w:t>
      </w:r>
      <w:r>
        <w:t>的警示信息。</w:t>
      </w:r>
      <w:bookmarkEnd w:id="113"/>
      <w:bookmarkEnd w:id="114"/>
    </w:p>
    <w:p w14:paraId="1D9616BA">
      <w:pPr>
        <w:pStyle w:val="41"/>
        <w:spacing w:line="360" w:lineRule="auto"/>
        <w:ind w:firstLine="210" w:firstLineChars="100"/>
        <w:outlineLvl w:val="2"/>
      </w:pPr>
      <w:bookmarkStart w:id="115" w:name="_Toc215930442"/>
      <w:bookmarkStart w:id="116" w:name="_Toc219106525"/>
      <w:r>
        <w:t>6.8.3 协助公安交通管理部门进行现场警戒围挡，疏散被困人员；协助公安交通管理部门通过交通信号灯、可变信息标志、广播等进行告知、引导，疏导</w:t>
      </w:r>
      <w:r>
        <w:rPr>
          <w:rFonts w:hint="eastAsia"/>
        </w:rPr>
        <w:t>未进入隧道的</w:t>
      </w:r>
      <w:r>
        <w:t>车辆驶离隧道所在路段或绕行</w:t>
      </w:r>
      <w:r>
        <w:rPr>
          <w:rFonts w:hint="eastAsia"/>
        </w:rPr>
        <w:t>。</w:t>
      </w:r>
      <w:bookmarkEnd w:id="115"/>
      <w:bookmarkEnd w:id="116"/>
    </w:p>
    <w:p w14:paraId="106AE356">
      <w:pPr>
        <w:pStyle w:val="41"/>
        <w:spacing w:line="360" w:lineRule="auto"/>
        <w:ind w:firstLine="210" w:firstLineChars="100"/>
        <w:outlineLvl w:val="2"/>
      </w:pPr>
      <w:bookmarkStart w:id="117" w:name="_Toc219106526"/>
      <w:bookmarkStart w:id="118" w:name="_Toc215930443"/>
      <w:r>
        <w:t>6.8.4 清理隧道内排水沟</w:t>
      </w:r>
      <w:r>
        <w:rPr>
          <w:rFonts w:hint="eastAsia"/>
        </w:rPr>
        <w:t>。</w:t>
      </w:r>
      <w:bookmarkEnd w:id="117"/>
      <w:bookmarkEnd w:id="118"/>
    </w:p>
    <w:p w14:paraId="3EAD8994">
      <w:pPr>
        <w:pStyle w:val="41"/>
        <w:spacing w:line="360" w:lineRule="auto"/>
        <w:ind w:firstLine="210" w:firstLineChars="100"/>
        <w:outlineLvl w:val="2"/>
      </w:pPr>
      <w:bookmarkStart w:id="119" w:name="_Toc215930444"/>
      <w:bookmarkStart w:id="120" w:name="_Toc219106527"/>
      <w:r>
        <w:t>6.8.5</w:t>
      </w:r>
      <w:r>
        <w:rPr>
          <w:rFonts w:hint="eastAsia"/>
        </w:rPr>
        <w:t>开启隧道内雨水泵房及废水泵房的水泵进行排水。</w:t>
      </w:r>
      <w:bookmarkEnd w:id="119"/>
      <w:bookmarkEnd w:id="120"/>
    </w:p>
    <w:p w14:paraId="3BA97B7A">
      <w:pPr>
        <w:pStyle w:val="41"/>
        <w:spacing w:line="360" w:lineRule="auto"/>
        <w:ind w:firstLine="210" w:firstLineChars="100"/>
        <w:outlineLvl w:val="2"/>
      </w:pPr>
      <w:bookmarkStart w:id="121" w:name="_Toc215930445"/>
      <w:bookmarkStart w:id="122" w:name="_Toc219106528"/>
      <w:r>
        <w:t>6.8.6调用大型抽水设备排涝</w:t>
      </w:r>
      <w:r>
        <w:rPr>
          <w:rFonts w:hint="eastAsia"/>
        </w:rPr>
        <w:t>。</w:t>
      </w:r>
      <w:bookmarkEnd w:id="121"/>
      <w:bookmarkEnd w:id="122"/>
    </w:p>
    <w:p w14:paraId="78A974AA">
      <w:pPr>
        <w:pStyle w:val="40"/>
        <w:spacing w:before="120" w:after="120" w:line="360" w:lineRule="auto"/>
      </w:pPr>
      <w:bookmarkStart w:id="123" w:name="_Toc215071140"/>
      <w:bookmarkStart w:id="124" w:name="_Toc219106529"/>
      <w:r>
        <w:t>6.9 隧道主体结构损坏事故处置措施</w:t>
      </w:r>
      <w:bookmarkEnd w:id="123"/>
      <w:bookmarkEnd w:id="124"/>
    </w:p>
    <w:p w14:paraId="1F0E40FF">
      <w:pPr>
        <w:pStyle w:val="41"/>
        <w:spacing w:line="360" w:lineRule="auto"/>
        <w:ind w:firstLine="420" w:firstLineChars="200"/>
      </w:pPr>
      <w:r>
        <w:rPr>
          <w:rFonts w:hint="eastAsia"/>
        </w:rPr>
        <w:t>隧道主体结构损坏工况下需要采取的处置措施包括但不限于以下内容：</w:t>
      </w:r>
    </w:p>
    <w:p w14:paraId="405CFCD8">
      <w:pPr>
        <w:pStyle w:val="41"/>
        <w:spacing w:line="360" w:lineRule="auto"/>
        <w:ind w:firstLine="210" w:firstLineChars="100"/>
        <w:outlineLvl w:val="2"/>
      </w:pPr>
      <w:bookmarkStart w:id="125" w:name="_Toc215930447"/>
      <w:bookmarkStart w:id="126" w:name="_Toc219106530"/>
      <w:r>
        <w:t>6.9.1协助公安交通管理部门进行现场警戒围挡，疏散被困人员</w:t>
      </w:r>
      <w:r>
        <w:rPr>
          <w:rFonts w:hint="eastAsia"/>
        </w:rPr>
        <w:t>。</w:t>
      </w:r>
      <w:bookmarkEnd w:id="125"/>
      <w:bookmarkEnd w:id="126"/>
    </w:p>
    <w:p w14:paraId="04DB69A0">
      <w:pPr>
        <w:pStyle w:val="41"/>
        <w:spacing w:line="360" w:lineRule="auto"/>
        <w:ind w:firstLine="210" w:firstLineChars="100"/>
        <w:outlineLvl w:val="2"/>
      </w:pPr>
      <w:bookmarkStart w:id="127" w:name="_Toc219106531"/>
      <w:bookmarkStart w:id="128" w:name="_Toc215930448"/>
      <w:r>
        <w:t>6.9.2协助公安交通管理部门封闭隧道入口，通过交通信号灯、可变信息标志、广播等进行告知、引导，疏导上游车辆驶离隧道所在路段或绕行</w:t>
      </w:r>
      <w:r>
        <w:rPr>
          <w:rFonts w:hint="eastAsia"/>
        </w:rPr>
        <w:t>。</w:t>
      </w:r>
      <w:bookmarkEnd w:id="127"/>
      <w:bookmarkEnd w:id="128"/>
    </w:p>
    <w:p w14:paraId="2D7D9C03">
      <w:pPr>
        <w:pStyle w:val="41"/>
        <w:spacing w:line="360" w:lineRule="auto"/>
        <w:ind w:firstLine="210" w:firstLineChars="100"/>
        <w:outlineLvl w:val="2"/>
      </w:pPr>
      <w:bookmarkStart w:id="129" w:name="_Toc219106532"/>
      <w:bookmarkStart w:id="130" w:name="_Toc215930449"/>
      <w:r>
        <w:t>6.9.3 加强现场安全监测</w:t>
      </w:r>
      <w:r>
        <w:rPr>
          <w:rFonts w:hint="eastAsia"/>
        </w:rPr>
        <w:t>。</w:t>
      </w:r>
      <w:bookmarkEnd w:id="129"/>
      <w:bookmarkEnd w:id="130"/>
    </w:p>
    <w:p w14:paraId="4040A4FB">
      <w:pPr>
        <w:pStyle w:val="41"/>
        <w:spacing w:line="360" w:lineRule="auto"/>
        <w:ind w:firstLine="210" w:firstLineChars="100"/>
        <w:outlineLvl w:val="2"/>
      </w:pPr>
      <w:bookmarkStart w:id="131" w:name="_Toc219106533"/>
      <w:bookmarkStart w:id="132" w:name="_Toc215930450"/>
      <w:r>
        <w:t>6.9.4 调集挖掘机、装载机、推土机、照明</w:t>
      </w:r>
      <w:r>
        <w:rPr>
          <w:rFonts w:hint="eastAsia"/>
        </w:rPr>
        <w:t>等</w:t>
      </w:r>
      <w:r>
        <w:t>设备进行抢险保通。</w:t>
      </w:r>
      <w:bookmarkEnd w:id="131"/>
      <w:bookmarkEnd w:id="132"/>
    </w:p>
    <w:p w14:paraId="073D4B53">
      <w:pPr>
        <w:pStyle w:val="40"/>
        <w:spacing w:before="120" w:after="120" w:line="360" w:lineRule="auto"/>
      </w:pPr>
      <w:bookmarkStart w:id="133" w:name="_Toc215071141"/>
      <w:bookmarkStart w:id="134" w:name="_Toc219106534"/>
      <w:r>
        <w:t xml:space="preserve">6.10 </w:t>
      </w:r>
      <w:r>
        <w:rPr>
          <w:rFonts w:hint="eastAsia"/>
        </w:rPr>
        <w:t>机电设备故障处置措施</w:t>
      </w:r>
      <w:bookmarkEnd w:id="133"/>
      <w:bookmarkEnd w:id="134"/>
    </w:p>
    <w:p w14:paraId="76F138B1">
      <w:pPr>
        <w:pStyle w:val="41"/>
        <w:spacing w:line="360" w:lineRule="auto"/>
        <w:ind w:firstLine="420" w:firstLineChars="200"/>
      </w:pPr>
      <w:r>
        <w:rPr>
          <w:rFonts w:hint="eastAsia"/>
        </w:rPr>
        <w:t>机电设备故障工况下需要采取的处置措施包括但不限于以下内容：</w:t>
      </w:r>
    </w:p>
    <w:p w14:paraId="7B2B78E7">
      <w:pPr>
        <w:pStyle w:val="41"/>
        <w:spacing w:line="360" w:lineRule="auto"/>
        <w:ind w:firstLine="210" w:firstLineChars="100"/>
        <w:outlineLvl w:val="2"/>
      </w:pPr>
      <w:bookmarkStart w:id="135" w:name="_Toc215930452"/>
      <w:bookmarkStart w:id="136" w:name="_Toc219106535"/>
      <w:r>
        <w:t>6</w:t>
      </w:r>
      <w:r>
        <w:rPr>
          <w:rFonts w:hint="eastAsia"/>
        </w:rPr>
        <w:t>.1</w:t>
      </w:r>
      <w:r>
        <w:t>0</w:t>
      </w:r>
      <w:r>
        <w:rPr>
          <w:rFonts w:hint="eastAsia"/>
        </w:rPr>
        <w:t>.1机电设备维护人员应及时修复设备故障。</w:t>
      </w:r>
      <w:bookmarkEnd w:id="135"/>
      <w:bookmarkEnd w:id="136"/>
    </w:p>
    <w:p w14:paraId="7406CD1A">
      <w:pPr>
        <w:pStyle w:val="41"/>
        <w:spacing w:line="360" w:lineRule="auto"/>
        <w:ind w:firstLine="210" w:firstLineChars="100"/>
        <w:outlineLvl w:val="2"/>
      </w:pPr>
      <w:bookmarkStart w:id="137" w:name="_Toc219106536"/>
      <w:bookmarkStart w:id="138" w:name="_Toc215930453"/>
      <w:r>
        <w:t>6.10.2</w:t>
      </w:r>
      <w:r>
        <w:rPr>
          <w:rFonts w:hint="eastAsia"/>
        </w:rPr>
        <w:t>局部线路停电时通过切换备用电源、柴油发电机发电等保障一级负荷供电。</w:t>
      </w:r>
      <w:bookmarkEnd w:id="137"/>
      <w:bookmarkEnd w:id="138"/>
    </w:p>
    <w:p w14:paraId="15BAA58B">
      <w:pPr>
        <w:pStyle w:val="41"/>
        <w:spacing w:line="360" w:lineRule="auto"/>
        <w:ind w:firstLine="210" w:firstLineChars="100"/>
        <w:outlineLvl w:val="2"/>
      </w:pPr>
      <w:bookmarkStart w:id="139" w:name="_Toc215930454"/>
      <w:bookmarkStart w:id="140" w:name="_Toc219106537"/>
      <w:r>
        <w:t>6</w:t>
      </w:r>
      <w:r>
        <w:rPr>
          <w:rFonts w:hint="eastAsia"/>
        </w:rPr>
        <w:t>.1</w:t>
      </w:r>
      <w:r>
        <w:t>0</w:t>
      </w:r>
      <w:r>
        <w:rPr>
          <w:rFonts w:hint="eastAsia"/>
        </w:rPr>
        <w:t>.3隧道内照明断电时，通过可变信息标志、广播等进行告知并提示驾驶人“进入隧道请开车灯”，同时协助公安交通管理部门发布减速、控距等交通管控信息。</w:t>
      </w:r>
      <w:bookmarkEnd w:id="139"/>
      <w:bookmarkEnd w:id="140"/>
    </w:p>
    <w:p w14:paraId="24FE9A5C">
      <w:pPr>
        <w:pStyle w:val="40"/>
        <w:spacing w:before="120" w:after="120" w:line="360" w:lineRule="auto"/>
      </w:pPr>
      <w:bookmarkStart w:id="141" w:name="_Toc219106538"/>
      <w:bookmarkStart w:id="142" w:name="_Toc215071142"/>
      <w:r>
        <w:t>6.11 危险化学品泄漏事故处置</w:t>
      </w:r>
      <w:bookmarkEnd w:id="141"/>
      <w:bookmarkEnd w:id="142"/>
    </w:p>
    <w:p w14:paraId="77DAD0CA">
      <w:pPr>
        <w:pStyle w:val="41"/>
        <w:spacing w:line="360" w:lineRule="auto"/>
        <w:ind w:firstLine="420" w:firstLineChars="200"/>
      </w:pPr>
      <w:r>
        <w:rPr>
          <w:rFonts w:hint="eastAsia"/>
        </w:rPr>
        <w:t>危险品泄露工况下需要采取的处置措施包括但不限于以下内容：</w:t>
      </w:r>
    </w:p>
    <w:p w14:paraId="05CFA8DC">
      <w:pPr>
        <w:pStyle w:val="40"/>
        <w:spacing w:before="0" w:beforeLines="0" w:after="0" w:afterLines="0" w:line="360" w:lineRule="auto"/>
        <w:outlineLvl w:val="2"/>
        <w:rPr>
          <w:rFonts w:ascii="宋体" w:eastAsia="宋体"/>
        </w:rPr>
      </w:pPr>
      <w:r>
        <w:rPr>
          <w:rFonts w:hint="eastAsia"/>
        </w:rPr>
        <w:t xml:space="preserve"> </w:t>
      </w:r>
      <w:r>
        <w:t xml:space="preserve"> </w:t>
      </w:r>
      <w:bookmarkStart w:id="143" w:name="_Toc219106539"/>
      <w:bookmarkStart w:id="144" w:name="_Toc215930456"/>
      <w:r>
        <w:rPr>
          <w:rFonts w:ascii="宋体" w:eastAsia="宋体"/>
        </w:rPr>
        <w:t>6.11.1尽快掌握危险化学品的基本信息、运输车辆及驾驶人信息等</w:t>
      </w:r>
      <w:r>
        <w:rPr>
          <w:rFonts w:hint="eastAsia" w:ascii="宋体" w:eastAsia="宋体"/>
        </w:rPr>
        <w:t>。</w:t>
      </w:r>
      <w:bookmarkEnd w:id="143"/>
      <w:bookmarkEnd w:id="144"/>
    </w:p>
    <w:p w14:paraId="3788628F">
      <w:pPr>
        <w:pStyle w:val="41"/>
        <w:spacing w:line="360" w:lineRule="auto"/>
        <w:ind w:firstLine="210" w:firstLineChars="100"/>
        <w:outlineLvl w:val="2"/>
      </w:pPr>
      <w:bookmarkStart w:id="145" w:name="_Toc219106540"/>
      <w:bookmarkStart w:id="146" w:name="_Toc215930457"/>
      <w:r>
        <w:t>6.11.2及时向应急管理、环境保护、消防救援部门通报</w:t>
      </w:r>
      <w:r>
        <w:rPr>
          <w:rFonts w:hint="eastAsia"/>
        </w:rPr>
        <w:t>。</w:t>
      </w:r>
      <w:bookmarkEnd w:id="145"/>
      <w:bookmarkEnd w:id="146"/>
    </w:p>
    <w:p w14:paraId="6AE1556E">
      <w:pPr>
        <w:pStyle w:val="41"/>
        <w:spacing w:line="360" w:lineRule="auto"/>
        <w:ind w:firstLine="210" w:firstLineChars="100"/>
        <w:outlineLvl w:val="2"/>
      </w:pPr>
      <w:bookmarkStart w:id="147" w:name="_Toc219106541"/>
      <w:bookmarkStart w:id="148" w:name="_Toc215930458"/>
      <w:r>
        <w:t>6.11.3协助公安交通管理部门封闭双向隧道入口，通过交通信号灯、可变信息标志、广播等进行告知、引导，疏导事故点上游车辆驶离隧道所在路段或绕行</w:t>
      </w:r>
      <w:r>
        <w:rPr>
          <w:rFonts w:hint="eastAsia"/>
        </w:rPr>
        <w:t>。</w:t>
      </w:r>
      <w:bookmarkEnd w:id="147"/>
      <w:bookmarkEnd w:id="148"/>
    </w:p>
    <w:p w14:paraId="620CE564">
      <w:pPr>
        <w:pStyle w:val="41"/>
        <w:spacing w:line="360" w:lineRule="auto"/>
        <w:ind w:firstLine="210" w:firstLineChars="100"/>
        <w:outlineLvl w:val="2"/>
        <w:rPr>
          <w:rFonts w:hAnsi="宋体"/>
          <w:szCs w:val="21"/>
        </w:rPr>
      </w:pPr>
      <w:bookmarkStart w:id="149" w:name="_Toc219106542"/>
      <w:bookmarkStart w:id="150" w:name="_Toc215930459"/>
      <w:r>
        <w:t>6.11.4</w:t>
      </w:r>
      <w:r>
        <w:rPr>
          <w:rFonts w:hint="eastAsia" w:hAnsi="宋体"/>
          <w:szCs w:val="21"/>
        </w:rPr>
        <w:t>在确保自身安全的前提下，运营单位人员应位于上风向或侧风向，利用隧道内视频监控初步判断泄漏物状态（气态、液态、烟雾），切勿盲目行动。</w:t>
      </w:r>
      <w:bookmarkEnd w:id="149"/>
      <w:bookmarkEnd w:id="150"/>
    </w:p>
    <w:p w14:paraId="5C61D1F8">
      <w:pPr>
        <w:pStyle w:val="41"/>
        <w:spacing w:line="360" w:lineRule="auto"/>
        <w:ind w:firstLine="210" w:firstLineChars="100"/>
        <w:outlineLvl w:val="2"/>
      </w:pPr>
      <w:bookmarkStart w:id="151" w:name="_Toc219106543"/>
      <w:bookmarkStart w:id="152" w:name="_Toc215930460"/>
      <w:r>
        <w:t>6.11.5协助公安交通管理部门进行现场警戒围挡，疏散被困人员</w:t>
      </w:r>
      <w:r>
        <w:rPr>
          <w:rFonts w:hint="eastAsia"/>
        </w:rPr>
        <w:t>。</w:t>
      </w:r>
      <w:bookmarkEnd w:id="151"/>
      <w:bookmarkEnd w:id="152"/>
    </w:p>
    <w:p w14:paraId="15E9EF7F">
      <w:pPr>
        <w:pStyle w:val="41"/>
        <w:spacing w:line="360" w:lineRule="auto"/>
        <w:ind w:firstLine="210" w:firstLineChars="100"/>
        <w:outlineLvl w:val="2"/>
      </w:pPr>
      <w:bookmarkStart w:id="153" w:name="_Toc215930461"/>
      <w:bookmarkStart w:id="154" w:name="_Toc219106544"/>
      <w:r>
        <w:rPr>
          <w:rFonts w:hAnsi="宋体"/>
          <w:szCs w:val="21"/>
        </w:rPr>
        <w:t>6.11.6</w:t>
      </w:r>
      <w:r>
        <w:rPr>
          <w:rFonts w:hint="eastAsia" w:hAnsi="宋体"/>
          <w:szCs w:val="21"/>
        </w:rPr>
        <w:t>协助专业救援队伍划定警戒区、确定危险核心区。提供隧道排水系统图纸，防止污染物扩散。</w:t>
      </w:r>
      <w:bookmarkEnd w:id="153"/>
      <w:bookmarkEnd w:id="154"/>
    </w:p>
    <w:p w14:paraId="580EA9D9">
      <w:pPr>
        <w:pStyle w:val="41"/>
        <w:spacing w:line="360" w:lineRule="auto"/>
        <w:ind w:firstLine="210" w:firstLineChars="100"/>
      </w:pPr>
      <w:r>
        <w:t>6.11.7配合</w:t>
      </w:r>
      <w:r>
        <w:rPr>
          <w:rFonts w:hint="eastAsia"/>
        </w:rPr>
        <w:t>专业部门</w:t>
      </w:r>
      <w:r>
        <w:t>开展应急救援行动</w:t>
      </w:r>
      <w:r>
        <w:rPr>
          <w:rFonts w:hint="eastAsia"/>
        </w:rPr>
        <w:t>。</w:t>
      </w:r>
    </w:p>
    <w:p w14:paraId="27D87494">
      <w:pPr>
        <w:pStyle w:val="29"/>
        <w:spacing w:before="120" w:beforeLines="50" w:after="120" w:afterLines="50" w:line="360" w:lineRule="auto"/>
        <w:outlineLvl w:val="0"/>
      </w:pPr>
      <w:bookmarkStart w:id="155" w:name="_Toc219106545"/>
      <w:r>
        <w:t xml:space="preserve">7 </w:t>
      </w:r>
      <w:r>
        <w:rPr>
          <w:rFonts w:hint="eastAsia"/>
        </w:rPr>
        <w:t xml:space="preserve"> 恢复与善后</w:t>
      </w:r>
      <w:bookmarkEnd w:id="155"/>
    </w:p>
    <w:p w14:paraId="1851C733">
      <w:pPr>
        <w:pStyle w:val="29"/>
        <w:spacing w:before="240" w:after="240" w:line="360" w:lineRule="auto"/>
      </w:pPr>
      <w:bookmarkStart w:id="156" w:name="_Toc219106546"/>
      <w:bookmarkStart w:id="157" w:name="OLE_LINK20"/>
      <w:r>
        <w:t>7</w:t>
      </w:r>
      <w:r>
        <w:rPr>
          <w:rFonts w:hint="eastAsia"/>
        </w:rPr>
        <w:t>.1 现场恢复</w:t>
      </w:r>
      <w:bookmarkEnd w:id="156"/>
    </w:p>
    <w:bookmarkEnd w:id="157"/>
    <w:p w14:paraId="061DA662">
      <w:pPr>
        <w:pStyle w:val="41"/>
        <w:spacing w:line="360" w:lineRule="auto"/>
      </w:pPr>
      <w:bookmarkStart w:id="158" w:name="OLE_LINK3"/>
      <w:r>
        <w:rPr>
          <w:rFonts w:ascii="黑体" w:hAnsi="黑体" w:eastAsia="黑体"/>
        </w:rPr>
        <w:t>7</w:t>
      </w:r>
      <w:r>
        <w:rPr>
          <w:rFonts w:hint="eastAsia" w:ascii="黑体" w:hAnsi="黑体" w:eastAsia="黑体"/>
        </w:rPr>
        <w:t>.1.</w:t>
      </w:r>
      <w:bookmarkEnd w:id="158"/>
      <w:r>
        <w:rPr>
          <w:rFonts w:hint="eastAsia" w:ascii="黑体" w:hAnsi="黑体" w:eastAsia="黑体"/>
        </w:rPr>
        <w:t xml:space="preserve">1 </w:t>
      </w:r>
      <w:r>
        <w:rPr>
          <w:rFonts w:hint="eastAsia"/>
        </w:rPr>
        <w:t>相关部门确认险情彻底消除、现场安全情况达标，人员全部撤离后，公路隧道运营单位需组织具备相应资质的队伍，在做好安全防护的前提下，开展现场清理工作。</w:t>
      </w:r>
    </w:p>
    <w:p w14:paraId="0209EC06">
      <w:pPr>
        <w:pStyle w:val="41"/>
        <w:spacing w:line="360" w:lineRule="auto"/>
      </w:pPr>
      <w:r>
        <w:t xml:space="preserve">7.1.2 </w:t>
      </w:r>
      <w:r>
        <w:rPr>
          <w:rFonts w:hint="eastAsia"/>
        </w:rPr>
        <w:t>清理完毕后公路隧道运营单位应组织专家或委托有相应资质的单位对隧道路面、机电设施以及承重结构体的损毁情况进行评估。具备通行条件时，可恢复交通；不具备通行条件时，应进行维修加固。</w:t>
      </w:r>
    </w:p>
    <w:p w14:paraId="46B6F370">
      <w:pPr>
        <w:pStyle w:val="41"/>
        <w:spacing w:line="360" w:lineRule="auto"/>
      </w:pPr>
      <w:bookmarkStart w:id="159" w:name="OLE_LINK9"/>
      <w:r>
        <w:rPr>
          <w:rFonts w:ascii="黑体" w:hAnsi="黑体" w:eastAsia="黑体"/>
        </w:rPr>
        <w:t>7</w:t>
      </w:r>
      <w:r>
        <w:rPr>
          <w:rFonts w:hint="eastAsia" w:ascii="黑体" w:hAnsi="黑体" w:eastAsia="黑体"/>
        </w:rPr>
        <w:t>.1.</w:t>
      </w:r>
      <w:bookmarkEnd w:id="159"/>
      <w:r>
        <w:rPr>
          <w:rFonts w:ascii="黑体" w:hAnsi="黑体" w:eastAsia="黑体"/>
        </w:rPr>
        <w:t>3</w:t>
      </w:r>
      <w:r>
        <w:rPr>
          <w:rFonts w:hint="eastAsia" w:ascii="黑体" w:hAnsi="黑体" w:eastAsia="黑体"/>
        </w:rPr>
        <w:t xml:space="preserve"> </w:t>
      </w:r>
      <w:r>
        <w:rPr>
          <w:rFonts w:hint="eastAsia"/>
        </w:rPr>
        <w:t>当发生火灾事故时，公路隧道运营单位应配合环保部门对动植物、土壤、水源、大气已造成的危害和可能产生的危害做好封闭、隔离、洗消等措施。</w:t>
      </w:r>
    </w:p>
    <w:p w14:paraId="2BD991CA">
      <w:pPr>
        <w:pStyle w:val="41"/>
        <w:spacing w:line="360" w:lineRule="auto"/>
      </w:pPr>
      <w:r>
        <w:rPr>
          <w:rFonts w:ascii="黑体" w:hAnsi="黑体" w:eastAsia="黑体"/>
        </w:rPr>
        <w:t>7</w:t>
      </w:r>
      <w:r>
        <w:rPr>
          <w:rFonts w:hint="eastAsia" w:ascii="黑体" w:hAnsi="黑体" w:eastAsia="黑体"/>
        </w:rPr>
        <w:t>.1.</w:t>
      </w:r>
      <w:r>
        <w:rPr>
          <w:rFonts w:ascii="黑体" w:hAnsi="黑体" w:eastAsia="黑体"/>
        </w:rPr>
        <w:t>4</w:t>
      </w:r>
      <w:r>
        <w:rPr>
          <w:rFonts w:hint="eastAsia"/>
        </w:rPr>
        <w:t xml:space="preserve"> </w:t>
      </w:r>
      <w:bookmarkStart w:id="160" w:name="OLE_LINK5"/>
      <w:r>
        <w:rPr>
          <w:rFonts w:hint="eastAsia"/>
        </w:rPr>
        <w:t>灾害事故过程中产生的污染物，公路隧道运营单位应配合相关部门及时全面彻底清理和统一收集，严格按照有关法律法规要求进行分类处理。</w:t>
      </w:r>
      <w:bookmarkEnd w:id="160"/>
    </w:p>
    <w:p w14:paraId="16FCCA85">
      <w:pPr>
        <w:pStyle w:val="41"/>
        <w:spacing w:line="360" w:lineRule="auto"/>
      </w:pPr>
      <w:r>
        <w:rPr>
          <w:rFonts w:ascii="黑体" w:hAnsi="黑体" w:eastAsia="黑体"/>
        </w:rPr>
        <w:t xml:space="preserve">7.1.5 </w:t>
      </w:r>
      <w:r>
        <w:rPr>
          <w:rFonts w:hint="eastAsia"/>
        </w:rPr>
        <w:t>公路隧道运营单位应配合环保部门对事故造成的环境污染、生态破坏状况进行检测、评估，并采取相应的环境污染治理和生态修复措施。</w:t>
      </w:r>
    </w:p>
    <w:p w14:paraId="575FF12A">
      <w:pPr>
        <w:pStyle w:val="41"/>
        <w:spacing w:line="360" w:lineRule="auto"/>
      </w:pPr>
      <w:r>
        <w:rPr>
          <w:rFonts w:ascii="黑体" w:hAnsi="黑体" w:eastAsia="黑体"/>
        </w:rPr>
        <w:t>7</w:t>
      </w:r>
      <w:r>
        <w:rPr>
          <w:rFonts w:hint="eastAsia" w:ascii="黑体" w:hAnsi="黑体" w:eastAsia="黑体"/>
        </w:rPr>
        <w:t>.1.</w:t>
      </w:r>
      <w:r>
        <w:rPr>
          <w:rFonts w:ascii="黑体" w:hAnsi="黑体" w:eastAsia="黑体"/>
        </w:rPr>
        <w:t>6</w:t>
      </w:r>
      <w:r>
        <w:rPr>
          <w:rFonts w:hint="eastAsia"/>
        </w:rPr>
        <w:t xml:space="preserve"> 处置工作结束及相关危险因素消除后，公路隧道运营单位应向上级单位报告，尽快恢复交通，并通知监控大厅更新可变信息板信息，恢复正常通行提示。</w:t>
      </w:r>
    </w:p>
    <w:p w14:paraId="1CB7C001">
      <w:pPr>
        <w:pStyle w:val="29"/>
        <w:spacing w:before="240" w:after="240" w:line="360" w:lineRule="auto"/>
      </w:pPr>
      <w:bookmarkStart w:id="161" w:name="_Toc219106547"/>
      <w:r>
        <w:t>7</w:t>
      </w:r>
      <w:r>
        <w:rPr>
          <w:rFonts w:hint="eastAsia"/>
        </w:rPr>
        <w:t>.2 善后处置</w:t>
      </w:r>
      <w:bookmarkEnd w:id="161"/>
    </w:p>
    <w:p w14:paraId="0F2AFAC9">
      <w:pPr>
        <w:pStyle w:val="41"/>
        <w:spacing w:line="360" w:lineRule="auto"/>
      </w:pPr>
      <w:bookmarkStart w:id="162" w:name="OLE_LINK23"/>
      <w:r>
        <w:rPr>
          <w:rFonts w:ascii="黑体" w:hAnsi="黑体" w:eastAsia="黑体"/>
        </w:rPr>
        <w:t>7</w:t>
      </w:r>
      <w:r>
        <w:rPr>
          <w:rFonts w:hint="eastAsia" w:ascii="黑体" w:hAnsi="黑体" w:eastAsia="黑体"/>
        </w:rPr>
        <w:t>.2.1</w:t>
      </w:r>
      <w:bookmarkEnd w:id="162"/>
      <w:r>
        <w:rPr>
          <w:rFonts w:hint="eastAsia" w:ascii="黑体" w:hAnsi="黑体" w:eastAsia="黑体"/>
        </w:rPr>
        <w:t xml:space="preserve"> </w:t>
      </w:r>
      <w:r>
        <w:rPr>
          <w:rFonts w:hint="eastAsia"/>
        </w:rPr>
        <w:t>善后处置工作在上级部门领导下，公路隧道运营单位负责组织实施。</w:t>
      </w:r>
    </w:p>
    <w:p w14:paraId="1433AEE7">
      <w:pPr>
        <w:pStyle w:val="41"/>
        <w:spacing w:line="360" w:lineRule="auto"/>
      </w:pPr>
      <w:bookmarkStart w:id="163" w:name="OLE_LINK26"/>
      <w:r>
        <w:rPr>
          <w:rFonts w:ascii="黑体" w:hAnsi="黑体" w:eastAsia="黑体"/>
        </w:rPr>
        <w:t>7</w:t>
      </w:r>
      <w:r>
        <w:rPr>
          <w:rFonts w:hint="eastAsia" w:ascii="黑体" w:hAnsi="黑体" w:eastAsia="黑体"/>
        </w:rPr>
        <w:t>.2.2</w:t>
      </w:r>
      <w:bookmarkEnd w:id="163"/>
      <w:r>
        <w:rPr>
          <w:rFonts w:hint="eastAsia" w:ascii="黑体" w:hAnsi="黑体" w:eastAsia="黑体"/>
        </w:rPr>
        <w:t xml:space="preserve"> </w:t>
      </w:r>
      <w:r>
        <w:rPr>
          <w:rFonts w:hint="eastAsia"/>
        </w:rPr>
        <w:t>公路隧道运营单位对灾害事故造成的损失进行统计、核实和上报，制定灾后恢复计划并组织实施。</w:t>
      </w:r>
    </w:p>
    <w:p w14:paraId="1B48654A">
      <w:pPr>
        <w:pStyle w:val="41"/>
        <w:spacing w:line="360" w:lineRule="auto"/>
      </w:pPr>
      <w:r>
        <w:rPr>
          <w:rFonts w:ascii="黑体" w:hAnsi="黑体" w:eastAsia="黑体"/>
        </w:rPr>
        <w:t>7</w:t>
      </w:r>
      <w:r>
        <w:rPr>
          <w:rFonts w:hint="eastAsia" w:ascii="黑体" w:hAnsi="黑体" w:eastAsia="黑体"/>
        </w:rPr>
        <w:t xml:space="preserve">.2.3 </w:t>
      </w:r>
      <w:r>
        <w:rPr>
          <w:rFonts w:hint="eastAsia"/>
        </w:rPr>
        <w:t>公路隧道运营单位开展复盘分析，落实整改措施，做好安全教育，确保安全稳定。</w:t>
      </w:r>
    </w:p>
    <w:p w14:paraId="34A66FD4">
      <w:pPr>
        <w:pStyle w:val="43"/>
        <w:tabs>
          <w:tab w:val="left" w:pos="851"/>
        </w:tabs>
        <w:spacing w:line="360" w:lineRule="auto"/>
        <w:ind w:left="823" w:hanging="539"/>
      </w:pPr>
    </w:p>
    <w:p w14:paraId="3CCE7BC6">
      <w:pPr>
        <w:pStyle w:val="43"/>
        <w:tabs>
          <w:tab w:val="left" w:pos="851"/>
        </w:tabs>
        <w:spacing w:line="360" w:lineRule="auto"/>
        <w:ind w:left="823" w:hanging="539"/>
      </w:pPr>
    </w:p>
    <w:p w14:paraId="682D5554">
      <w:pPr>
        <w:pStyle w:val="43"/>
        <w:tabs>
          <w:tab w:val="left" w:pos="851"/>
        </w:tabs>
        <w:spacing w:line="360" w:lineRule="auto"/>
        <w:ind w:left="823" w:hanging="539"/>
        <w:jc w:val="center"/>
        <w:outlineLvl w:val="0"/>
        <w:rPr>
          <w:rFonts w:ascii="黑体" w:hAnsi="黑体" w:eastAsia="黑体"/>
        </w:rPr>
      </w:pPr>
      <w:bookmarkStart w:id="164" w:name="_Toc219106548"/>
      <w:r>
        <w:rPr>
          <w:rFonts w:hint="eastAsia" w:ascii="黑体" w:hAnsi="黑体" w:eastAsia="黑体"/>
        </w:rPr>
        <w:t>参考文献</w:t>
      </w:r>
      <w:bookmarkEnd w:id="164"/>
    </w:p>
    <w:p w14:paraId="58787A5F">
      <w:pPr>
        <w:pStyle w:val="27"/>
        <w:spacing w:line="360" w:lineRule="auto"/>
      </w:pPr>
      <w:r>
        <w:rPr>
          <w:rFonts w:hint="eastAsia"/>
        </w:rPr>
        <w:t>[</w:t>
      </w:r>
      <w:r>
        <w:t xml:space="preserve">1] </w:t>
      </w:r>
      <w:r>
        <w:rPr>
          <w:rFonts w:hint="eastAsia"/>
        </w:rPr>
        <w:t>（中华人民共和国应急管理部令 第 2 号）生产安全事故应急预案管理办法</w:t>
      </w:r>
    </w:p>
    <w:p w14:paraId="3FC7EB9E">
      <w:pPr>
        <w:pStyle w:val="27"/>
        <w:spacing w:line="360" w:lineRule="auto"/>
      </w:pPr>
      <w:r>
        <w:t xml:space="preserve">[2] </w:t>
      </w:r>
      <w:r>
        <w:rPr>
          <w:rFonts w:hint="eastAsia"/>
        </w:rPr>
        <w:t>（京政办发[</w:t>
      </w:r>
      <w:r>
        <w:t>20</w:t>
      </w:r>
      <w:r>
        <w:rPr>
          <w:rFonts w:hint="eastAsia"/>
        </w:rPr>
        <w:t>2</w:t>
      </w:r>
      <w:r>
        <w:t>4]19</w:t>
      </w:r>
      <w:r>
        <w:rPr>
          <w:rFonts w:hint="eastAsia"/>
        </w:rPr>
        <w:t>号）北京市突发事件应急预案管理办法</w:t>
      </w:r>
    </w:p>
    <w:p w14:paraId="6B93BFCB">
      <w:pPr>
        <w:pStyle w:val="27"/>
        <w:spacing w:line="360" w:lineRule="auto"/>
      </w:pPr>
      <w:r>
        <w:t xml:space="preserve">[3] </w:t>
      </w:r>
      <w:r>
        <w:rPr>
          <w:rFonts w:hint="eastAsia"/>
        </w:rPr>
        <w:t>D</w:t>
      </w:r>
      <w:r>
        <w:t xml:space="preserve">B43/T 3302-2025 </w:t>
      </w:r>
      <w:r>
        <w:rPr>
          <w:rFonts w:hint="eastAsia"/>
        </w:rPr>
        <w:t>公路隧道火灾处置规范</w:t>
      </w:r>
    </w:p>
    <w:p w14:paraId="54181E2A">
      <w:pPr>
        <w:pStyle w:val="43"/>
        <w:tabs>
          <w:tab w:val="left" w:pos="851"/>
        </w:tabs>
        <w:spacing w:line="360" w:lineRule="auto"/>
        <w:ind w:left="823" w:hanging="539"/>
      </w:pPr>
    </w:p>
    <w:sectPr>
      <w:pgSz w:w="11906" w:h="16839"/>
      <w:pgMar w:top="1431" w:right="1785" w:bottom="1201" w:left="1785" w:header="0" w:footer="1011"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9364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54341">
    <w:pPr>
      <w:pStyle w:val="48"/>
      <w:jc w:val="right"/>
    </w:pPr>
    <w:r>
      <w:fldChar w:fldCharType="begin"/>
    </w:r>
    <w:r>
      <w:instrText xml:space="preserve"> PAGE  \* MERGEFORMAT </w:instrText>
    </w:r>
    <w:r>
      <w:fldChar w:fldCharType="separate"/>
    </w:r>
    <w:r>
      <w:t>II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393DE">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913547"/>
    </w:sdtPr>
    <w:sdtContent>
      <w:p w14:paraId="5015387B">
        <w:pPr>
          <w:pStyle w:val="10"/>
          <w:jc w:val="center"/>
        </w:pPr>
        <w:r>
          <w:fldChar w:fldCharType="begin"/>
        </w:r>
        <w:r>
          <w:instrText xml:space="preserve">PAGE   \* MERGEFORMAT</w:instrText>
        </w:r>
        <w:r>
          <w:fldChar w:fldCharType="separate"/>
        </w:r>
        <w:r>
          <w:rPr>
            <w:lang w:val="zh-CN" w:eastAsia="zh-CN"/>
          </w:rPr>
          <w:t>9</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9E9DB">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757AF">
    <w:pPr>
      <w:pStyle w:val="49"/>
      <w:jc w:val="right"/>
    </w:pPr>
    <w:r>
      <w:t>DB11/T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60DDB">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8F7113"/>
    <w:multiLevelType w:val="multilevel"/>
    <w:tmpl w:val="2A8F7113"/>
    <w:lvl w:ilvl="0" w:tentative="0">
      <w:start w:val="1"/>
      <w:numFmt w:val="upperLetter"/>
      <w:pStyle w:val="63"/>
      <w:suff w:val="space"/>
      <w:lvlText w:val="%1"/>
      <w:lvlJc w:val="left"/>
      <w:pPr>
        <w:ind w:left="623" w:hanging="425"/>
      </w:pPr>
      <w:rPr>
        <w:rFonts w:hint="eastAsia"/>
      </w:rPr>
    </w:lvl>
    <w:lvl w:ilvl="1" w:tentative="0">
      <w:start w:val="1"/>
      <w:numFmt w:val="decimal"/>
      <w:pStyle w:val="64"/>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
    <w:nsid w:val="60B55DC2"/>
    <w:multiLevelType w:val="multilevel"/>
    <w:tmpl w:val="60B55DC2"/>
    <w:lvl w:ilvl="0" w:tentative="0">
      <w:start w:val="1"/>
      <w:numFmt w:val="upperLetter"/>
      <w:pStyle w:val="58"/>
      <w:lvlText w:val="%1"/>
      <w:lvlJc w:val="left"/>
      <w:pPr>
        <w:tabs>
          <w:tab w:val="left" w:pos="0"/>
        </w:tabs>
        <w:ind w:left="0" w:hanging="425"/>
      </w:pPr>
      <w:rPr>
        <w:rFonts w:hint="eastAsia"/>
      </w:rPr>
    </w:lvl>
    <w:lvl w:ilvl="1" w:tentative="0">
      <w:start w:val="1"/>
      <w:numFmt w:val="decimal"/>
      <w:pStyle w:val="59"/>
      <w:suff w:val="nothing"/>
      <w:lvlText w:val="表%1.%2　"/>
      <w:lvlJc w:val="left"/>
      <w:pPr>
        <w:ind w:left="567" w:hanging="567"/>
      </w:pPr>
      <w:rPr>
        <w:rFonts w:hint="eastAsia"/>
        <w:color w:val="FF0000"/>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
    <w:nsid w:val="657D3FBC"/>
    <w:multiLevelType w:val="multilevel"/>
    <w:tmpl w:val="657D3FBC"/>
    <w:lvl w:ilvl="0" w:tentative="0">
      <w:start w:val="1"/>
      <w:numFmt w:val="upperLetter"/>
      <w:pStyle w:val="57"/>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66"/>
      <w:suff w:val="nothing"/>
      <w:lvlText w:val="%1.%2　"/>
      <w:lvlJc w:val="left"/>
      <w:pPr>
        <w:ind w:left="0" w:firstLine="0"/>
      </w:pPr>
      <w:rPr>
        <w:rFonts w:hint="eastAsia" w:ascii="黑体" w:hAnsi="Times New Roman" w:eastAsia="黑体"/>
        <w:b w:val="0"/>
        <w:i w:val="0"/>
        <w:spacing w:val="0"/>
        <w:w w:val="100"/>
        <w:kern w:val="21"/>
        <w:sz w:val="21"/>
      </w:rPr>
    </w:lvl>
    <w:lvl w:ilvl="2" w:tentative="0">
      <w:start w:val="1"/>
      <w:numFmt w:val="decimal"/>
      <w:pStyle w:val="67"/>
      <w:suff w:val="nothing"/>
      <w:lvlText w:val="%1.%2.%3　"/>
      <w:lvlJc w:val="left"/>
      <w:pPr>
        <w:ind w:left="0" w:firstLine="0"/>
      </w:pPr>
      <w:rPr>
        <w:rFonts w:hint="eastAsia" w:ascii="黑体" w:hAnsi="Times New Roman" w:eastAsia="黑体"/>
        <w:b w:val="0"/>
        <w:i w:val="0"/>
        <w:sz w:val="21"/>
      </w:rPr>
    </w:lvl>
    <w:lvl w:ilvl="3" w:tentative="0">
      <w:start w:val="1"/>
      <w:numFmt w:val="decimal"/>
      <w:pStyle w:val="60"/>
      <w:suff w:val="nothing"/>
      <w:lvlText w:val="%1.%2.%3.%4　"/>
      <w:lvlJc w:val="left"/>
      <w:pPr>
        <w:ind w:left="0" w:firstLine="0"/>
      </w:pPr>
      <w:rPr>
        <w:rFonts w:hint="eastAsia" w:ascii="黑体" w:hAnsi="Times New Roman" w:eastAsia="黑体"/>
        <w:b w:val="0"/>
        <w:i w:val="0"/>
        <w:sz w:val="21"/>
      </w:rPr>
    </w:lvl>
    <w:lvl w:ilvl="4" w:tentative="0">
      <w:start w:val="1"/>
      <w:numFmt w:val="decimal"/>
      <w:pStyle w:val="61"/>
      <w:suff w:val="nothing"/>
      <w:lvlText w:val="%1.%2.%3.%4.%5　"/>
      <w:lvlJc w:val="left"/>
      <w:pPr>
        <w:ind w:left="0" w:firstLine="0"/>
      </w:pPr>
      <w:rPr>
        <w:rFonts w:hint="eastAsia" w:ascii="黑体" w:hAnsi="Times New Roman" w:eastAsia="黑体"/>
        <w:b w:val="0"/>
        <w:i w:val="0"/>
        <w:sz w:val="21"/>
      </w:rPr>
    </w:lvl>
    <w:lvl w:ilvl="5" w:tentative="0">
      <w:start w:val="1"/>
      <w:numFmt w:val="decimal"/>
      <w:pStyle w:val="62"/>
      <w:suff w:val="nothing"/>
      <w:lvlText w:val="%1.%2.%3.%4.%5.%6　"/>
      <w:lvlJc w:val="left"/>
      <w:pPr>
        <w:ind w:left="0" w:firstLine="0"/>
      </w:pPr>
      <w:rPr>
        <w:rFonts w:hint="eastAsia" w:ascii="黑体" w:hAnsi="Times New Roman" w:eastAsia="黑体"/>
        <w:b w:val="0"/>
        <w:i w:val="0"/>
        <w:sz w:val="21"/>
      </w:rPr>
    </w:lvl>
    <w:lvl w:ilvl="6" w:tentative="0">
      <w:start w:val="1"/>
      <w:numFmt w:val="decimal"/>
      <w:pStyle w:val="6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hNjFkZTQ0MTAwMGQ4ZDBmNTkxY2Q1MWEyZTU2ZjEifQ=="/>
  </w:docVars>
  <w:rsids>
    <w:rsidRoot w:val="003914D7"/>
    <w:rsid w:val="00022A97"/>
    <w:rsid w:val="00037FED"/>
    <w:rsid w:val="00042D97"/>
    <w:rsid w:val="000449C9"/>
    <w:rsid w:val="00046F57"/>
    <w:rsid w:val="00054EE1"/>
    <w:rsid w:val="00056AA6"/>
    <w:rsid w:val="00060E9C"/>
    <w:rsid w:val="00062818"/>
    <w:rsid w:val="0007120B"/>
    <w:rsid w:val="00072F96"/>
    <w:rsid w:val="000767CD"/>
    <w:rsid w:val="00083D64"/>
    <w:rsid w:val="0009418F"/>
    <w:rsid w:val="000A2544"/>
    <w:rsid w:val="000C0087"/>
    <w:rsid w:val="000C377A"/>
    <w:rsid w:val="000D00F8"/>
    <w:rsid w:val="000D7FEB"/>
    <w:rsid w:val="000E25FD"/>
    <w:rsid w:val="000E658C"/>
    <w:rsid w:val="0011463D"/>
    <w:rsid w:val="00124EC8"/>
    <w:rsid w:val="00131A97"/>
    <w:rsid w:val="00136576"/>
    <w:rsid w:val="001369CC"/>
    <w:rsid w:val="001371E9"/>
    <w:rsid w:val="00142BA3"/>
    <w:rsid w:val="00143F39"/>
    <w:rsid w:val="001526B1"/>
    <w:rsid w:val="001572FC"/>
    <w:rsid w:val="00163FAC"/>
    <w:rsid w:val="00172734"/>
    <w:rsid w:val="0019005A"/>
    <w:rsid w:val="001A363B"/>
    <w:rsid w:val="001A68DB"/>
    <w:rsid w:val="001B07F7"/>
    <w:rsid w:val="001D1FE8"/>
    <w:rsid w:val="001D21EC"/>
    <w:rsid w:val="001E0AE0"/>
    <w:rsid w:val="001E3A53"/>
    <w:rsid w:val="001E466A"/>
    <w:rsid w:val="001E4EC8"/>
    <w:rsid w:val="001E72D4"/>
    <w:rsid w:val="001F23B2"/>
    <w:rsid w:val="00200EA9"/>
    <w:rsid w:val="00207932"/>
    <w:rsid w:val="00212DC9"/>
    <w:rsid w:val="0021428C"/>
    <w:rsid w:val="002364EC"/>
    <w:rsid w:val="00247115"/>
    <w:rsid w:val="00247D3B"/>
    <w:rsid w:val="00261626"/>
    <w:rsid w:val="00266880"/>
    <w:rsid w:val="00280F54"/>
    <w:rsid w:val="002811C1"/>
    <w:rsid w:val="00284193"/>
    <w:rsid w:val="002943C9"/>
    <w:rsid w:val="002A044C"/>
    <w:rsid w:val="002B1243"/>
    <w:rsid w:val="002B2374"/>
    <w:rsid w:val="002C06D0"/>
    <w:rsid w:val="002D275A"/>
    <w:rsid w:val="002D4AA0"/>
    <w:rsid w:val="002F3881"/>
    <w:rsid w:val="0031327F"/>
    <w:rsid w:val="00314308"/>
    <w:rsid w:val="00316510"/>
    <w:rsid w:val="00325EDF"/>
    <w:rsid w:val="00331A4B"/>
    <w:rsid w:val="0033315E"/>
    <w:rsid w:val="003434A1"/>
    <w:rsid w:val="00346684"/>
    <w:rsid w:val="00351D7C"/>
    <w:rsid w:val="0037311B"/>
    <w:rsid w:val="003761E2"/>
    <w:rsid w:val="00380818"/>
    <w:rsid w:val="0038181F"/>
    <w:rsid w:val="00384C11"/>
    <w:rsid w:val="00387275"/>
    <w:rsid w:val="003914D7"/>
    <w:rsid w:val="003A350B"/>
    <w:rsid w:val="003A48E8"/>
    <w:rsid w:val="003B7BA3"/>
    <w:rsid w:val="003C0563"/>
    <w:rsid w:val="003C2084"/>
    <w:rsid w:val="003C4765"/>
    <w:rsid w:val="003C57B4"/>
    <w:rsid w:val="003E16EE"/>
    <w:rsid w:val="003F7E83"/>
    <w:rsid w:val="00400F9E"/>
    <w:rsid w:val="00402762"/>
    <w:rsid w:val="00405449"/>
    <w:rsid w:val="004140BD"/>
    <w:rsid w:val="004174E0"/>
    <w:rsid w:val="00421B31"/>
    <w:rsid w:val="00425910"/>
    <w:rsid w:val="00426CB5"/>
    <w:rsid w:val="0043437D"/>
    <w:rsid w:val="0044162D"/>
    <w:rsid w:val="004436AB"/>
    <w:rsid w:val="0044393F"/>
    <w:rsid w:val="00461375"/>
    <w:rsid w:val="00462100"/>
    <w:rsid w:val="0046395A"/>
    <w:rsid w:val="00465A70"/>
    <w:rsid w:val="00475BD9"/>
    <w:rsid w:val="00492307"/>
    <w:rsid w:val="00495778"/>
    <w:rsid w:val="00497243"/>
    <w:rsid w:val="004A105D"/>
    <w:rsid w:val="004A2E7D"/>
    <w:rsid w:val="004A4CDB"/>
    <w:rsid w:val="004A550C"/>
    <w:rsid w:val="004A5A78"/>
    <w:rsid w:val="004A7EA6"/>
    <w:rsid w:val="004B7A68"/>
    <w:rsid w:val="004C13EA"/>
    <w:rsid w:val="004C55D1"/>
    <w:rsid w:val="004C64B3"/>
    <w:rsid w:val="004D4834"/>
    <w:rsid w:val="004D6CD9"/>
    <w:rsid w:val="004E03A6"/>
    <w:rsid w:val="004E6E1D"/>
    <w:rsid w:val="004E72C6"/>
    <w:rsid w:val="004F0B03"/>
    <w:rsid w:val="004F0D3C"/>
    <w:rsid w:val="004F58AD"/>
    <w:rsid w:val="004F5DE5"/>
    <w:rsid w:val="00505FD2"/>
    <w:rsid w:val="005218C6"/>
    <w:rsid w:val="005369A7"/>
    <w:rsid w:val="00540E93"/>
    <w:rsid w:val="00551748"/>
    <w:rsid w:val="005522AD"/>
    <w:rsid w:val="00552C63"/>
    <w:rsid w:val="00566CA8"/>
    <w:rsid w:val="00570701"/>
    <w:rsid w:val="00570885"/>
    <w:rsid w:val="0058036E"/>
    <w:rsid w:val="00580D05"/>
    <w:rsid w:val="00586DC3"/>
    <w:rsid w:val="005915BC"/>
    <w:rsid w:val="005A2D52"/>
    <w:rsid w:val="005A6901"/>
    <w:rsid w:val="005B45DA"/>
    <w:rsid w:val="005B5B4F"/>
    <w:rsid w:val="005B74C9"/>
    <w:rsid w:val="005C5829"/>
    <w:rsid w:val="005D4117"/>
    <w:rsid w:val="005E1999"/>
    <w:rsid w:val="005E5416"/>
    <w:rsid w:val="005F0C7F"/>
    <w:rsid w:val="005F1962"/>
    <w:rsid w:val="005F6FCC"/>
    <w:rsid w:val="0060177A"/>
    <w:rsid w:val="0061786C"/>
    <w:rsid w:val="006225A9"/>
    <w:rsid w:val="00623593"/>
    <w:rsid w:val="006322A1"/>
    <w:rsid w:val="0064023D"/>
    <w:rsid w:val="006436C3"/>
    <w:rsid w:val="00645847"/>
    <w:rsid w:val="0066065B"/>
    <w:rsid w:val="0067453B"/>
    <w:rsid w:val="00677280"/>
    <w:rsid w:val="00677E12"/>
    <w:rsid w:val="006910F4"/>
    <w:rsid w:val="006A0A68"/>
    <w:rsid w:val="006A0DB0"/>
    <w:rsid w:val="006A3AE7"/>
    <w:rsid w:val="006A4FDA"/>
    <w:rsid w:val="006A7DC5"/>
    <w:rsid w:val="006C6816"/>
    <w:rsid w:val="006C6A7E"/>
    <w:rsid w:val="006C798D"/>
    <w:rsid w:val="006D2C0C"/>
    <w:rsid w:val="006F04D9"/>
    <w:rsid w:val="006F2BE7"/>
    <w:rsid w:val="00712D0E"/>
    <w:rsid w:val="00725AFA"/>
    <w:rsid w:val="00730E65"/>
    <w:rsid w:val="00731061"/>
    <w:rsid w:val="00734386"/>
    <w:rsid w:val="007350E8"/>
    <w:rsid w:val="007350F5"/>
    <w:rsid w:val="00737C60"/>
    <w:rsid w:val="00744E35"/>
    <w:rsid w:val="007512AB"/>
    <w:rsid w:val="00757C43"/>
    <w:rsid w:val="0076622E"/>
    <w:rsid w:val="0076627C"/>
    <w:rsid w:val="00776C30"/>
    <w:rsid w:val="007813FE"/>
    <w:rsid w:val="0078165B"/>
    <w:rsid w:val="007A2F27"/>
    <w:rsid w:val="007A541F"/>
    <w:rsid w:val="007B393A"/>
    <w:rsid w:val="007B3A1F"/>
    <w:rsid w:val="007D266F"/>
    <w:rsid w:val="007D27B6"/>
    <w:rsid w:val="007F7B65"/>
    <w:rsid w:val="00800E90"/>
    <w:rsid w:val="00807206"/>
    <w:rsid w:val="00813341"/>
    <w:rsid w:val="00815916"/>
    <w:rsid w:val="008160CE"/>
    <w:rsid w:val="008202FC"/>
    <w:rsid w:val="00824399"/>
    <w:rsid w:val="00826FCF"/>
    <w:rsid w:val="00827F78"/>
    <w:rsid w:val="008446E2"/>
    <w:rsid w:val="00875FAB"/>
    <w:rsid w:val="00880CED"/>
    <w:rsid w:val="00880E38"/>
    <w:rsid w:val="00896E8B"/>
    <w:rsid w:val="008B6126"/>
    <w:rsid w:val="008C472C"/>
    <w:rsid w:val="008C5E47"/>
    <w:rsid w:val="008D24E3"/>
    <w:rsid w:val="008D761A"/>
    <w:rsid w:val="008E0D9A"/>
    <w:rsid w:val="008E1755"/>
    <w:rsid w:val="008E3ED5"/>
    <w:rsid w:val="008E5D66"/>
    <w:rsid w:val="008E6AC5"/>
    <w:rsid w:val="0090281B"/>
    <w:rsid w:val="00905A07"/>
    <w:rsid w:val="00911247"/>
    <w:rsid w:val="009129AD"/>
    <w:rsid w:val="00912AD0"/>
    <w:rsid w:val="00915037"/>
    <w:rsid w:val="00915FD7"/>
    <w:rsid w:val="00920020"/>
    <w:rsid w:val="00923C41"/>
    <w:rsid w:val="00925C8C"/>
    <w:rsid w:val="0093720B"/>
    <w:rsid w:val="00946672"/>
    <w:rsid w:val="0095393B"/>
    <w:rsid w:val="00954792"/>
    <w:rsid w:val="0098664D"/>
    <w:rsid w:val="009A6D28"/>
    <w:rsid w:val="009B2919"/>
    <w:rsid w:val="009B5A9F"/>
    <w:rsid w:val="009E7B68"/>
    <w:rsid w:val="00A05F9E"/>
    <w:rsid w:val="00A06824"/>
    <w:rsid w:val="00A078CE"/>
    <w:rsid w:val="00A24CFD"/>
    <w:rsid w:val="00A276A9"/>
    <w:rsid w:val="00A31123"/>
    <w:rsid w:val="00A433BF"/>
    <w:rsid w:val="00A44E55"/>
    <w:rsid w:val="00A5201C"/>
    <w:rsid w:val="00A67664"/>
    <w:rsid w:val="00A70B2C"/>
    <w:rsid w:val="00A71652"/>
    <w:rsid w:val="00A755F8"/>
    <w:rsid w:val="00A76A63"/>
    <w:rsid w:val="00A775F1"/>
    <w:rsid w:val="00A77C53"/>
    <w:rsid w:val="00A808E8"/>
    <w:rsid w:val="00A96B73"/>
    <w:rsid w:val="00A97E81"/>
    <w:rsid w:val="00AB6F09"/>
    <w:rsid w:val="00AC628E"/>
    <w:rsid w:val="00AC70B9"/>
    <w:rsid w:val="00AD27D4"/>
    <w:rsid w:val="00AF0206"/>
    <w:rsid w:val="00B006F7"/>
    <w:rsid w:val="00B032C6"/>
    <w:rsid w:val="00B221E9"/>
    <w:rsid w:val="00B22AA2"/>
    <w:rsid w:val="00B22F61"/>
    <w:rsid w:val="00B257D2"/>
    <w:rsid w:val="00B26E20"/>
    <w:rsid w:val="00B34BB0"/>
    <w:rsid w:val="00B34D9D"/>
    <w:rsid w:val="00B3587B"/>
    <w:rsid w:val="00B47951"/>
    <w:rsid w:val="00B603A1"/>
    <w:rsid w:val="00B640E8"/>
    <w:rsid w:val="00B71248"/>
    <w:rsid w:val="00B811B3"/>
    <w:rsid w:val="00B82946"/>
    <w:rsid w:val="00B83C64"/>
    <w:rsid w:val="00B87223"/>
    <w:rsid w:val="00B94E40"/>
    <w:rsid w:val="00B9673A"/>
    <w:rsid w:val="00BA1D40"/>
    <w:rsid w:val="00BA4049"/>
    <w:rsid w:val="00BA46A2"/>
    <w:rsid w:val="00BA6171"/>
    <w:rsid w:val="00BB3A0A"/>
    <w:rsid w:val="00BC61B8"/>
    <w:rsid w:val="00BC62E5"/>
    <w:rsid w:val="00BD126D"/>
    <w:rsid w:val="00BE069B"/>
    <w:rsid w:val="00BF0420"/>
    <w:rsid w:val="00BF5152"/>
    <w:rsid w:val="00BF5BAC"/>
    <w:rsid w:val="00BF7F18"/>
    <w:rsid w:val="00C1246F"/>
    <w:rsid w:val="00C1565F"/>
    <w:rsid w:val="00C15969"/>
    <w:rsid w:val="00C16A88"/>
    <w:rsid w:val="00C22FB6"/>
    <w:rsid w:val="00C370E0"/>
    <w:rsid w:val="00C42020"/>
    <w:rsid w:val="00C67B86"/>
    <w:rsid w:val="00C77018"/>
    <w:rsid w:val="00C77261"/>
    <w:rsid w:val="00C80A8A"/>
    <w:rsid w:val="00C8129C"/>
    <w:rsid w:val="00C82988"/>
    <w:rsid w:val="00C84BAD"/>
    <w:rsid w:val="00C912B5"/>
    <w:rsid w:val="00C93536"/>
    <w:rsid w:val="00C95C71"/>
    <w:rsid w:val="00C96633"/>
    <w:rsid w:val="00CA177F"/>
    <w:rsid w:val="00CA21D9"/>
    <w:rsid w:val="00CB135D"/>
    <w:rsid w:val="00CC4333"/>
    <w:rsid w:val="00CC710A"/>
    <w:rsid w:val="00CE2E7A"/>
    <w:rsid w:val="00CE3C08"/>
    <w:rsid w:val="00CE61B5"/>
    <w:rsid w:val="00CE7569"/>
    <w:rsid w:val="00CE7FA1"/>
    <w:rsid w:val="00CF077E"/>
    <w:rsid w:val="00CF07A2"/>
    <w:rsid w:val="00CF47D8"/>
    <w:rsid w:val="00D063AE"/>
    <w:rsid w:val="00D06FA1"/>
    <w:rsid w:val="00D47065"/>
    <w:rsid w:val="00D50A11"/>
    <w:rsid w:val="00D52598"/>
    <w:rsid w:val="00D60037"/>
    <w:rsid w:val="00D65D99"/>
    <w:rsid w:val="00D94049"/>
    <w:rsid w:val="00D95ACB"/>
    <w:rsid w:val="00D97E35"/>
    <w:rsid w:val="00DB0256"/>
    <w:rsid w:val="00DB1FC6"/>
    <w:rsid w:val="00DC656F"/>
    <w:rsid w:val="00DD0E0A"/>
    <w:rsid w:val="00DD51C2"/>
    <w:rsid w:val="00DD5D32"/>
    <w:rsid w:val="00DD7A8F"/>
    <w:rsid w:val="00E0016E"/>
    <w:rsid w:val="00E00E48"/>
    <w:rsid w:val="00E01D4C"/>
    <w:rsid w:val="00E0223A"/>
    <w:rsid w:val="00E11A65"/>
    <w:rsid w:val="00E1798E"/>
    <w:rsid w:val="00E246BF"/>
    <w:rsid w:val="00E31654"/>
    <w:rsid w:val="00E36BD7"/>
    <w:rsid w:val="00E41C5E"/>
    <w:rsid w:val="00E41D0B"/>
    <w:rsid w:val="00E45DC9"/>
    <w:rsid w:val="00E54B7B"/>
    <w:rsid w:val="00E75FF5"/>
    <w:rsid w:val="00E77ECA"/>
    <w:rsid w:val="00E85698"/>
    <w:rsid w:val="00EE17B7"/>
    <w:rsid w:val="00EE27AB"/>
    <w:rsid w:val="00EE2958"/>
    <w:rsid w:val="00EF08C2"/>
    <w:rsid w:val="00EF57B3"/>
    <w:rsid w:val="00EF5919"/>
    <w:rsid w:val="00EF6998"/>
    <w:rsid w:val="00EF6D26"/>
    <w:rsid w:val="00F03C23"/>
    <w:rsid w:val="00F22D11"/>
    <w:rsid w:val="00F25137"/>
    <w:rsid w:val="00F3136D"/>
    <w:rsid w:val="00F44B22"/>
    <w:rsid w:val="00F76336"/>
    <w:rsid w:val="00F7771A"/>
    <w:rsid w:val="00F83D08"/>
    <w:rsid w:val="00F85792"/>
    <w:rsid w:val="00F9606E"/>
    <w:rsid w:val="00F964DE"/>
    <w:rsid w:val="00F96F01"/>
    <w:rsid w:val="00FA40B7"/>
    <w:rsid w:val="00FA7C07"/>
    <w:rsid w:val="00FB119D"/>
    <w:rsid w:val="00FB2382"/>
    <w:rsid w:val="00FC3357"/>
    <w:rsid w:val="00FC7B0F"/>
    <w:rsid w:val="00FE1C41"/>
    <w:rsid w:val="00FF54F6"/>
    <w:rsid w:val="00FF5E70"/>
    <w:rsid w:val="01A9632F"/>
    <w:rsid w:val="023117E0"/>
    <w:rsid w:val="02563571"/>
    <w:rsid w:val="02F31E81"/>
    <w:rsid w:val="03C70711"/>
    <w:rsid w:val="096802A0"/>
    <w:rsid w:val="0975441A"/>
    <w:rsid w:val="09C66E4D"/>
    <w:rsid w:val="0B354AFA"/>
    <w:rsid w:val="0C501424"/>
    <w:rsid w:val="0DFC6427"/>
    <w:rsid w:val="11961692"/>
    <w:rsid w:val="12B702C2"/>
    <w:rsid w:val="173D3B57"/>
    <w:rsid w:val="180504D0"/>
    <w:rsid w:val="198A34E8"/>
    <w:rsid w:val="1BFC59B8"/>
    <w:rsid w:val="1C9551B7"/>
    <w:rsid w:val="1D530C71"/>
    <w:rsid w:val="21BE719F"/>
    <w:rsid w:val="22DA33A8"/>
    <w:rsid w:val="231F758D"/>
    <w:rsid w:val="23B32608"/>
    <w:rsid w:val="266F68CA"/>
    <w:rsid w:val="27456FD1"/>
    <w:rsid w:val="27F94D33"/>
    <w:rsid w:val="292819CC"/>
    <w:rsid w:val="2B742E78"/>
    <w:rsid w:val="2C06438E"/>
    <w:rsid w:val="2E4528D8"/>
    <w:rsid w:val="2F493AE0"/>
    <w:rsid w:val="31556940"/>
    <w:rsid w:val="31E414D2"/>
    <w:rsid w:val="3345486E"/>
    <w:rsid w:val="359BD416"/>
    <w:rsid w:val="37984E67"/>
    <w:rsid w:val="37C768F5"/>
    <w:rsid w:val="38194CD8"/>
    <w:rsid w:val="38333162"/>
    <w:rsid w:val="3A18630C"/>
    <w:rsid w:val="3AA50EF6"/>
    <w:rsid w:val="3ACC57EB"/>
    <w:rsid w:val="3ACF782D"/>
    <w:rsid w:val="3B716BD9"/>
    <w:rsid w:val="3B783661"/>
    <w:rsid w:val="3BEE5BAA"/>
    <w:rsid w:val="3CAC6D32"/>
    <w:rsid w:val="3D434B37"/>
    <w:rsid w:val="3D9C7780"/>
    <w:rsid w:val="3E784DEA"/>
    <w:rsid w:val="403E51E3"/>
    <w:rsid w:val="41445C3F"/>
    <w:rsid w:val="426B25D4"/>
    <w:rsid w:val="42717D0B"/>
    <w:rsid w:val="43C84F50"/>
    <w:rsid w:val="450B32E9"/>
    <w:rsid w:val="46911EDD"/>
    <w:rsid w:val="4A961FC5"/>
    <w:rsid w:val="4B1B6188"/>
    <w:rsid w:val="4B5538FF"/>
    <w:rsid w:val="4B587383"/>
    <w:rsid w:val="4C1228C1"/>
    <w:rsid w:val="4C1D7300"/>
    <w:rsid w:val="4FEE184C"/>
    <w:rsid w:val="501D2562"/>
    <w:rsid w:val="54C411B2"/>
    <w:rsid w:val="56E039EE"/>
    <w:rsid w:val="58C956F0"/>
    <w:rsid w:val="59C55698"/>
    <w:rsid w:val="5A413F22"/>
    <w:rsid w:val="5B847F2E"/>
    <w:rsid w:val="5CC130C4"/>
    <w:rsid w:val="5DBA4EB4"/>
    <w:rsid w:val="5DBA7B13"/>
    <w:rsid w:val="5EC12167"/>
    <w:rsid w:val="60E90098"/>
    <w:rsid w:val="617B0530"/>
    <w:rsid w:val="624075C4"/>
    <w:rsid w:val="65D30F38"/>
    <w:rsid w:val="667D0233"/>
    <w:rsid w:val="67876CB8"/>
    <w:rsid w:val="67880668"/>
    <w:rsid w:val="67B35CFF"/>
    <w:rsid w:val="6EAF6227"/>
    <w:rsid w:val="6F66452D"/>
    <w:rsid w:val="70130F5B"/>
    <w:rsid w:val="70D84691"/>
    <w:rsid w:val="711A517D"/>
    <w:rsid w:val="73EB0F44"/>
    <w:rsid w:val="73F60B65"/>
    <w:rsid w:val="7406522D"/>
    <w:rsid w:val="74287519"/>
    <w:rsid w:val="76FF2425"/>
    <w:rsid w:val="77AC7E62"/>
    <w:rsid w:val="79E4265B"/>
    <w:rsid w:val="7C816B78"/>
    <w:rsid w:val="7D39684F"/>
    <w:rsid w:val="7E1B4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link w:val="7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85"/>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1"/>
    <w:next w:val="1"/>
    <w:link w:val="84"/>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82"/>
    <w:qFormat/>
    <w:uiPriority w:val="0"/>
  </w:style>
  <w:style w:type="paragraph" w:styleId="6">
    <w:name w:val="Body Text"/>
    <w:basedOn w:val="1"/>
    <w:semiHidden/>
    <w:qFormat/>
    <w:uiPriority w:val="0"/>
  </w:style>
  <w:style w:type="paragraph" w:styleId="7">
    <w:name w:val="toc 3"/>
    <w:basedOn w:val="1"/>
    <w:next w:val="1"/>
    <w:autoRedefine/>
    <w:qFormat/>
    <w:uiPriority w:val="39"/>
    <w:pPr>
      <w:ind w:left="840" w:leftChars="400"/>
    </w:pPr>
  </w:style>
  <w:style w:type="paragraph" w:styleId="8">
    <w:name w:val="Date"/>
    <w:basedOn w:val="1"/>
    <w:next w:val="1"/>
    <w:link w:val="86"/>
    <w:qFormat/>
    <w:uiPriority w:val="0"/>
    <w:pPr>
      <w:ind w:left="100" w:leftChars="2500"/>
    </w:pPr>
  </w:style>
  <w:style w:type="paragraph" w:styleId="9">
    <w:name w:val="Balloon Text"/>
    <w:basedOn w:val="1"/>
    <w:link w:val="80"/>
    <w:qFormat/>
    <w:uiPriority w:val="0"/>
    <w:rPr>
      <w:sz w:val="18"/>
      <w:szCs w:val="18"/>
    </w:rPr>
  </w:style>
  <w:style w:type="paragraph" w:styleId="10">
    <w:name w:val="footer"/>
    <w:basedOn w:val="1"/>
    <w:link w:val="26"/>
    <w:qFormat/>
    <w:uiPriority w:val="99"/>
    <w:pPr>
      <w:tabs>
        <w:tab w:val="center" w:pos="4153"/>
        <w:tab w:val="right" w:pos="8306"/>
      </w:tabs>
    </w:pPr>
    <w:rPr>
      <w:sz w:val="18"/>
      <w:szCs w:val="18"/>
    </w:rPr>
  </w:style>
  <w:style w:type="paragraph" w:styleId="11">
    <w:name w:val="header"/>
    <w:basedOn w:val="1"/>
    <w:link w:val="25"/>
    <w:qFormat/>
    <w:uiPriority w:val="0"/>
    <w:pPr>
      <w:tabs>
        <w:tab w:val="center" w:pos="4153"/>
        <w:tab w:val="right" w:pos="8306"/>
      </w:tabs>
      <w:jc w:val="center"/>
    </w:pPr>
    <w:rPr>
      <w:sz w:val="18"/>
      <w:szCs w:val="18"/>
    </w:rPr>
  </w:style>
  <w:style w:type="paragraph" w:styleId="12">
    <w:name w:val="toc 1"/>
    <w:basedOn w:val="1"/>
    <w:next w:val="1"/>
    <w:qFormat/>
    <w:uiPriority w:val="39"/>
    <w:pPr>
      <w:widowControl w:val="0"/>
      <w:tabs>
        <w:tab w:val="right" w:leader="dot" w:pos="9241"/>
      </w:tabs>
      <w:kinsoku/>
      <w:autoSpaceDE/>
      <w:autoSpaceDN/>
      <w:adjustRightInd/>
      <w:snapToGrid/>
      <w:spacing w:beforeLines="25" w:afterLines="25"/>
      <w:textAlignment w:val="auto"/>
    </w:pPr>
    <w:rPr>
      <w:rFonts w:ascii="宋体" w:hAnsi="Times New Roman" w:eastAsia="宋体" w:cs="Times New Roman"/>
      <w:snapToGrid/>
      <w:color w:val="auto"/>
      <w:kern w:val="2"/>
      <w:lang w:eastAsia="zh-CN"/>
    </w:rPr>
  </w:style>
  <w:style w:type="paragraph" w:styleId="13">
    <w:name w:val="toc 2"/>
    <w:basedOn w:val="1"/>
    <w:next w:val="1"/>
    <w:autoRedefine/>
    <w:qFormat/>
    <w:uiPriority w:val="39"/>
    <w:pPr>
      <w:tabs>
        <w:tab w:val="right" w:leader="dot" w:pos="8326"/>
      </w:tabs>
      <w:spacing w:line="264" w:lineRule="auto"/>
      <w:ind w:left="420" w:leftChars="200"/>
    </w:pPr>
  </w:style>
  <w:style w:type="paragraph" w:styleId="14">
    <w:name w:val="Normal (Web)"/>
    <w:basedOn w:val="1"/>
    <w:qFormat/>
    <w:uiPriority w:val="0"/>
    <w:pPr>
      <w:spacing w:beforeAutospacing="1" w:afterAutospacing="1"/>
    </w:pPr>
    <w:rPr>
      <w:rFonts w:cs="Times New Roman"/>
      <w:sz w:val="24"/>
      <w:lang w:eastAsia="zh-CN"/>
    </w:rPr>
  </w:style>
  <w:style w:type="paragraph" w:styleId="15">
    <w:name w:val="annotation subject"/>
    <w:basedOn w:val="5"/>
    <w:next w:val="5"/>
    <w:link w:val="83"/>
    <w:qFormat/>
    <w:uiPriority w:val="0"/>
    <w:rPr>
      <w:b/>
      <w:bCs/>
    </w:rPr>
  </w:style>
  <w:style w:type="table" w:styleId="17">
    <w:name w:val="Table Grid"/>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Emphasis"/>
    <w:basedOn w:val="18"/>
    <w:qFormat/>
    <w:uiPriority w:val="0"/>
    <w:rPr>
      <w:i/>
    </w:rPr>
  </w:style>
  <w:style w:type="character" w:styleId="21">
    <w:name w:val="Hyperlink"/>
    <w:qFormat/>
    <w:uiPriority w:val="99"/>
    <w:rPr>
      <w:color w:val="0000FF"/>
      <w:spacing w:val="0"/>
      <w:w w:val="100"/>
      <w:szCs w:val="21"/>
      <w:u w:val="single"/>
    </w:rPr>
  </w:style>
  <w:style w:type="character" w:styleId="22">
    <w:name w:val="annotation reference"/>
    <w:basedOn w:val="18"/>
    <w:qFormat/>
    <w:uiPriority w:val="0"/>
    <w:rPr>
      <w:sz w:val="21"/>
      <w:szCs w:val="21"/>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宋体" w:hAnsi="宋体" w:eastAsia="宋体" w:cs="宋体"/>
      <w:sz w:val="22"/>
      <w:szCs w:val="22"/>
    </w:rPr>
  </w:style>
  <w:style w:type="character" w:customStyle="1" w:styleId="25">
    <w:name w:val="页眉 字符"/>
    <w:basedOn w:val="18"/>
    <w:link w:val="11"/>
    <w:qFormat/>
    <w:uiPriority w:val="0"/>
    <w:rPr>
      <w:rFonts w:eastAsia="Arial"/>
      <w:snapToGrid w:val="0"/>
      <w:color w:val="000000"/>
      <w:sz w:val="18"/>
      <w:szCs w:val="18"/>
      <w:lang w:eastAsia="en-US"/>
    </w:rPr>
  </w:style>
  <w:style w:type="character" w:customStyle="1" w:styleId="26">
    <w:name w:val="页脚 字符"/>
    <w:basedOn w:val="18"/>
    <w:link w:val="10"/>
    <w:qFormat/>
    <w:uiPriority w:val="99"/>
    <w:rPr>
      <w:rFonts w:eastAsia="Arial"/>
      <w:snapToGrid w:val="0"/>
      <w:color w:val="000000"/>
      <w:sz w:val="18"/>
      <w:szCs w:val="18"/>
      <w:lang w:eastAsia="en-US"/>
    </w:rPr>
  </w:style>
  <w:style w:type="paragraph" w:customStyle="1" w:styleId="27">
    <w:name w:val="段"/>
    <w:link w:val="3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8">
    <w:name w:val="一级条标题"/>
    <w:next w:val="27"/>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29">
    <w:name w:val="章标题"/>
    <w:next w:val="27"/>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30">
    <w:name w:val="二级条标题"/>
    <w:basedOn w:val="28"/>
    <w:next w:val="27"/>
    <w:qFormat/>
    <w:uiPriority w:val="0"/>
    <w:pPr>
      <w:spacing w:before="50" w:after="50"/>
      <w:outlineLvl w:val="3"/>
    </w:pPr>
  </w:style>
  <w:style w:type="paragraph" w:customStyle="1" w:styleId="31">
    <w:name w:val="三级条标题"/>
    <w:basedOn w:val="30"/>
    <w:next w:val="27"/>
    <w:qFormat/>
    <w:uiPriority w:val="0"/>
    <w:pPr>
      <w:outlineLvl w:val="4"/>
    </w:pPr>
  </w:style>
  <w:style w:type="paragraph" w:customStyle="1" w:styleId="32">
    <w:name w:val="四级条标题"/>
    <w:basedOn w:val="31"/>
    <w:next w:val="27"/>
    <w:qFormat/>
    <w:uiPriority w:val="0"/>
    <w:pPr>
      <w:outlineLvl w:val="5"/>
    </w:pPr>
  </w:style>
  <w:style w:type="paragraph" w:customStyle="1" w:styleId="33">
    <w:name w:val="五级条标题"/>
    <w:basedOn w:val="32"/>
    <w:next w:val="27"/>
    <w:qFormat/>
    <w:uiPriority w:val="0"/>
    <w:pPr>
      <w:outlineLvl w:val="6"/>
    </w:pPr>
  </w:style>
  <w:style w:type="paragraph" w:customStyle="1" w:styleId="34">
    <w:name w:val="标准名称"/>
    <w:basedOn w:val="1"/>
    <w:link w:val="36"/>
    <w:qFormat/>
    <w:uiPriority w:val="0"/>
    <w:pPr>
      <w:keepNext/>
      <w:pageBreakBefore/>
      <w:shd w:val="clear" w:color="FFFFFF" w:fill="FFFFFF"/>
      <w:kinsoku/>
      <w:autoSpaceDE/>
      <w:autoSpaceDN/>
      <w:adjustRightInd/>
      <w:snapToGrid/>
      <w:spacing w:before="640" w:after="560" w:line="460" w:lineRule="exact"/>
      <w:jc w:val="center"/>
      <w:textAlignment w:val="auto"/>
      <w:outlineLvl w:val="0"/>
    </w:pPr>
    <w:rPr>
      <w:rFonts w:ascii="黑体" w:hAnsi="Times New Roman" w:eastAsia="黑体" w:cs="Times New Roman"/>
      <w:snapToGrid/>
      <w:color w:val="auto"/>
      <w:sz w:val="32"/>
      <w:szCs w:val="20"/>
      <w:lang w:eastAsia="zh-CN"/>
    </w:rPr>
  </w:style>
  <w:style w:type="character" w:customStyle="1" w:styleId="35">
    <w:name w:val="段 Char"/>
    <w:link w:val="27"/>
    <w:qFormat/>
    <w:uiPriority w:val="0"/>
    <w:rPr>
      <w:rFonts w:ascii="宋体" w:hAnsi="Times New Roman" w:eastAsia="宋体" w:cs="Times New Roman"/>
      <w:sz w:val="21"/>
    </w:rPr>
  </w:style>
  <w:style w:type="character" w:customStyle="1" w:styleId="36">
    <w:name w:val="标准名称 Char"/>
    <w:basedOn w:val="18"/>
    <w:link w:val="34"/>
    <w:qFormat/>
    <w:uiPriority w:val="0"/>
    <w:rPr>
      <w:rFonts w:ascii="黑体" w:hAnsi="Times New Roman" w:eastAsia="黑体" w:cs="Times New Roman"/>
      <w:sz w:val="32"/>
      <w:shd w:val="clear" w:color="FFFFFF" w:fill="FFFFFF"/>
    </w:rPr>
  </w:style>
  <w:style w:type="paragraph" w:customStyle="1" w:styleId="37">
    <w:name w:val="标准文件_术语条一"/>
    <w:basedOn w:val="1"/>
    <w:next w:val="1"/>
    <w:qFormat/>
    <w:uiPriority w:val="0"/>
    <w:pPr>
      <w:kinsoku/>
      <w:autoSpaceDE/>
      <w:autoSpaceDN/>
      <w:adjustRightInd/>
      <w:snapToGrid/>
      <w:jc w:val="both"/>
      <w:textAlignment w:val="auto"/>
    </w:pPr>
    <w:rPr>
      <w:rFonts w:ascii="宋体" w:hAnsi="Times New Roman" w:eastAsia="宋体" w:cs="Times New Roman"/>
      <w:snapToGrid/>
      <w:color w:val="auto"/>
      <w:szCs w:val="20"/>
      <w:lang w:eastAsia="zh-CN"/>
    </w:rPr>
  </w:style>
  <w:style w:type="paragraph" w:customStyle="1" w:styleId="38">
    <w:name w:val="标准文件_段"/>
    <w:link w:val="3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9">
    <w:name w:val="标准文件_段 Char"/>
    <w:link w:val="38"/>
    <w:qFormat/>
    <w:uiPriority w:val="0"/>
    <w:rPr>
      <w:rFonts w:ascii="宋体" w:hAnsi="Times New Roman" w:eastAsia="宋体" w:cs="Times New Roman"/>
      <w:sz w:val="21"/>
    </w:rPr>
  </w:style>
  <w:style w:type="paragraph" w:customStyle="1" w:styleId="40">
    <w:name w:val="标准文件_一级条标题"/>
    <w:basedOn w:val="1"/>
    <w:next w:val="38"/>
    <w:qFormat/>
    <w:uiPriority w:val="0"/>
    <w:pPr>
      <w:kinsoku/>
      <w:autoSpaceDE/>
      <w:autoSpaceDN/>
      <w:adjustRightInd/>
      <w:snapToGrid/>
      <w:spacing w:before="50" w:beforeLines="50" w:after="50" w:afterLines="50"/>
      <w:jc w:val="both"/>
      <w:textAlignment w:val="auto"/>
      <w:outlineLvl w:val="1"/>
    </w:pPr>
    <w:rPr>
      <w:rFonts w:ascii="黑体" w:hAnsi="Times New Roman" w:eastAsia="黑体" w:cs="Times New Roman"/>
      <w:snapToGrid/>
      <w:color w:val="auto"/>
      <w:szCs w:val="20"/>
      <w:lang w:eastAsia="zh-CN"/>
    </w:rPr>
  </w:style>
  <w:style w:type="paragraph" w:customStyle="1" w:styleId="41">
    <w:name w:val="标准文件_二级无标题"/>
    <w:basedOn w:val="1"/>
    <w:qFormat/>
    <w:uiPriority w:val="0"/>
    <w:pPr>
      <w:widowControl w:val="0"/>
      <w:kinsoku/>
      <w:autoSpaceDE/>
      <w:autoSpaceDN/>
      <w:adjustRightInd/>
      <w:snapToGrid/>
      <w:jc w:val="both"/>
      <w:textAlignment w:val="auto"/>
    </w:pPr>
    <w:rPr>
      <w:rFonts w:ascii="宋体" w:hAnsi="Times New Roman" w:eastAsia="宋体" w:cs="Times New Roman"/>
      <w:snapToGrid/>
      <w:color w:val="auto"/>
      <w:szCs w:val="20"/>
      <w:lang w:eastAsia="zh-CN"/>
    </w:rPr>
  </w:style>
  <w:style w:type="paragraph" w:customStyle="1" w:styleId="42">
    <w:name w:val="标准文件_章标题"/>
    <w:next w:val="38"/>
    <w:qFormat/>
    <w:uiPriority w:val="0"/>
    <w:pPr>
      <w:spacing w:before="100" w:beforeLines="100" w:after="100" w:afterLines="100"/>
      <w:ind w:left="1418"/>
      <w:jc w:val="both"/>
      <w:outlineLvl w:val="0"/>
    </w:pPr>
    <w:rPr>
      <w:rFonts w:ascii="黑体" w:hAnsi="Times New Roman" w:eastAsia="黑体" w:cs="Times New Roman"/>
      <w:sz w:val="21"/>
      <w:lang w:val="en-US" w:eastAsia="zh-CN" w:bidi="ar-SA"/>
    </w:rPr>
  </w:style>
  <w:style w:type="paragraph" w:customStyle="1" w:styleId="43">
    <w:name w:val="标准文件_字母编号列项（一级）"/>
    <w:qFormat/>
    <w:uiPriority w:val="0"/>
    <w:pPr>
      <w:jc w:val="both"/>
    </w:pPr>
    <w:rPr>
      <w:rFonts w:ascii="宋体" w:hAnsi="Times New Roman" w:eastAsia="宋体" w:cs="Times New Roman"/>
      <w:sz w:val="21"/>
      <w:lang w:val="en-US" w:eastAsia="zh-CN" w:bidi="ar-SA"/>
    </w:rPr>
  </w:style>
  <w:style w:type="paragraph" w:customStyle="1" w:styleId="44">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6">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47">
    <w:name w:val="目次、标准名称标题"/>
    <w:basedOn w:val="1"/>
    <w:next w:val="27"/>
    <w:link w:val="76"/>
    <w:qFormat/>
    <w:uiPriority w:val="0"/>
    <w:pPr>
      <w:keepNext/>
      <w:pageBreakBefore/>
      <w:shd w:val="clear" w:color="FFFFFF" w:fill="FFFFFF"/>
      <w:kinsoku/>
      <w:autoSpaceDE/>
      <w:autoSpaceDN/>
      <w:adjustRightInd/>
      <w:snapToGrid/>
      <w:spacing w:before="640" w:after="560" w:line="460" w:lineRule="exact"/>
      <w:jc w:val="center"/>
      <w:textAlignment w:val="auto"/>
      <w:outlineLvl w:val="0"/>
    </w:pPr>
    <w:rPr>
      <w:rFonts w:ascii="黑体" w:hAnsi="Times New Roman" w:eastAsia="黑体" w:cs="Times New Roman"/>
      <w:snapToGrid/>
      <w:color w:val="auto"/>
      <w:sz w:val="32"/>
      <w:szCs w:val="20"/>
      <w:lang w:eastAsia="zh-CN"/>
    </w:rPr>
  </w:style>
  <w:style w:type="paragraph" w:customStyle="1" w:styleId="48">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49">
    <w:name w:val="标准书眉_偶数页"/>
    <w:basedOn w:val="45"/>
    <w:next w:val="1"/>
    <w:qFormat/>
    <w:uiPriority w:val="0"/>
    <w:pPr>
      <w:jc w:val="left"/>
    </w:pPr>
  </w:style>
  <w:style w:type="paragraph" w:customStyle="1" w:styleId="50">
    <w:name w:val="参考文献"/>
    <w:basedOn w:val="1"/>
    <w:next w:val="27"/>
    <w:qFormat/>
    <w:uiPriority w:val="0"/>
    <w:pPr>
      <w:keepNext/>
      <w:pageBreakBefore/>
      <w:shd w:val="clear" w:color="FFFFFF" w:fill="FFFFFF"/>
      <w:kinsoku/>
      <w:autoSpaceDE/>
      <w:autoSpaceDN/>
      <w:adjustRightInd/>
      <w:snapToGrid/>
      <w:spacing w:before="640" w:after="200"/>
      <w:jc w:val="center"/>
      <w:textAlignment w:val="auto"/>
      <w:outlineLvl w:val="0"/>
    </w:pPr>
    <w:rPr>
      <w:rFonts w:ascii="黑体" w:hAnsi="Times New Roman" w:eastAsia="黑体" w:cs="Times New Roman"/>
      <w:snapToGrid/>
      <w:color w:val="auto"/>
      <w:szCs w:val="20"/>
      <w:lang w:eastAsia="zh-CN"/>
    </w:rPr>
  </w:style>
  <w:style w:type="paragraph" w:customStyle="1" w:styleId="51">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52">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3">
    <w:name w:val="封面标准英文名称"/>
    <w:basedOn w:val="52"/>
    <w:qFormat/>
    <w:uiPriority w:val="0"/>
    <w:pPr>
      <w:framePr w:wrap="around" w:vAnchor="margin" w:hAnchor="text" w:y="1"/>
      <w:spacing w:before="370" w:line="400" w:lineRule="exact"/>
    </w:pPr>
    <w:rPr>
      <w:rFonts w:ascii="Times New Roman"/>
      <w:sz w:val="28"/>
      <w:szCs w:val="28"/>
    </w:rPr>
  </w:style>
  <w:style w:type="paragraph" w:customStyle="1" w:styleId="54">
    <w:name w:val="封面一致性程度标识"/>
    <w:basedOn w:val="53"/>
    <w:qFormat/>
    <w:uiPriority w:val="0"/>
    <w:pPr>
      <w:framePr w:wrap="around"/>
      <w:spacing w:before="440"/>
    </w:pPr>
    <w:rPr>
      <w:rFonts w:ascii="宋体" w:eastAsia="宋体"/>
    </w:rPr>
  </w:style>
  <w:style w:type="paragraph" w:customStyle="1" w:styleId="55">
    <w:name w:val="封面标准文稿类别"/>
    <w:basedOn w:val="54"/>
    <w:qFormat/>
    <w:uiPriority w:val="0"/>
    <w:pPr>
      <w:framePr w:wrap="around"/>
      <w:spacing w:after="160" w:line="240" w:lineRule="auto"/>
    </w:pPr>
    <w:rPr>
      <w:sz w:val="24"/>
    </w:rPr>
  </w:style>
  <w:style w:type="paragraph" w:customStyle="1" w:styleId="56">
    <w:name w:val="封面标准文稿编辑信息"/>
    <w:basedOn w:val="55"/>
    <w:qFormat/>
    <w:uiPriority w:val="0"/>
    <w:pPr>
      <w:framePr w:wrap="around"/>
      <w:spacing w:before="180" w:line="180" w:lineRule="exact"/>
    </w:pPr>
    <w:rPr>
      <w:sz w:val="21"/>
    </w:rPr>
  </w:style>
  <w:style w:type="paragraph" w:customStyle="1" w:styleId="57">
    <w:name w:val="附录标识"/>
    <w:basedOn w:val="1"/>
    <w:next w:val="27"/>
    <w:qFormat/>
    <w:uiPriority w:val="0"/>
    <w:pPr>
      <w:keepNext/>
      <w:numPr>
        <w:ilvl w:val="0"/>
        <w:numId w:val="1"/>
      </w:numPr>
      <w:shd w:val="clear" w:color="FFFFFF" w:fill="FFFFFF"/>
      <w:tabs>
        <w:tab w:val="left" w:pos="360"/>
        <w:tab w:val="left" w:pos="6405"/>
      </w:tabs>
      <w:kinsoku/>
      <w:autoSpaceDE/>
      <w:autoSpaceDN/>
      <w:adjustRightInd/>
      <w:snapToGrid/>
      <w:spacing w:before="640" w:after="280"/>
      <w:jc w:val="center"/>
      <w:textAlignment w:val="auto"/>
      <w:outlineLvl w:val="0"/>
    </w:pPr>
    <w:rPr>
      <w:rFonts w:ascii="黑体" w:hAnsi="Times New Roman" w:eastAsia="黑体" w:cs="Times New Roman"/>
      <w:snapToGrid/>
      <w:color w:val="auto"/>
      <w:szCs w:val="20"/>
      <w:lang w:eastAsia="zh-CN"/>
    </w:rPr>
  </w:style>
  <w:style w:type="paragraph" w:customStyle="1" w:styleId="58">
    <w:name w:val="附录表标号"/>
    <w:basedOn w:val="1"/>
    <w:next w:val="27"/>
    <w:qFormat/>
    <w:uiPriority w:val="0"/>
    <w:pPr>
      <w:widowControl w:val="0"/>
      <w:numPr>
        <w:ilvl w:val="0"/>
        <w:numId w:val="2"/>
      </w:numPr>
      <w:kinsoku/>
      <w:autoSpaceDE/>
      <w:autoSpaceDN/>
      <w:adjustRightInd/>
      <w:snapToGrid/>
      <w:spacing w:line="14" w:lineRule="exact"/>
      <w:ind w:left="811" w:hanging="448"/>
      <w:jc w:val="center"/>
      <w:textAlignment w:val="auto"/>
      <w:outlineLvl w:val="0"/>
    </w:pPr>
    <w:rPr>
      <w:rFonts w:ascii="Times New Roman" w:hAnsi="Times New Roman" w:eastAsia="宋体" w:cs="Times New Roman"/>
      <w:snapToGrid/>
      <w:color w:val="FFFFFF"/>
      <w:kern w:val="2"/>
      <w:szCs w:val="24"/>
      <w:lang w:eastAsia="zh-CN"/>
    </w:rPr>
  </w:style>
  <w:style w:type="paragraph" w:customStyle="1" w:styleId="59">
    <w:name w:val="附录表标题"/>
    <w:basedOn w:val="1"/>
    <w:next w:val="27"/>
    <w:qFormat/>
    <w:uiPriority w:val="0"/>
    <w:pPr>
      <w:widowControl w:val="0"/>
      <w:numPr>
        <w:ilvl w:val="1"/>
        <w:numId w:val="2"/>
      </w:numPr>
      <w:tabs>
        <w:tab w:val="left" w:pos="0"/>
        <w:tab w:val="left" w:pos="180"/>
      </w:tabs>
      <w:kinsoku/>
      <w:autoSpaceDE/>
      <w:autoSpaceDN/>
      <w:adjustRightInd/>
      <w:snapToGrid/>
      <w:spacing w:beforeLines="50" w:afterLines="50"/>
      <w:ind w:left="0" w:firstLine="0"/>
      <w:jc w:val="center"/>
      <w:textAlignment w:val="auto"/>
    </w:pPr>
    <w:rPr>
      <w:rFonts w:ascii="黑体" w:hAnsi="Times New Roman" w:eastAsia="黑体" w:cs="Times New Roman"/>
      <w:snapToGrid/>
      <w:color w:val="auto"/>
      <w:kern w:val="2"/>
      <w:lang w:eastAsia="zh-CN"/>
    </w:rPr>
  </w:style>
  <w:style w:type="paragraph" w:customStyle="1" w:styleId="60">
    <w:name w:val="附录二级条标题"/>
    <w:basedOn w:val="1"/>
    <w:next w:val="27"/>
    <w:qFormat/>
    <w:uiPriority w:val="0"/>
    <w:pPr>
      <w:numPr>
        <w:ilvl w:val="3"/>
        <w:numId w:val="1"/>
      </w:numPr>
      <w:tabs>
        <w:tab w:val="left" w:pos="360"/>
      </w:tabs>
      <w:kinsoku/>
      <w:wordWrap w:val="0"/>
      <w:overflowPunct w:val="0"/>
      <w:adjustRightInd/>
      <w:snapToGrid/>
      <w:spacing w:beforeLines="50" w:afterLines="50"/>
      <w:jc w:val="both"/>
      <w:outlineLvl w:val="3"/>
    </w:pPr>
    <w:rPr>
      <w:rFonts w:ascii="黑体" w:hAnsi="Times New Roman" w:eastAsia="黑体" w:cs="Times New Roman"/>
      <w:snapToGrid/>
      <w:color w:val="auto"/>
      <w:kern w:val="21"/>
      <w:szCs w:val="20"/>
      <w:lang w:eastAsia="zh-CN"/>
    </w:rPr>
  </w:style>
  <w:style w:type="paragraph" w:customStyle="1" w:styleId="61">
    <w:name w:val="附录三级条标题"/>
    <w:basedOn w:val="60"/>
    <w:next w:val="27"/>
    <w:qFormat/>
    <w:uiPriority w:val="0"/>
    <w:pPr>
      <w:numPr>
        <w:ilvl w:val="4"/>
      </w:numPr>
      <w:outlineLvl w:val="4"/>
    </w:pPr>
  </w:style>
  <w:style w:type="paragraph" w:customStyle="1" w:styleId="62">
    <w:name w:val="附录四级条标题"/>
    <w:basedOn w:val="61"/>
    <w:next w:val="27"/>
    <w:qFormat/>
    <w:uiPriority w:val="0"/>
    <w:pPr>
      <w:numPr>
        <w:ilvl w:val="5"/>
      </w:numPr>
      <w:outlineLvl w:val="5"/>
    </w:pPr>
  </w:style>
  <w:style w:type="paragraph" w:customStyle="1" w:styleId="63">
    <w:name w:val="附录图标号"/>
    <w:basedOn w:val="1"/>
    <w:qFormat/>
    <w:uiPriority w:val="0"/>
    <w:pPr>
      <w:keepNext/>
      <w:pageBreakBefore/>
      <w:numPr>
        <w:ilvl w:val="0"/>
        <w:numId w:val="3"/>
      </w:numPr>
      <w:kinsoku/>
      <w:autoSpaceDE/>
      <w:autoSpaceDN/>
      <w:adjustRightInd/>
      <w:snapToGrid/>
      <w:spacing w:line="14" w:lineRule="exact"/>
      <w:ind w:left="0" w:firstLine="363"/>
      <w:jc w:val="center"/>
      <w:textAlignment w:val="auto"/>
      <w:outlineLvl w:val="0"/>
    </w:pPr>
    <w:rPr>
      <w:rFonts w:ascii="Times New Roman" w:hAnsi="Times New Roman" w:eastAsia="宋体" w:cs="Times New Roman"/>
      <w:snapToGrid/>
      <w:color w:val="FFFFFF"/>
      <w:kern w:val="2"/>
      <w:szCs w:val="24"/>
      <w:lang w:eastAsia="zh-CN"/>
    </w:rPr>
  </w:style>
  <w:style w:type="paragraph" w:customStyle="1" w:styleId="64">
    <w:name w:val="附录图标题"/>
    <w:basedOn w:val="1"/>
    <w:next w:val="27"/>
    <w:qFormat/>
    <w:uiPriority w:val="0"/>
    <w:pPr>
      <w:widowControl w:val="0"/>
      <w:numPr>
        <w:ilvl w:val="1"/>
        <w:numId w:val="3"/>
      </w:numPr>
      <w:tabs>
        <w:tab w:val="left" w:pos="363"/>
      </w:tabs>
      <w:kinsoku/>
      <w:autoSpaceDE/>
      <w:autoSpaceDN/>
      <w:adjustRightInd/>
      <w:snapToGrid/>
      <w:spacing w:beforeLines="50" w:afterLines="50"/>
      <w:ind w:left="0" w:firstLine="0"/>
      <w:jc w:val="center"/>
      <w:textAlignment w:val="auto"/>
    </w:pPr>
    <w:rPr>
      <w:rFonts w:ascii="黑体" w:hAnsi="Times New Roman" w:eastAsia="黑体" w:cs="Times New Roman"/>
      <w:snapToGrid/>
      <w:color w:val="auto"/>
      <w:kern w:val="2"/>
      <w:lang w:eastAsia="zh-CN"/>
    </w:rPr>
  </w:style>
  <w:style w:type="paragraph" w:customStyle="1" w:styleId="65">
    <w:name w:val="附录五级条标题"/>
    <w:basedOn w:val="62"/>
    <w:next w:val="27"/>
    <w:qFormat/>
    <w:uiPriority w:val="0"/>
    <w:pPr>
      <w:numPr>
        <w:ilvl w:val="6"/>
      </w:numPr>
      <w:outlineLvl w:val="6"/>
    </w:pPr>
  </w:style>
  <w:style w:type="paragraph" w:customStyle="1" w:styleId="66">
    <w:name w:val="附录章标题"/>
    <w:next w:val="27"/>
    <w:qFormat/>
    <w:uiPriority w:val="0"/>
    <w:pPr>
      <w:numPr>
        <w:ilvl w:val="1"/>
        <w:numId w:val="1"/>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67">
    <w:name w:val="附录一级条标题"/>
    <w:basedOn w:val="66"/>
    <w:next w:val="27"/>
    <w:qFormat/>
    <w:uiPriority w:val="0"/>
    <w:pPr>
      <w:numPr>
        <w:ilvl w:val="2"/>
      </w:numPr>
      <w:autoSpaceDN w:val="0"/>
      <w:spacing w:beforeLines="50" w:afterLines="50"/>
      <w:outlineLvl w:val="2"/>
    </w:pPr>
  </w:style>
  <w:style w:type="paragraph" w:customStyle="1" w:styleId="68">
    <w:name w:val="其他标准标志"/>
    <w:basedOn w:val="1"/>
    <w:qFormat/>
    <w:uiPriority w:val="0"/>
    <w:pPr>
      <w:framePr w:w="6101" w:h="1389" w:hRule="exact" w:hSpace="181" w:vSpace="181" w:wrap="around" w:vAnchor="page" w:hAnchor="page" w:x="4673" w:y="942" w:anchorLock="1"/>
      <w:shd w:val="solid" w:color="FFFFFF" w:fill="FFFFFF"/>
      <w:kinsoku/>
      <w:autoSpaceDE/>
      <w:autoSpaceDN/>
      <w:adjustRightInd/>
      <w:snapToGrid/>
      <w:spacing w:line="0" w:lineRule="atLeast"/>
      <w:jc w:val="right"/>
      <w:textAlignment w:val="auto"/>
    </w:pPr>
    <w:rPr>
      <w:rFonts w:ascii="Times New Roman" w:hAnsi="Times New Roman" w:eastAsia="宋体" w:cs="Times New Roman"/>
      <w:b/>
      <w:snapToGrid/>
      <w:color w:val="auto"/>
      <w:w w:val="130"/>
      <w:sz w:val="96"/>
      <w:szCs w:val="96"/>
      <w:lang w:eastAsia="zh-CN"/>
    </w:rPr>
  </w:style>
  <w:style w:type="paragraph" w:customStyle="1" w:styleId="6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0">
    <w:name w:val="其他发布部门"/>
    <w:basedOn w:val="1"/>
    <w:qFormat/>
    <w:uiPriority w:val="0"/>
    <w:pPr>
      <w:framePr w:w="7938" w:h="1134" w:hRule="exact" w:hSpace="125" w:vSpace="181" w:wrap="around" w:vAnchor="page" w:hAnchor="page" w:x="2150" w:y="15310" w:anchorLock="1"/>
      <w:kinsoku/>
      <w:autoSpaceDE/>
      <w:autoSpaceDN/>
      <w:adjustRightInd/>
      <w:snapToGrid/>
      <w:spacing w:line="0" w:lineRule="atLeast"/>
      <w:jc w:val="center"/>
      <w:textAlignment w:val="auto"/>
    </w:pPr>
    <w:rPr>
      <w:rFonts w:ascii="黑体" w:hAnsi="Times New Roman" w:eastAsia="黑体" w:cs="Times New Roman"/>
      <w:snapToGrid/>
      <w:color w:val="auto"/>
      <w:spacing w:val="20"/>
      <w:w w:val="135"/>
      <w:sz w:val="28"/>
      <w:szCs w:val="20"/>
      <w:lang w:eastAsia="zh-CN"/>
    </w:rPr>
  </w:style>
  <w:style w:type="paragraph" w:customStyle="1" w:styleId="71">
    <w:name w:val="前言、引言标题"/>
    <w:next w:val="27"/>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2">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73">
    <w:name w:val="终结线"/>
    <w:basedOn w:val="1"/>
    <w:qFormat/>
    <w:uiPriority w:val="0"/>
    <w:pPr>
      <w:framePr w:hSpace="181" w:vSpace="181" w:wrap="around" w:vAnchor="text" w:hAnchor="margin" w:xAlign="center" w:y="285"/>
      <w:widowControl w:val="0"/>
      <w:kinsoku/>
      <w:autoSpaceDE/>
      <w:autoSpaceDN/>
      <w:adjustRightInd/>
      <w:snapToGrid/>
      <w:jc w:val="both"/>
      <w:textAlignment w:val="auto"/>
    </w:pPr>
    <w:rPr>
      <w:rFonts w:ascii="Times New Roman" w:hAnsi="Times New Roman" w:eastAsia="宋体" w:cs="Times New Roman"/>
      <w:snapToGrid/>
      <w:color w:val="auto"/>
      <w:kern w:val="2"/>
      <w:szCs w:val="24"/>
      <w:lang w:eastAsia="zh-CN"/>
    </w:rPr>
  </w:style>
  <w:style w:type="paragraph" w:customStyle="1" w:styleId="74">
    <w:name w:val="其他发布日期"/>
    <w:qFormat/>
    <w:uiPriority w:val="0"/>
    <w:rPr>
      <w:rFonts w:ascii="Times New Roman" w:hAnsi="Times New Roman" w:eastAsia="黑体" w:cs="Times New Roman"/>
      <w:sz w:val="28"/>
      <w:lang w:val="en-US" w:eastAsia="zh-CN" w:bidi="ar-SA"/>
    </w:rPr>
  </w:style>
  <w:style w:type="character" w:customStyle="1" w:styleId="75">
    <w:name w:val="发布"/>
    <w:qFormat/>
    <w:uiPriority w:val="0"/>
    <w:rPr>
      <w:rFonts w:ascii="黑体" w:eastAsia="黑体"/>
      <w:spacing w:val="85"/>
      <w:w w:val="100"/>
      <w:position w:val="3"/>
      <w:sz w:val="28"/>
      <w:szCs w:val="28"/>
    </w:rPr>
  </w:style>
  <w:style w:type="character" w:customStyle="1" w:styleId="76">
    <w:name w:val="目次、标准名称标题 Char"/>
    <w:basedOn w:val="18"/>
    <w:link w:val="47"/>
    <w:qFormat/>
    <w:uiPriority w:val="0"/>
    <w:rPr>
      <w:rFonts w:ascii="黑体" w:hAnsi="Times New Roman" w:eastAsia="黑体" w:cs="Times New Roman"/>
      <w:sz w:val="32"/>
      <w:shd w:val="clear" w:color="FFFFFF" w:fill="FFFFFF"/>
    </w:rPr>
  </w:style>
  <w:style w:type="character" w:customStyle="1" w:styleId="77">
    <w:name w:val="标题 1 字符"/>
    <w:basedOn w:val="18"/>
    <w:link w:val="2"/>
    <w:qFormat/>
    <w:uiPriority w:val="0"/>
    <w:rPr>
      <w:rFonts w:eastAsia="Arial"/>
      <w:b/>
      <w:bCs/>
      <w:snapToGrid w:val="0"/>
      <w:color w:val="000000"/>
      <w:kern w:val="44"/>
      <w:sz w:val="44"/>
      <w:szCs w:val="44"/>
      <w:lang w:eastAsia="en-US"/>
    </w:rPr>
  </w:style>
  <w:style w:type="paragraph" w:customStyle="1" w:styleId="78">
    <w:name w:val="TOC 标题1"/>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376092" w:themeColor="accent1" w:themeShade="BF"/>
      <w:kern w:val="0"/>
      <w:sz w:val="32"/>
      <w:szCs w:val="32"/>
      <w:lang w:eastAsia="zh-CN"/>
    </w:rPr>
  </w:style>
  <w:style w:type="paragraph" w:customStyle="1" w:styleId="79">
    <w:name w:val="修订1"/>
    <w:hidden/>
    <w:unhideWhenUsed/>
    <w:qFormat/>
    <w:uiPriority w:val="99"/>
    <w:rPr>
      <w:rFonts w:ascii="Arial" w:hAnsi="Arial" w:eastAsia="Arial" w:cs="Arial"/>
      <w:snapToGrid w:val="0"/>
      <w:color w:val="000000"/>
      <w:sz w:val="21"/>
      <w:szCs w:val="21"/>
      <w:lang w:val="en-US" w:eastAsia="en-US" w:bidi="ar-SA"/>
    </w:rPr>
  </w:style>
  <w:style w:type="character" w:customStyle="1" w:styleId="80">
    <w:name w:val="批注框文本 字符"/>
    <w:basedOn w:val="18"/>
    <w:link w:val="9"/>
    <w:qFormat/>
    <w:uiPriority w:val="0"/>
    <w:rPr>
      <w:rFonts w:eastAsia="Arial"/>
      <w:snapToGrid w:val="0"/>
      <w:color w:val="000000"/>
      <w:sz w:val="18"/>
      <w:szCs w:val="18"/>
      <w:lang w:eastAsia="en-US"/>
    </w:rPr>
  </w:style>
  <w:style w:type="character" w:styleId="81">
    <w:name w:val="Placeholder Text"/>
    <w:basedOn w:val="18"/>
    <w:unhideWhenUsed/>
    <w:qFormat/>
    <w:uiPriority w:val="99"/>
    <w:rPr>
      <w:color w:val="808080"/>
    </w:rPr>
  </w:style>
  <w:style w:type="character" w:customStyle="1" w:styleId="82">
    <w:name w:val="批注文字 字符"/>
    <w:basedOn w:val="18"/>
    <w:link w:val="5"/>
    <w:qFormat/>
    <w:uiPriority w:val="0"/>
    <w:rPr>
      <w:rFonts w:eastAsia="Arial"/>
      <w:snapToGrid w:val="0"/>
      <w:color w:val="000000"/>
      <w:sz w:val="21"/>
      <w:szCs w:val="21"/>
      <w:lang w:eastAsia="en-US"/>
    </w:rPr>
  </w:style>
  <w:style w:type="character" w:customStyle="1" w:styleId="83">
    <w:name w:val="批注主题 字符"/>
    <w:basedOn w:val="82"/>
    <w:link w:val="15"/>
    <w:qFormat/>
    <w:uiPriority w:val="0"/>
    <w:rPr>
      <w:rFonts w:eastAsia="Arial"/>
      <w:b/>
      <w:bCs/>
      <w:snapToGrid w:val="0"/>
      <w:color w:val="000000"/>
      <w:sz w:val="21"/>
      <w:szCs w:val="21"/>
      <w:lang w:eastAsia="en-US"/>
    </w:rPr>
  </w:style>
  <w:style w:type="character" w:customStyle="1" w:styleId="84">
    <w:name w:val="标题 4 字符"/>
    <w:basedOn w:val="18"/>
    <w:link w:val="4"/>
    <w:semiHidden/>
    <w:qFormat/>
    <w:uiPriority w:val="0"/>
    <w:rPr>
      <w:rFonts w:asciiTheme="majorHAnsi" w:hAnsiTheme="majorHAnsi" w:eastAsiaTheme="majorEastAsia" w:cstheme="majorBidi"/>
      <w:b/>
      <w:bCs/>
      <w:snapToGrid w:val="0"/>
      <w:color w:val="000000"/>
      <w:sz w:val="28"/>
      <w:szCs w:val="28"/>
      <w:lang w:eastAsia="en-US"/>
    </w:rPr>
  </w:style>
  <w:style w:type="character" w:customStyle="1" w:styleId="85">
    <w:name w:val="标题 2 字符"/>
    <w:basedOn w:val="18"/>
    <w:link w:val="3"/>
    <w:semiHidden/>
    <w:qFormat/>
    <w:uiPriority w:val="0"/>
    <w:rPr>
      <w:rFonts w:asciiTheme="majorHAnsi" w:hAnsiTheme="majorHAnsi" w:eastAsiaTheme="majorEastAsia" w:cstheme="majorBidi"/>
      <w:b/>
      <w:bCs/>
      <w:snapToGrid w:val="0"/>
      <w:color w:val="000000"/>
      <w:sz w:val="32"/>
      <w:szCs w:val="32"/>
      <w:lang w:eastAsia="en-US"/>
    </w:rPr>
  </w:style>
  <w:style w:type="character" w:customStyle="1" w:styleId="86">
    <w:name w:val="日期 字符"/>
    <w:basedOn w:val="18"/>
    <w:link w:val="8"/>
    <w:qFormat/>
    <w:uiPriority w:val="0"/>
    <w:rPr>
      <w:rFonts w:eastAsia="Arial"/>
      <w:snapToGrid w:val="0"/>
      <w:color w:val="000000"/>
      <w:sz w:val="21"/>
      <w:szCs w:val="21"/>
      <w:lang w:eastAsia="en-US"/>
    </w:rPr>
  </w:style>
  <w:style w:type="character" w:customStyle="1" w:styleId="87">
    <w:name w:val="fontstyle01"/>
    <w:basedOn w:val="18"/>
    <w:qFormat/>
    <w:uiPriority w:val="0"/>
    <w:rPr>
      <w:rFonts w:hint="eastAsia" w:ascii="宋体" w:hAnsi="宋体" w:eastAsia="宋体"/>
      <w:color w:val="000000"/>
      <w:sz w:val="22"/>
      <w:szCs w:val="22"/>
    </w:rPr>
  </w:style>
  <w:style w:type="paragraph" w:styleId="88">
    <w:name w:val="List Paragraph"/>
    <w:basedOn w:val="1"/>
    <w:qFormat/>
    <w:uiPriority w:val="34"/>
    <w:pPr>
      <w:widowControl w:val="0"/>
      <w:kinsoku/>
      <w:autoSpaceDE/>
      <w:autoSpaceDN/>
      <w:adjustRightInd/>
      <w:snapToGrid/>
      <w:spacing w:after="160" w:line="278" w:lineRule="auto"/>
      <w:ind w:left="720"/>
      <w:contextualSpacing/>
      <w:textAlignment w:val="auto"/>
    </w:pPr>
    <w:rPr>
      <w:rFonts w:asciiTheme="minorHAnsi" w:hAnsiTheme="minorHAnsi" w:eastAsiaTheme="minorEastAsia" w:cstheme="minorBidi"/>
      <w:snapToGrid/>
      <w:color w:val="auto"/>
      <w:kern w:val="2"/>
      <w:sz w:val="22"/>
      <w:szCs w:val="24"/>
      <w:lang w:eastAsia="zh-CN"/>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001320-A9F3-4721-9FC8-9D1D40B9023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8088</Words>
  <Characters>8980</Characters>
  <Lines>269</Lines>
  <Paragraphs>313</Paragraphs>
  <TotalTime>21</TotalTime>
  <ScaleCrop>false</ScaleCrop>
  <LinksUpToDate>false</LinksUpToDate>
  <CharactersWithSpaces>9293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2026-01-13T09:09:00Z</dcterms:created>
  <dc:creator>晨晨 沈</dc:creator>
  <cp:lastModifiedBy>刘涛</cp:lastModifiedBy>
  <cp:lastPrinted>2025-11-28T02:37:00Z</cp:lastPrinted>
  <dcterms:modified xsi:type="dcterms:W3CDTF">2026-01-23T07:58:01Z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2024-07-02T17:00:12Z</vt:filetime>
  </property>
  <property fmtid="{D5CDD505-2E9C-101B-9397-08002B2CF9AE}" pid="4" name="KSOProductBuildVer">
    <vt:lpwstr>2052-12.1.0.24657</vt:lpwstr>
  </property>
  <property fmtid="{D5CDD505-2E9C-101B-9397-08002B2CF9AE}" pid="5" name="ICV">
    <vt:lpwstr>8FB894AC821948E891963EC13E068E4B_13</vt:lpwstr>
  </property>
  <property fmtid="{D5CDD505-2E9C-101B-9397-08002B2CF9AE}" pid="6" name="KSOTemplateDocerSaveRecord">
    <vt:lpwstr>eyJoZGlkIjoiODY5MmQzOTYxODYwNjE4NGU5NDhkNjBkNzQ1NWM3ZjgiLCJ1c2VySWQiOiI2NjE0OTIwMDgifQ==</vt:lpwstr>
  </property>
</Properties>
</file>