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eastAsia="方正小标宋简体" w:cs="方正小标宋简体"/>
          <w:sz w:val="44"/>
          <w:szCs w:val="44"/>
        </w:rPr>
      </w:pPr>
      <w:r>
        <w:rPr>
          <w:rFonts w:hint="eastAsia" w:ascii="方正小标宋简体" w:eastAsia="方正小标宋简体" w:cs="方正小标宋简体"/>
          <w:sz w:val="44"/>
          <w:szCs w:val="44"/>
        </w:rPr>
        <w:t>北京市交通委员会2023年行政执法统计年报</w:t>
      </w:r>
    </w:p>
    <w:p>
      <w:pPr>
        <w:spacing w:line="560" w:lineRule="exact"/>
        <w:jc w:val="center"/>
        <w:rPr>
          <w:rFonts w:ascii="楷体_GB2312" w:eastAsia="楷体_GB2312" w:cs="方正小标宋简体"/>
          <w:sz w:val="36"/>
          <w:szCs w:val="36"/>
        </w:rPr>
      </w:pPr>
    </w:p>
    <w:p>
      <w:pPr>
        <w:pStyle w:val="5"/>
        <w:widowControl/>
        <w:spacing w:beforeAutospacing="0" w:afterAutospacing="0" w:line="560" w:lineRule="exact"/>
        <w:ind w:firstLine="640" w:firstLineChars="200"/>
        <w:jc w:val="both"/>
        <w:rPr>
          <w:rFonts w:ascii="仿宋_GB2312" w:eastAsia="仿宋_GB2312" w:cs="仿宋"/>
          <w:kern w:val="2"/>
          <w:sz w:val="32"/>
          <w:szCs w:val="32"/>
        </w:rPr>
      </w:pPr>
      <w:r>
        <w:rPr>
          <w:rFonts w:hint="eastAsia" w:ascii="仿宋_GB2312" w:eastAsia="仿宋_GB2312" w:cs="仿宋"/>
          <w:kern w:val="2"/>
          <w:sz w:val="32"/>
          <w:szCs w:val="32"/>
        </w:rPr>
        <w:t>根据《北京市人民政府办公厅关于印发北京市全面推行行政执法公示制度执法全过程记录制度重大执法决定法制审核制度实施方案》的相关要求，现将北京市交通委员会2023年行政执法情况报告如下：</w:t>
      </w:r>
    </w:p>
    <w:p>
      <w:pPr>
        <w:pStyle w:val="5"/>
        <w:widowControl/>
        <w:spacing w:beforeAutospacing="0" w:afterAutospacing="0" w:line="560" w:lineRule="exact"/>
        <w:ind w:left="0" w:firstLine="640" w:firstLineChars="200"/>
        <w:jc w:val="both"/>
        <w:rPr>
          <w:rFonts w:hint="eastAsia" w:ascii="黑体" w:eastAsia="黑体" w:cs="黑体"/>
          <w:kern w:val="2"/>
          <w:sz w:val="32"/>
          <w:szCs w:val="32"/>
        </w:rPr>
      </w:pPr>
      <w:r>
        <w:rPr>
          <w:rFonts w:ascii="黑体" w:eastAsia="黑体" w:cs="黑体"/>
          <w:kern w:val="2"/>
          <w:sz w:val="32"/>
          <w:szCs w:val="32"/>
        </w:rPr>
        <w:t>一、</w:t>
      </w:r>
      <w:r>
        <w:rPr>
          <w:rFonts w:hint="eastAsia" w:ascii="黑体" w:hAnsi="Calibri" w:eastAsia="黑体" w:cs="黑体"/>
          <w:color w:val="auto"/>
          <w:kern w:val="2"/>
          <w:sz w:val="32"/>
          <w:szCs w:val="32"/>
          <w:shd w:val="clear" w:color="auto" w:fill="auto"/>
        </w:rPr>
        <w:t>执法主体及执法岗位基本情况</w:t>
      </w:r>
    </w:p>
    <w:p>
      <w:pPr>
        <w:pStyle w:val="5"/>
        <w:widowControl/>
        <w:spacing w:beforeAutospacing="0" w:afterAutospacing="0" w:line="560" w:lineRule="exact"/>
        <w:ind w:left="0" w:firstLine="640" w:firstLineChars="200"/>
        <w:jc w:val="both"/>
        <w:rPr>
          <w:rFonts w:ascii="仿宋_GB2312" w:hAnsi="仿宋_GB2312" w:eastAsia="仿宋_GB2312" w:cs="仿宋_GB2312"/>
          <w:kern w:val="2"/>
          <w:sz w:val="32"/>
          <w:szCs w:val="32"/>
        </w:rPr>
      </w:pPr>
      <w:r>
        <w:rPr>
          <w:rFonts w:hint="eastAsia" w:ascii="仿宋_GB2312" w:hAnsi="Calibri" w:eastAsia="仿宋_GB2312" w:cs="仿宋"/>
          <w:color w:val="auto"/>
          <w:kern w:val="2"/>
          <w:sz w:val="32"/>
          <w:szCs w:val="32"/>
          <w:shd w:val="clear" w:color="auto" w:fill="auto"/>
        </w:rPr>
        <w:t>本机关现有行政执法主体1个，名称为北京市交通委员会；设置行政执法岗位</w:t>
      </w:r>
      <w:r>
        <w:rPr>
          <w:rFonts w:hint="eastAsia" w:ascii="仿宋_GB2312" w:eastAsia="仿宋_GB2312" w:cs="仿宋"/>
          <w:kern w:val="2"/>
          <w:sz w:val="32"/>
          <w:szCs w:val="32"/>
        </w:rPr>
        <w:t>53</w:t>
      </w:r>
      <w:r>
        <w:rPr>
          <w:rFonts w:hint="eastAsia" w:ascii="仿宋_GB2312" w:hAnsi="Calibri" w:eastAsia="仿宋_GB2312" w:cs="仿宋"/>
          <w:color w:val="auto"/>
          <w:kern w:val="2"/>
          <w:sz w:val="32"/>
          <w:szCs w:val="32"/>
          <w:shd w:val="clear" w:color="auto" w:fill="auto"/>
        </w:rPr>
        <w:t>个，</w:t>
      </w:r>
      <w:r>
        <w:rPr>
          <w:rFonts w:hint="eastAsia" w:ascii="仿宋_GB2312" w:eastAsia="仿宋_GB2312" w:cs="仿宋"/>
          <w:kern w:val="2"/>
          <w:sz w:val="32"/>
          <w:szCs w:val="32"/>
        </w:rPr>
        <w:t>全部为</w:t>
      </w:r>
      <w:r>
        <w:rPr>
          <w:rFonts w:hint="eastAsia" w:ascii="仿宋_GB2312" w:hAnsi="Calibri" w:eastAsia="仿宋_GB2312" w:cs="仿宋"/>
          <w:color w:val="auto"/>
          <w:kern w:val="2"/>
          <w:sz w:val="32"/>
          <w:szCs w:val="32"/>
          <w:shd w:val="clear" w:color="auto" w:fill="auto"/>
        </w:rPr>
        <w:t>A类执法岗</w:t>
      </w:r>
      <w:r>
        <w:rPr>
          <w:rFonts w:hint="eastAsia" w:ascii="仿宋_GB2312" w:eastAsia="仿宋_GB2312" w:cs="仿宋"/>
          <w:kern w:val="2"/>
          <w:sz w:val="32"/>
          <w:szCs w:val="32"/>
        </w:rPr>
        <w:t>位</w:t>
      </w:r>
      <w:r>
        <w:rPr>
          <w:rFonts w:hint="eastAsia" w:ascii="仿宋_GB2312" w:hAnsi="Calibri" w:eastAsia="仿宋_GB2312" w:cs="仿宋"/>
          <w:color w:val="auto"/>
          <w:kern w:val="2"/>
          <w:sz w:val="32"/>
          <w:szCs w:val="32"/>
          <w:shd w:val="clear" w:color="auto" w:fill="auto"/>
        </w:rPr>
        <w:t>，核定岗位人数</w:t>
      </w:r>
      <w:r>
        <w:rPr>
          <w:rFonts w:hint="eastAsia" w:ascii="仿宋_GB2312" w:eastAsia="仿宋_GB2312" w:cs="仿宋"/>
          <w:kern w:val="2"/>
          <w:sz w:val="32"/>
          <w:szCs w:val="32"/>
        </w:rPr>
        <w:t>1652人</w:t>
      </w:r>
      <w:r>
        <w:rPr>
          <w:rFonts w:hint="eastAsia" w:ascii="仿宋_GB2312" w:hAnsi="Calibri" w:eastAsia="仿宋_GB2312" w:cs="仿宋"/>
          <w:color w:val="auto"/>
          <w:kern w:val="2"/>
          <w:sz w:val="32"/>
          <w:szCs w:val="32"/>
          <w:shd w:val="clear" w:color="auto" w:fill="auto"/>
        </w:rPr>
        <w:t>。实有具有行政执法资格人员</w:t>
      </w:r>
      <w:r>
        <w:rPr>
          <w:rFonts w:hint="eastAsia" w:ascii="仿宋_GB2312" w:eastAsia="仿宋_GB2312" w:cs="仿宋"/>
          <w:kern w:val="2"/>
          <w:sz w:val="32"/>
          <w:szCs w:val="32"/>
        </w:rPr>
        <w:t>1738</w:t>
      </w:r>
      <w:r>
        <w:rPr>
          <w:rFonts w:hint="eastAsia" w:ascii="仿宋_GB2312" w:hAnsi="Calibri" w:eastAsia="仿宋_GB2312" w:cs="仿宋"/>
          <w:color w:val="auto"/>
          <w:kern w:val="2"/>
          <w:sz w:val="32"/>
          <w:szCs w:val="32"/>
          <w:shd w:val="clear" w:color="auto" w:fill="auto"/>
        </w:rPr>
        <w:t>人，全年A类执法岗参与执法人数为</w:t>
      </w:r>
      <w:r>
        <w:rPr>
          <w:rFonts w:hint="eastAsia" w:ascii="仿宋_GB2312" w:eastAsia="仿宋_GB2312" w:cs="仿宋"/>
          <w:kern w:val="2"/>
          <w:sz w:val="32"/>
          <w:szCs w:val="32"/>
        </w:rPr>
        <w:t>1420</w:t>
      </w:r>
      <w:r>
        <w:rPr>
          <w:rFonts w:hint="eastAsia" w:ascii="仿宋_GB2312" w:hAnsi="Calibri" w:eastAsia="仿宋_GB2312" w:cs="仿宋"/>
          <w:color w:val="auto"/>
          <w:kern w:val="2"/>
          <w:sz w:val="32"/>
          <w:szCs w:val="32"/>
          <w:shd w:val="clear" w:color="auto" w:fill="auto"/>
        </w:rPr>
        <w:t>人。A岗人员参与执法率</w:t>
      </w:r>
      <w:r>
        <w:rPr>
          <w:rFonts w:hint="eastAsia" w:ascii="仿宋_GB2312" w:eastAsia="仿宋_GB2312" w:cs="仿宋"/>
          <w:kern w:val="2"/>
          <w:sz w:val="32"/>
          <w:szCs w:val="32"/>
        </w:rPr>
        <w:t>81.29</w:t>
      </w:r>
      <w:r>
        <w:rPr>
          <w:rFonts w:hint="eastAsia" w:ascii="仿宋_GB2312" w:hAnsi="Calibri" w:eastAsia="仿宋_GB2312" w:cs="仿宋"/>
          <w:kern w:val="2"/>
          <w:sz w:val="32"/>
          <w:szCs w:val="32"/>
          <w:shd w:val="clear" w:color="auto" w:fill="auto"/>
        </w:rPr>
        <w:t>%。</w:t>
      </w:r>
    </w:p>
    <w:p>
      <w:pPr>
        <w:pStyle w:val="5"/>
        <w:widowControl/>
        <w:spacing w:beforeAutospacing="0" w:afterAutospacing="0" w:line="560" w:lineRule="exact"/>
        <w:ind w:left="1288" w:hanging="720"/>
        <w:jc w:val="both"/>
        <w:rPr>
          <w:rFonts w:ascii="黑体" w:eastAsia="黑体" w:cs="黑体"/>
          <w:kern w:val="2"/>
          <w:sz w:val="32"/>
          <w:szCs w:val="32"/>
        </w:rPr>
      </w:pPr>
      <w:r>
        <w:rPr>
          <w:rFonts w:hint="eastAsia" w:ascii="黑体" w:eastAsia="黑体" w:cs="黑体"/>
          <w:kern w:val="2"/>
          <w:sz w:val="32"/>
          <w:szCs w:val="32"/>
        </w:rPr>
        <w:t>二</w:t>
      </w:r>
      <w:r>
        <w:rPr>
          <w:rFonts w:ascii="黑体" w:eastAsia="黑体" w:cs="黑体"/>
          <w:kern w:val="2"/>
          <w:sz w:val="32"/>
          <w:szCs w:val="32"/>
        </w:rPr>
        <w:t>、</w:t>
      </w:r>
      <w:r>
        <w:rPr>
          <w:rFonts w:hint="eastAsia" w:ascii="黑体" w:eastAsia="黑体" w:cs="黑体"/>
          <w:kern w:val="2"/>
          <w:sz w:val="32"/>
          <w:szCs w:val="32"/>
        </w:rPr>
        <w:t>政务服务事项的办理情况</w:t>
      </w:r>
    </w:p>
    <w:p>
      <w:pPr>
        <w:pStyle w:val="5"/>
        <w:widowControl/>
        <w:spacing w:beforeAutospacing="0" w:afterAutospacing="0" w:line="560" w:lineRule="exact"/>
        <w:ind w:firstLine="640" w:firstLineChars="200"/>
        <w:jc w:val="both"/>
        <w:rPr>
          <w:rFonts w:ascii="仿宋_GB2312" w:hAnsi="CESI仿宋-GB2312" w:eastAsia="仿宋_GB2312" w:cs="仿宋"/>
          <w:kern w:val="2"/>
          <w:sz w:val="32"/>
          <w:szCs w:val="32"/>
        </w:rPr>
      </w:pPr>
      <w:r>
        <w:rPr>
          <w:rFonts w:hint="eastAsia" w:ascii="仿宋_GB2312" w:hAnsi="CESI仿宋-GB2312" w:eastAsia="仿宋_GB2312" w:cs="仿宋"/>
          <w:kern w:val="2"/>
          <w:sz w:val="32"/>
          <w:szCs w:val="32"/>
        </w:rPr>
        <w:t>2023年市交通委288项政务服务事项，年度办结量115254件（详见附表1）</w:t>
      </w:r>
      <w:r>
        <w:rPr>
          <w:rFonts w:hint="eastAsia" w:ascii="仿宋_GB2312" w:eastAsia="仿宋_GB2312" w:cs="仿宋"/>
          <w:kern w:val="2"/>
          <w:sz w:val="32"/>
          <w:szCs w:val="32"/>
        </w:rPr>
        <w:t>；</w:t>
      </w:r>
      <w:r>
        <w:rPr>
          <w:rFonts w:hint="eastAsia" w:ascii="仿宋_GB2312" w:hAnsi="CESI仿宋-GB2312" w:eastAsia="仿宋_GB2312" w:cs="仿宋"/>
          <w:kern w:val="2"/>
          <w:sz w:val="32"/>
          <w:szCs w:val="32"/>
        </w:rPr>
        <w:t>运输管理分局及远郊区交通局年度办结量477823件（详见附表2）。</w:t>
      </w:r>
    </w:p>
    <w:p>
      <w:pPr>
        <w:pStyle w:val="5"/>
        <w:widowControl/>
        <w:spacing w:beforeAutospacing="0" w:afterAutospacing="0" w:line="560" w:lineRule="exact"/>
        <w:ind w:left="1288" w:hanging="720"/>
        <w:jc w:val="both"/>
        <w:rPr>
          <w:rFonts w:ascii="黑体" w:eastAsia="黑体" w:cs="黑体"/>
          <w:kern w:val="2"/>
          <w:sz w:val="32"/>
          <w:szCs w:val="32"/>
        </w:rPr>
      </w:pPr>
      <w:r>
        <w:rPr>
          <w:rFonts w:hint="eastAsia" w:ascii="黑体" w:eastAsia="黑体" w:cs="黑体"/>
          <w:kern w:val="2"/>
          <w:sz w:val="32"/>
          <w:szCs w:val="32"/>
        </w:rPr>
        <w:t>三</w:t>
      </w:r>
      <w:r>
        <w:rPr>
          <w:rFonts w:ascii="黑体" w:eastAsia="黑体" w:cs="黑体"/>
          <w:kern w:val="2"/>
          <w:sz w:val="32"/>
          <w:szCs w:val="32"/>
        </w:rPr>
        <w:t>、</w:t>
      </w:r>
      <w:r>
        <w:rPr>
          <w:rFonts w:hint="eastAsia" w:ascii="黑体" w:eastAsia="黑体" w:cs="黑体"/>
          <w:kern w:val="2"/>
          <w:sz w:val="32"/>
          <w:szCs w:val="32"/>
        </w:rPr>
        <w:t>执法检查计划执行情况</w:t>
      </w:r>
    </w:p>
    <w:p>
      <w:pPr>
        <w:pStyle w:val="5"/>
        <w:widowControl/>
        <w:spacing w:beforeAutospacing="0" w:afterAutospacing="0" w:line="560" w:lineRule="exact"/>
        <w:ind w:firstLine="640" w:firstLineChars="200"/>
        <w:jc w:val="both"/>
        <w:rPr>
          <w:rFonts w:hint="eastAsia" w:ascii="仿宋_GB2312" w:hAnsi="CESI仿宋-GB2312" w:eastAsia="仿宋_GB2312" w:cs="仿宋"/>
          <w:kern w:val="2"/>
          <w:sz w:val="32"/>
          <w:szCs w:val="32"/>
        </w:rPr>
      </w:pPr>
      <w:r>
        <w:rPr>
          <w:rFonts w:hint="eastAsia" w:ascii="仿宋_GB2312" w:hAnsi="CESI仿宋-GB2312" w:eastAsia="仿宋_GB2312" w:cs="仿宋"/>
          <w:kern w:val="2"/>
          <w:sz w:val="32"/>
          <w:szCs w:val="32"/>
        </w:rPr>
        <w:t>各执法单位根据年度执法计划，狠抓工作落实，严格按计划完成全年检查任务。其中我委共计</w:t>
      </w:r>
      <w:r>
        <w:rPr>
          <w:rFonts w:hint="eastAsia" w:ascii="仿宋_GB2312" w:eastAsia="仿宋_GB2312" w:cs="仿宋"/>
          <w:kern w:val="2"/>
          <w:sz w:val="32"/>
          <w:szCs w:val="32"/>
        </w:rPr>
        <w:t>行政</w:t>
      </w:r>
      <w:r>
        <w:rPr>
          <w:rFonts w:hint="eastAsia" w:ascii="仿宋_GB2312" w:hAnsi="CESI仿宋-GB2312" w:eastAsia="仿宋_GB2312" w:cs="仿宋"/>
          <w:kern w:val="2"/>
          <w:sz w:val="32"/>
          <w:szCs w:val="32"/>
        </w:rPr>
        <w:t>检查1824217件，人均执法量1104.2</w:t>
      </w:r>
      <w:r>
        <w:rPr>
          <w:rFonts w:hint="eastAsia" w:ascii="仿宋_GB2312" w:eastAsia="仿宋_GB2312" w:cs="仿宋"/>
          <w:kern w:val="2"/>
          <w:sz w:val="32"/>
          <w:szCs w:val="32"/>
        </w:rPr>
        <w:t>5</w:t>
      </w:r>
      <w:r>
        <w:rPr>
          <w:rFonts w:hint="eastAsia" w:ascii="仿宋_GB2312" w:hAnsi="CESI仿宋-GB2312" w:eastAsia="仿宋_GB2312" w:cs="仿宋"/>
          <w:kern w:val="2"/>
          <w:sz w:val="32"/>
          <w:szCs w:val="32"/>
        </w:rPr>
        <w:t>件</w:t>
      </w:r>
      <w:r>
        <w:rPr>
          <w:rFonts w:hint="eastAsia" w:ascii="仿宋_GB2312" w:eastAsia="仿宋_GB2312" w:cs="仿宋"/>
          <w:kern w:val="2"/>
          <w:sz w:val="32"/>
          <w:szCs w:val="32"/>
        </w:rPr>
        <w:t>/人</w:t>
      </w:r>
      <w:r>
        <w:rPr>
          <w:rFonts w:hint="eastAsia" w:ascii="仿宋_GB2312" w:hAnsi="CESI仿宋-GB2312" w:eastAsia="仿宋_GB2312" w:cs="仿宋"/>
          <w:kern w:val="2"/>
          <w:sz w:val="32"/>
          <w:szCs w:val="32"/>
        </w:rPr>
        <w:t>。</w:t>
      </w:r>
    </w:p>
    <w:p>
      <w:pPr>
        <w:pStyle w:val="5"/>
        <w:widowControl/>
        <w:spacing w:beforeAutospacing="0" w:afterAutospacing="0" w:line="560" w:lineRule="exact"/>
        <w:ind w:firstLine="640" w:firstLineChars="200"/>
        <w:jc w:val="both"/>
        <w:rPr>
          <w:rFonts w:ascii="仿宋_GB2312" w:hAnsi="CESI仿宋-GB2312" w:eastAsia="仿宋_GB2312" w:cs="仿宋"/>
          <w:kern w:val="2"/>
          <w:sz w:val="32"/>
          <w:szCs w:val="32"/>
          <w:highlight w:val="none"/>
        </w:rPr>
      </w:pPr>
      <w:r>
        <w:rPr>
          <w:rFonts w:hint="eastAsia" w:ascii="仿宋_GB2312" w:hAnsi="仿宋_GB2312" w:eastAsia="仿宋_GB2312" w:cs="仿宋"/>
          <w:kern w:val="2"/>
          <w:sz w:val="32"/>
          <w:szCs w:val="32"/>
          <w:highlight w:val="none"/>
        </w:rPr>
        <w:t>全年各级</w:t>
      </w:r>
      <w:r>
        <w:rPr>
          <w:rFonts w:hint="eastAsia" w:ascii="仿宋_GB2312" w:eastAsia="仿宋_GB2312" w:cs="仿宋"/>
          <w:kern w:val="2"/>
          <w:sz w:val="32"/>
          <w:szCs w:val="32"/>
          <w:highlight w:val="none"/>
        </w:rPr>
        <w:t>执法</w:t>
      </w:r>
      <w:r>
        <w:rPr>
          <w:rFonts w:hint="eastAsia" w:ascii="仿宋_GB2312" w:hAnsi="仿宋_GB2312" w:eastAsia="仿宋_GB2312" w:cs="仿宋"/>
          <w:kern w:val="2"/>
          <w:sz w:val="32"/>
          <w:szCs w:val="32"/>
          <w:highlight w:val="none"/>
        </w:rPr>
        <w:t>单位召开执法联席会</w:t>
      </w:r>
      <w:r>
        <w:rPr>
          <w:rFonts w:hint="eastAsia" w:ascii="仿宋_GB2312" w:eastAsia="仿宋_GB2312" w:cs="仿宋"/>
          <w:kern w:val="2"/>
          <w:sz w:val="32"/>
          <w:szCs w:val="32"/>
          <w:highlight w:val="none"/>
        </w:rPr>
        <w:t>共计</w:t>
      </w:r>
      <w:r>
        <w:rPr>
          <w:rFonts w:hint="eastAsia" w:ascii="仿宋_GB2312" w:hAnsi="仿宋_GB2312" w:eastAsia="仿宋_GB2312" w:cs="仿宋"/>
          <w:kern w:val="2"/>
          <w:sz w:val="32"/>
          <w:szCs w:val="32"/>
          <w:highlight w:val="none"/>
          <w:lang w:eastAsia="zh-CN"/>
        </w:rPr>
        <w:t>2</w:t>
      </w:r>
      <w:r>
        <w:rPr>
          <w:rFonts w:hint="eastAsia" w:ascii="仿宋_GB2312" w:hAnsi="仿宋_GB2312" w:eastAsia="仿宋_GB2312" w:cs="仿宋"/>
          <w:kern w:val="2"/>
          <w:sz w:val="32"/>
          <w:szCs w:val="32"/>
          <w:highlight w:val="none"/>
          <w:lang w:val="en-US" w:eastAsia="zh-CN"/>
        </w:rPr>
        <w:t>50</w:t>
      </w:r>
      <w:r>
        <w:rPr>
          <w:rFonts w:hint="eastAsia" w:ascii="仿宋_GB2312" w:hAnsi="仿宋_GB2312" w:eastAsia="仿宋_GB2312" w:cs="仿宋"/>
          <w:kern w:val="2"/>
          <w:sz w:val="32"/>
          <w:szCs w:val="32"/>
          <w:highlight w:val="none"/>
        </w:rPr>
        <w:t>次。</w:t>
      </w:r>
      <w:bookmarkStart w:id="0" w:name="_GoBack"/>
      <w:bookmarkEnd w:id="0"/>
    </w:p>
    <w:p>
      <w:pPr>
        <w:pStyle w:val="5"/>
        <w:widowControl/>
        <w:spacing w:beforeAutospacing="0" w:afterAutospacing="0" w:line="560" w:lineRule="exact"/>
        <w:ind w:left="1288" w:hanging="720"/>
        <w:jc w:val="both"/>
        <w:rPr>
          <w:rFonts w:ascii="黑体" w:eastAsia="黑体" w:cs="黑体"/>
          <w:kern w:val="2"/>
          <w:sz w:val="32"/>
          <w:szCs w:val="32"/>
        </w:rPr>
      </w:pPr>
      <w:r>
        <w:rPr>
          <w:rFonts w:hint="eastAsia" w:ascii="黑体" w:eastAsia="黑体" w:cs="黑体"/>
          <w:kern w:val="2"/>
          <w:sz w:val="32"/>
          <w:szCs w:val="32"/>
        </w:rPr>
        <w:t>四</w:t>
      </w:r>
      <w:r>
        <w:rPr>
          <w:rFonts w:ascii="黑体" w:eastAsia="黑体" w:cs="黑体"/>
          <w:kern w:val="2"/>
          <w:sz w:val="32"/>
          <w:szCs w:val="32"/>
        </w:rPr>
        <w:t>、</w:t>
      </w:r>
      <w:r>
        <w:rPr>
          <w:rFonts w:hint="eastAsia" w:ascii="黑体" w:eastAsia="黑体" w:cs="黑体"/>
          <w:kern w:val="2"/>
          <w:sz w:val="32"/>
          <w:szCs w:val="32"/>
        </w:rPr>
        <w:t>行政处罚、行政强制等案件的办理情况</w:t>
      </w:r>
    </w:p>
    <w:p>
      <w:pPr>
        <w:spacing w:line="560" w:lineRule="exact"/>
        <w:ind w:firstLine="640" w:firstLineChars="200"/>
        <w:rPr>
          <w:rFonts w:ascii="仿宋_GB2312" w:eastAsia="仿宋_GB2312" w:cs="仿宋"/>
          <w:sz w:val="32"/>
          <w:szCs w:val="32"/>
        </w:rPr>
      </w:pPr>
      <w:r>
        <w:rPr>
          <w:rFonts w:hint="eastAsia" w:ascii="仿宋_GB2312" w:eastAsia="仿宋_GB2312" w:cs="仿宋"/>
          <w:sz w:val="32"/>
          <w:szCs w:val="32"/>
          <w:highlight w:val="none"/>
        </w:rPr>
        <w:t xml:space="preserve"> 2023年我委系统共实施行政处罚30751件</w:t>
      </w:r>
      <w:r>
        <w:rPr>
          <w:rFonts w:hint="eastAsia" w:ascii="仿宋_GB2312" w:eastAsia="仿宋_GB2312" w:cs="仿宋"/>
          <w:sz w:val="32"/>
          <w:szCs w:val="32"/>
          <w:highlight w:val="none"/>
        </w:rPr>
        <w:t>，采取行政</w:t>
      </w:r>
      <w:r>
        <w:rPr>
          <w:rFonts w:hint="eastAsia" w:ascii="仿宋_GB2312" w:eastAsia="仿宋_GB2312" w:cs="仿宋"/>
          <w:sz w:val="32"/>
          <w:szCs w:val="32"/>
        </w:rPr>
        <w:t>强制措施16378件。持续推进行政强制执行工作，累计申请法院强制执行300余件，进一步筑牢交通运输执法闭环。</w:t>
      </w:r>
    </w:p>
    <w:p>
      <w:pPr>
        <w:pStyle w:val="5"/>
        <w:widowControl/>
        <w:spacing w:beforeAutospacing="0" w:afterAutospacing="0" w:line="560" w:lineRule="exact"/>
        <w:ind w:left="1288" w:hanging="720"/>
        <w:jc w:val="both"/>
        <w:rPr>
          <w:rFonts w:ascii="黑体" w:eastAsia="黑体" w:cs="黑体"/>
          <w:kern w:val="2"/>
          <w:sz w:val="32"/>
          <w:szCs w:val="32"/>
        </w:rPr>
      </w:pPr>
      <w:r>
        <w:rPr>
          <w:rFonts w:hint="eastAsia" w:ascii="黑体" w:eastAsia="黑体" w:cs="黑体"/>
          <w:kern w:val="2"/>
          <w:sz w:val="32"/>
          <w:szCs w:val="32"/>
        </w:rPr>
        <w:t>五</w:t>
      </w:r>
      <w:r>
        <w:rPr>
          <w:rFonts w:ascii="黑体" w:eastAsia="黑体" w:cs="黑体"/>
          <w:kern w:val="2"/>
          <w:sz w:val="32"/>
          <w:szCs w:val="32"/>
        </w:rPr>
        <w:t>、</w:t>
      </w:r>
      <w:r>
        <w:rPr>
          <w:rFonts w:hint="eastAsia" w:ascii="黑体" w:eastAsia="黑体" w:cs="黑体"/>
          <w:kern w:val="2"/>
          <w:sz w:val="32"/>
          <w:szCs w:val="32"/>
        </w:rPr>
        <w:t>投诉、举报案件的受理和分类办理情况</w:t>
      </w:r>
    </w:p>
    <w:p>
      <w:pPr>
        <w:spacing w:line="560" w:lineRule="exact"/>
        <w:ind w:firstLine="640" w:firstLineChars="200"/>
        <w:rPr>
          <w:rFonts w:ascii="仿宋_GB2312" w:eastAsia="仿宋_GB2312" w:cs="仿宋"/>
          <w:sz w:val="32"/>
          <w:szCs w:val="32"/>
        </w:rPr>
      </w:pPr>
      <w:r>
        <w:rPr>
          <w:rFonts w:hint="eastAsia" w:ascii="仿宋_GB2312" w:eastAsia="仿宋_GB2312" w:cs="仿宋"/>
          <w:sz w:val="32"/>
          <w:szCs w:val="32"/>
        </w:rPr>
        <w:t>2023年执法总队共受理工单42774 件，其中：12345 工单15846 件、12328工单26928件。工单数量同比上升136%。面对工单数量不断上升的情况，及时规范办理标准，加强业务培训，不断完善考核机制，对投诉高发点位、行业开展集中整治，积极做好未诉先办。12345工单全年响应率100％，解决率98.53％，满意率98.79％。</w:t>
      </w:r>
    </w:p>
    <w:p>
      <w:pPr>
        <w:spacing w:line="560" w:lineRule="exact"/>
        <w:ind w:firstLine="640" w:firstLineChars="200"/>
        <w:rPr>
          <w:rFonts w:ascii="仿宋_GB2312" w:eastAsia="仿宋_GB2312" w:cs="仿宋"/>
          <w:sz w:val="32"/>
          <w:szCs w:val="32"/>
        </w:rPr>
      </w:pPr>
    </w:p>
    <w:p>
      <w:pPr>
        <w:spacing w:line="560" w:lineRule="exact"/>
        <w:ind w:firstLine="640" w:firstLineChars="200"/>
        <w:rPr>
          <w:rFonts w:ascii="仿宋_GB2312" w:eastAsia="仿宋_GB2312" w:cs="仿宋"/>
          <w:sz w:val="32"/>
          <w:szCs w:val="32"/>
        </w:rPr>
      </w:pPr>
    </w:p>
    <w:p>
      <w:pPr>
        <w:spacing w:line="560" w:lineRule="exact"/>
        <w:ind w:firstLine="640" w:firstLineChars="200"/>
        <w:rPr>
          <w:rFonts w:ascii="仿宋_GB2312" w:eastAsia="仿宋_GB2312" w:cs="仿宋"/>
          <w:sz w:val="32"/>
          <w:szCs w:val="32"/>
        </w:rPr>
      </w:pPr>
      <w:r>
        <w:rPr>
          <w:rFonts w:ascii="仿宋_GB2312" w:eastAsia="仿宋_GB2312" w:cs="仿宋"/>
          <w:sz w:val="32"/>
          <w:szCs w:val="32"/>
        </w:rPr>
        <w:t xml:space="preserve">                                 北京市</w:t>
      </w:r>
      <w:r>
        <w:rPr>
          <w:rFonts w:hint="eastAsia" w:ascii="仿宋_GB2312" w:eastAsia="仿宋_GB2312" w:cs="仿宋"/>
          <w:sz w:val="32"/>
          <w:szCs w:val="32"/>
        </w:rPr>
        <w:t>交通委员会</w:t>
      </w:r>
    </w:p>
    <w:p>
      <w:pPr>
        <w:spacing w:line="560" w:lineRule="exact"/>
        <w:ind w:firstLine="640" w:firstLineChars="200"/>
        <w:rPr>
          <w:rFonts w:ascii="仿宋_GB2312" w:eastAsia="仿宋_GB2312" w:cs="仿宋"/>
          <w:sz w:val="32"/>
          <w:szCs w:val="32"/>
        </w:rPr>
      </w:pPr>
      <w:r>
        <w:rPr>
          <w:rFonts w:ascii="仿宋_GB2312" w:eastAsia="仿宋_GB2312" w:cs="仿宋"/>
          <w:sz w:val="32"/>
          <w:szCs w:val="32"/>
        </w:rPr>
        <w:t xml:space="preserve">                                 20</w:t>
      </w:r>
      <w:r>
        <w:rPr>
          <w:rFonts w:hint="eastAsia" w:ascii="仿宋_GB2312" w:eastAsia="仿宋_GB2312" w:cs="仿宋"/>
          <w:sz w:val="32"/>
          <w:szCs w:val="32"/>
        </w:rPr>
        <w:t>24</w:t>
      </w:r>
      <w:r>
        <w:rPr>
          <w:rFonts w:ascii="仿宋_GB2312" w:eastAsia="仿宋_GB2312" w:cs="仿宋"/>
          <w:sz w:val="32"/>
          <w:szCs w:val="32"/>
        </w:rPr>
        <w:t>年1月</w:t>
      </w:r>
      <w:r>
        <w:rPr>
          <w:rFonts w:hint="eastAsia" w:ascii="仿宋_GB2312" w:eastAsia="仿宋_GB2312" w:cs="仿宋"/>
          <w:sz w:val="32"/>
          <w:szCs w:val="32"/>
        </w:rPr>
        <w:t>29</w:t>
      </w:r>
      <w:r>
        <w:rPr>
          <w:rFonts w:ascii="仿宋_GB2312" w:eastAsia="仿宋_GB2312" w:cs="仿宋"/>
          <w:sz w:val="32"/>
          <w:szCs w:val="32"/>
        </w:rPr>
        <w:t>日</w:t>
      </w:r>
    </w:p>
    <w:sectPr>
      <w:footerReference r:id="rId3" w:type="default"/>
      <w:footerReference r:id="rId4" w:type="even"/>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ESI仿宋-GB2312">
    <w:altName w:val="微软雅黑"/>
    <w:panose1 w:val="00000000000000000000"/>
    <w:charset w:val="86"/>
    <w:family w:val="auto"/>
    <w:pitch w:val="default"/>
    <w:sig w:usb0="00000000" w:usb1="00000000" w:usb2="00000010"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pPr>
    <w:r>
      <w:rPr>
        <w:rStyle w:val="9"/>
      </w:rPr>
      <w:fldChar w:fldCharType="begin"/>
    </w:r>
    <w:r>
      <w:rPr>
        <w:rStyle w:val="9"/>
      </w:rPr>
      <w:instrText xml:space="preserve">Page</w:instrText>
    </w:r>
    <w:r>
      <w:rPr>
        <w:rStyle w:val="9"/>
      </w:rPr>
      <w:fldChar w:fldCharType="separate"/>
    </w:r>
    <w:r>
      <w:rPr>
        <w:rStyle w:val="9"/>
      </w:rPr>
      <w:t>2</w:t>
    </w:r>
    <w:r>
      <w:rPr>
        <w:rStyle w:val="9"/>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pPr>
    <w:r>
      <w:rPr>
        <w:rStyle w:val="9"/>
      </w:rPr>
      <w:fldChar w:fldCharType="begin"/>
    </w:r>
    <w:r>
      <w:rPr>
        <w:rStyle w:val="9"/>
      </w:rPr>
      <w:instrText xml:space="preserve">Page</w:instrText>
    </w:r>
    <w:r>
      <w:rPr>
        <w:rStyle w:val="9"/>
      </w:rPr>
      <w:fldChar w:fldCharType="separate"/>
    </w:r>
    <w:r>
      <w:rPr>
        <w:rStyle w:val="9"/>
      </w:rPr>
      <w:t>1</w:t>
    </w:r>
    <w:r>
      <w:rPr>
        <w:rStyle w:val="9"/>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revisionView w:markup="0"/>
  <w:documentProtection w:enforcement="0"/>
  <w:defaultTabStop w:val="420"/>
  <w:drawingGridHorizontalSpacing w:val="105"/>
  <w:drawingGridVerticalSpacing w:val="156"/>
  <w:displayHorizontalDrawingGridEvery w:val="0"/>
  <w:noPunctuationKerning w:val="1"/>
  <w:characterSpacingControl w:val="compressPunctuation"/>
  <w:compat>
    <w:spaceForUL/>
    <w:balanceSingleByteDoubleByteWidth/>
    <w:doNotExpandShiftReturn/>
    <w:adjustLineHeightInTable/>
    <w:growAutofit/>
    <w:useFELayout/>
    <w:doNotUseIndentAsNumberingTabStop/>
    <w:useAltKinsokuLineBreakRules/>
    <w:splitPgBreakAndParaMark/>
    <w:compatSetting w:name="compatibilityMode" w:uri="http://schemas.microsoft.com/office/word" w:val="14"/>
  </w:compat>
  <w:docVars>
    <w:docVar w:name="commondata" w:val="eyJoZGlkIjoiNmQzZTJmYThiYmI3YzcxMWFiYzBiYTNmOWNiN2I1Y2YifQ=="/>
  </w:docVars>
  <w:rsids>
    <w:rsidRoot w:val="007378E8"/>
    <w:rsid w:val="00134FAD"/>
    <w:rsid w:val="00135E65"/>
    <w:rsid w:val="001871A0"/>
    <w:rsid w:val="002071B2"/>
    <w:rsid w:val="0023180B"/>
    <w:rsid w:val="0031619D"/>
    <w:rsid w:val="003A3CB3"/>
    <w:rsid w:val="003C1410"/>
    <w:rsid w:val="004E5921"/>
    <w:rsid w:val="005C7C76"/>
    <w:rsid w:val="006B3D6C"/>
    <w:rsid w:val="006B7CBD"/>
    <w:rsid w:val="006B7D61"/>
    <w:rsid w:val="007378E8"/>
    <w:rsid w:val="00760091"/>
    <w:rsid w:val="00760DDA"/>
    <w:rsid w:val="007F0E7D"/>
    <w:rsid w:val="00860B14"/>
    <w:rsid w:val="008F7E9A"/>
    <w:rsid w:val="00930B4B"/>
    <w:rsid w:val="00A8686F"/>
    <w:rsid w:val="00AE3029"/>
    <w:rsid w:val="00C97A84"/>
    <w:rsid w:val="00D010A6"/>
    <w:rsid w:val="00D12E2D"/>
    <w:rsid w:val="00D12EAE"/>
    <w:rsid w:val="00E21090"/>
    <w:rsid w:val="00E223B3"/>
    <w:rsid w:val="00F319EF"/>
    <w:rsid w:val="00F63313"/>
    <w:rsid w:val="00FD7877"/>
    <w:rsid w:val="00FE690F"/>
    <w:rsid w:val="02CD50D6"/>
    <w:rsid w:val="060B4B95"/>
    <w:rsid w:val="08F22F5D"/>
    <w:rsid w:val="0A4C1B17"/>
    <w:rsid w:val="0B7C27CB"/>
    <w:rsid w:val="19007365"/>
    <w:rsid w:val="2B2A33B3"/>
    <w:rsid w:val="390358E3"/>
    <w:rsid w:val="3FEC18B5"/>
    <w:rsid w:val="424C5CAA"/>
    <w:rsid w:val="49E51301"/>
    <w:rsid w:val="520874C6"/>
    <w:rsid w:val="5581434E"/>
    <w:rsid w:val="5B431799"/>
    <w:rsid w:val="612D4444"/>
    <w:rsid w:val="6B3741EC"/>
    <w:rsid w:val="6D70286F"/>
    <w:rsid w:val="6FB37C0A"/>
    <w:rsid w:val="EBF6B6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Arial"/>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1"/>
    <w:autoRedefine/>
    <w:semiHidden/>
    <w:unhideWhenUsed/>
    <w:qFormat/>
    <w:uiPriority w:val="99"/>
    <w:rPr>
      <w:sz w:val="18"/>
      <w:szCs w:val="18"/>
    </w:rPr>
  </w:style>
  <w:style w:type="paragraph" w:styleId="3">
    <w:name w:val="footer"/>
    <w:basedOn w:val="1"/>
    <w:autoRedefine/>
    <w:qFormat/>
    <w:uiPriority w:val="0"/>
    <w:pPr>
      <w:tabs>
        <w:tab w:val="center" w:pos="4153"/>
        <w:tab w:val="right" w:pos="8306"/>
      </w:tabs>
      <w:snapToGrid w:val="0"/>
      <w:jc w:val="left"/>
    </w:pPr>
    <w:rPr>
      <w:sz w:val="18"/>
      <w:szCs w:val="18"/>
    </w:rPr>
  </w:style>
  <w:style w:type="paragraph" w:styleId="4">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autoRedefine/>
    <w:qFormat/>
    <w:uiPriority w:val="0"/>
    <w:pPr>
      <w:spacing w:beforeAutospacing="1" w:afterAutospacing="1"/>
      <w:jc w:val="left"/>
    </w:pPr>
    <w:rPr>
      <w:rFonts w:cs="Times New Roman"/>
      <w:kern w:val="0"/>
      <w:sz w:val="24"/>
    </w:rPr>
  </w:style>
  <w:style w:type="character" w:styleId="8">
    <w:name w:val="Strong"/>
    <w:basedOn w:val="7"/>
    <w:autoRedefine/>
    <w:qFormat/>
    <w:uiPriority w:val="0"/>
    <w:rPr>
      <w:b/>
    </w:rPr>
  </w:style>
  <w:style w:type="character" w:styleId="9">
    <w:name w:val="page number"/>
    <w:basedOn w:val="7"/>
    <w:autoRedefine/>
    <w:qFormat/>
    <w:uiPriority w:val="0"/>
  </w:style>
  <w:style w:type="paragraph" w:styleId="10">
    <w:name w:val="List Paragraph"/>
    <w:basedOn w:val="1"/>
    <w:autoRedefine/>
    <w:unhideWhenUsed/>
    <w:qFormat/>
    <w:uiPriority w:val="99"/>
    <w:pPr>
      <w:ind w:firstLine="420" w:firstLineChars="200"/>
    </w:pPr>
  </w:style>
  <w:style w:type="character" w:customStyle="1" w:styleId="11">
    <w:name w:val="批注框文本 Char"/>
    <w:basedOn w:val="7"/>
    <w:link w:val="2"/>
    <w:autoRedefine/>
    <w:semiHidden/>
    <w:qFormat/>
    <w:uiPriority w:val="99"/>
    <w:rPr>
      <w:rFonts w:ascii="Calibri" w:hAnsi="Calibri" w:cs="Arial"/>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2</Pages>
  <Words>182</Words>
  <Characters>1043</Characters>
  <Lines>8</Lines>
  <Paragraphs>2</Paragraphs>
  <TotalTime>8</TotalTime>
  <ScaleCrop>false</ScaleCrop>
  <LinksUpToDate>false</LinksUpToDate>
  <CharactersWithSpaces>1223</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2020-12-28T10:31:00Z</dcterms:created>
  <dc:creator>jtj1709</dc:creator>
  <cp:lastModifiedBy>高妹纸</cp:lastModifiedBy>
  <cp:lastPrinted>2024-01-29T06:26:00Z</cp:lastPrinted>
  <dcterms:modified xsi:type="dcterms:W3CDTF">2024-01-29T07:13:55Z</dcterms:modified>
  <dc:title>昌平区交通局行政执法统计年报</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38532009C35A4F77919296F1018402C0_12</vt:lpwstr>
  </property>
</Properties>
</file>