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highlight w:val="yellow"/>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（一）本单位性质、职责等情况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北京市交通委员会大兴公路分局是北京市交通委员会的派出机构。主要职责是：</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1.贯彻执行国家、本市关于公路行政管理方面的法律法规、规章和政策。参与拟订本市公路行业的规范性文件、政策措施及有关公路行业标准和技术规范。参与本市公路行业改革与发展中重大问题的调查研究。</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2.负责本行政区市管普通公路行政审批工作。负责本行政区公路管理领域事中事后监管工作。</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3.参与编制本行政区公路规划。参与本行政区建设项目交通影响评价审查。研究编制本行政区市管普通公路年度建设与养护建议计划，并组织实施。</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4.负责本行政区公路建设和养护的行业管理。负责市管普通公路建设和养护工程质量安全的监督管理。负责本行政区市管公路设施安全的监督管理。</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5.负责本行政区公路路网管理和运行监测工作。</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6.负责本行政区市管普通公路及其附属设施的应急管理。组织开展本行政区市管普通公路防汛抢险、铲冰除雪等工作。</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7.负责本行政区乡村公路建设与养护管理的行业指导。</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8.承担本单位接诉即办工作。</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9.配合开展宣传报道工作。</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10.完成市交通委交办的其他任务。</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（二）机构设置情况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根据《北京市交通委员会职能配置、内设机构、人员编制的规定》（京办字[2019]47号），设立北京市交通委员会大兴公路分局。内设11个科室，分别为：办公室、法制科、规划计划科、工程管理科、养护管理科、路网服务与科技科、安全质量监管与应急科、乡村公路管理科、财务科、党群工作科、人事科。</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61056.68</w:t>
      </w:r>
      <w:r>
        <w:rPr>
          <w:rFonts w:hint="eastAsia" w:ascii="仿宋_GB2312" w:eastAsia="仿宋_GB2312"/>
          <w:sz w:val="28"/>
          <w:szCs w:val="28"/>
        </w:rPr>
        <w:t>万元，比上年减少1330.02万元，下降2.13%。</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59367.04</w:t>
      </w:r>
      <w:r>
        <w:rPr>
          <w:rFonts w:hint="eastAsia" w:ascii="仿宋_GB2312" w:eastAsia="仿宋_GB2312"/>
          <w:sz w:val="28"/>
          <w:szCs w:val="28"/>
        </w:rPr>
        <w:t>万元，比上年减少3007.43万元，下降4.82%。</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59365.51</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55865.51</w:t>
      </w:r>
      <w:r>
        <w:rPr>
          <w:rFonts w:hint="eastAsia" w:ascii="仿宋_GB2312" w:eastAsia="仿宋_GB2312"/>
          <w:sz w:val="28"/>
          <w:szCs w:val="28"/>
        </w:rPr>
        <w:t>万元，占收入合计的</w:t>
      </w:r>
      <w:r>
        <w:rPr>
          <w:rFonts w:hint="eastAsia" w:ascii="仿宋_GB2312" w:eastAsia="仿宋_GB2312"/>
          <w:sz w:val="28"/>
          <w:szCs w:val="28"/>
          <w:lang w:eastAsia="zh-CN"/>
        </w:rPr>
        <w:t>94.1</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3500</w:t>
      </w:r>
      <w:r>
        <w:rPr>
          <w:rFonts w:hint="eastAsia" w:ascii="仿宋_GB2312" w:eastAsia="仿宋_GB2312"/>
          <w:sz w:val="28"/>
          <w:szCs w:val="28"/>
        </w:rPr>
        <w:t>万元，占收入合计的</w:t>
      </w:r>
      <w:r>
        <w:rPr>
          <w:rFonts w:hint="eastAsia" w:ascii="仿宋_GB2312" w:eastAsia="仿宋_GB2312"/>
          <w:sz w:val="28"/>
          <w:szCs w:val="28"/>
          <w:lang w:eastAsia="zh-CN"/>
        </w:rPr>
        <w:t>5.9</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1.53</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114300" distR="114300">
            <wp:extent cx="3587750" cy="2288540"/>
            <wp:effectExtent l="5080" t="4445" r="7620" b="1206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56510.24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4171.10</w:t>
      </w:r>
      <w:r>
        <w:rPr>
          <w:rFonts w:hint="eastAsia" w:ascii="仿宋_GB2312" w:eastAsia="仿宋_GB2312"/>
          <w:sz w:val="28"/>
          <w:szCs w:val="28"/>
        </w:rPr>
        <w:t>万元，下降</w:t>
      </w:r>
      <w:r>
        <w:rPr>
          <w:rFonts w:hint="eastAsia" w:ascii="仿宋_GB2312" w:eastAsia="仿宋_GB2312"/>
          <w:sz w:val="28"/>
          <w:szCs w:val="28"/>
          <w:lang w:val="en-US" w:eastAsia="zh-CN"/>
        </w:rPr>
        <w:t>6.87</w:t>
      </w:r>
      <w:r>
        <w:rPr>
          <w:rFonts w:hint="eastAsia" w:ascii="仿宋_GB2312" w:eastAsia="仿宋_GB2312"/>
          <w:sz w:val="28"/>
          <w:szCs w:val="28"/>
        </w:rPr>
        <w:t>%，其中：基本支出</w:t>
      </w:r>
      <w:r>
        <w:rPr>
          <w:rFonts w:ascii="仿宋_GB2312" w:eastAsia="仿宋_GB2312"/>
          <w:sz w:val="28"/>
          <w:szCs w:val="28"/>
        </w:rPr>
        <w:t>2272.31</w:t>
      </w:r>
      <w:r>
        <w:rPr>
          <w:rFonts w:hint="eastAsia" w:ascii="仿宋_GB2312" w:eastAsia="仿宋_GB2312"/>
          <w:sz w:val="28"/>
          <w:szCs w:val="28"/>
        </w:rPr>
        <w:t>万元，占支出合计的</w:t>
      </w:r>
      <w:r>
        <w:rPr>
          <w:rFonts w:hint="eastAsia" w:ascii="仿宋_GB2312" w:eastAsia="仿宋_GB2312"/>
          <w:sz w:val="28"/>
          <w:szCs w:val="28"/>
          <w:lang w:eastAsia="zh-CN"/>
        </w:rPr>
        <w:t>4.02</w:t>
      </w:r>
      <w:r>
        <w:rPr>
          <w:rFonts w:hint="eastAsia" w:ascii="仿宋_GB2312" w:eastAsia="仿宋_GB2312"/>
          <w:sz w:val="28"/>
          <w:szCs w:val="28"/>
        </w:rPr>
        <w:t>%；项目支出</w:t>
      </w:r>
      <w:r>
        <w:rPr>
          <w:rFonts w:ascii="仿宋_GB2312" w:eastAsia="仿宋_GB2312"/>
          <w:sz w:val="28"/>
          <w:szCs w:val="28"/>
        </w:rPr>
        <w:t>54237.93</w:t>
      </w:r>
      <w:r>
        <w:rPr>
          <w:rFonts w:hint="eastAsia" w:ascii="仿宋_GB2312" w:eastAsia="仿宋_GB2312"/>
          <w:sz w:val="28"/>
          <w:szCs w:val="28"/>
        </w:rPr>
        <w:t>万元，占支出合计的</w:t>
      </w:r>
      <w:r>
        <w:rPr>
          <w:rFonts w:hint="eastAsia" w:ascii="仿宋_GB2312" w:eastAsia="仿宋_GB2312"/>
          <w:sz w:val="28"/>
          <w:szCs w:val="28"/>
          <w:lang w:eastAsia="zh-CN"/>
        </w:rPr>
        <w:t>95.98</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3590925" cy="2152650"/>
            <wp:effectExtent l="0" t="0" r="0" b="0"/>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61051.96</w:t>
      </w:r>
      <w:r>
        <w:rPr>
          <w:rFonts w:hint="eastAsia" w:ascii="仿宋_GB2312" w:eastAsia="仿宋_GB2312"/>
          <w:sz w:val="28"/>
          <w:szCs w:val="28"/>
        </w:rPr>
        <w:t>万元，比上年减少</w:t>
      </w:r>
      <w:r>
        <w:rPr>
          <w:rFonts w:hint="eastAsia" w:ascii="仿宋_GB2312" w:eastAsia="仿宋_GB2312"/>
          <w:sz w:val="28"/>
          <w:szCs w:val="28"/>
          <w:lang w:val="en-US" w:eastAsia="zh-CN"/>
        </w:rPr>
        <w:t>1303.41</w:t>
      </w:r>
      <w:r>
        <w:rPr>
          <w:rFonts w:hint="eastAsia" w:ascii="仿宋_GB2312" w:eastAsia="仿宋_GB2312"/>
          <w:sz w:val="28"/>
          <w:szCs w:val="28"/>
        </w:rPr>
        <w:t>万元，下降</w:t>
      </w:r>
      <w:r>
        <w:rPr>
          <w:rFonts w:hint="eastAsia" w:ascii="仿宋_GB2312" w:eastAsia="仿宋_GB2312"/>
          <w:sz w:val="28"/>
          <w:szCs w:val="28"/>
          <w:lang w:val="en-US" w:eastAsia="zh-CN"/>
        </w:rPr>
        <w:t>2.09%</w:t>
      </w:r>
      <w:r>
        <w:rPr>
          <w:rFonts w:hint="eastAsia" w:ascii="仿宋_GB2312" w:eastAsia="仿宋_GB2312"/>
          <w:sz w:val="28"/>
          <w:szCs w:val="28"/>
        </w:rPr>
        <w:t>。主要原因：</w:t>
      </w:r>
      <w:r>
        <w:rPr>
          <w:rFonts w:hint="eastAsia" w:ascii="仿宋_GB2312" w:eastAsia="仿宋_GB2312"/>
          <w:sz w:val="28"/>
          <w:szCs w:val="28"/>
          <w:highlight w:val="none"/>
        </w:rPr>
        <w:t>新改建项目工程量较上年</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rPr>
        <w:t>，使用财政拨款</w:t>
      </w:r>
      <w:r>
        <w:rPr>
          <w:rFonts w:hint="eastAsia" w:ascii="仿宋_GB2312" w:eastAsia="仿宋_GB2312"/>
          <w:sz w:val="28"/>
          <w:szCs w:val="28"/>
          <w:highlight w:val="none"/>
          <w:lang w:eastAsia="zh-CN"/>
        </w:rPr>
        <w:t>减少。</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56455.59</w:t>
      </w:r>
      <w:r>
        <w:rPr>
          <w:rFonts w:hint="eastAsia" w:ascii="仿宋_GB2312" w:eastAsia="仿宋_GB2312"/>
          <w:sz w:val="28"/>
          <w:szCs w:val="28"/>
        </w:rPr>
        <w:t>万元，主要用于以下方面：</w:t>
      </w:r>
      <w:r>
        <w:rPr>
          <w:rFonts w:hint="eastAsia" w:ascii="仿宋_GB2312" w:eastAsia="仿宋_GB2312"/>
          <w:sz w:val="28"/>
          <w:szCs w:val="28"/>
          <w:lang w:eastAsia="zh-CN"/>
        </w:rPr>
        <w:t>教育支出4.82万元，占本年财政拨款支出0.01%；社会保障和就业支出237.05万元，占本年财政拨款支出0.42%；卫生健康支出170.15万元，占本年财政拨款支出0.30%；</w:t>
      </w:r>
      <w:r>
        <w:rPr>
          <w:rFonts w:hint="eastAsia" w:ascii="仿宋_GB2312" w:eastAsia="仿宋_GB2312"/>
          <w:sz w:val="28"/>
          <w:szCs w:val="28"/>
          <w:highlight w:val="none"/>
          <w:lang w:eastAsia="zh-CN"/>
        </w:rPr>
        <w:t>交通运输支出56043.5</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lang w:eastAsia="zh-CN"/>
        </w:rPr>
        <w:t>万元</w:t>
      </w:r>
      <w:r>
        <w:rPr>
          <w:rFonts w:hint="eastAsia" w:ascii="仿宋_GB2312" w:eastAsia="仿宋_GB2312"/>
          <w:sz w:val="28"/>
          <w:szCs w:val="28"/>
          <w:lang w:eastAsia="zh-CN"/>
        </w:rPr>
        <w:t>，占本年财政拨款支出99.27%</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pPr>
        <w:pStyle w:val="3"/>
        <w:numPr>
          <w:ilvl w:val="0"/>
          <w:numId w:val="1"/>
        </w:numPr>
        <w:rPr>
          <w:rFonts w:hint="eastAsia" w:ascii="仿宋_GB2312" w:eastAsia="仿宋_GB2312"/>
          <w:sz w:val="28"/>
          <w:szCs w:val="28"/>
          <w:highlight w:val="none"/>
        </w:rPr>
      </w:pPr>
      <w:r>
        <w:rPr>
          <w:rFonts w:hint="eastAsia" w:ascii="仿宋_GB2312" w:eastAsia="仿宋_GB2312"/>
          <w:sz w:val="28"/>
          <w:szCs w:val="28"/>
          <w:highlight w:val="none"/>
        </w:rPr>
        <w:t>“教育支出”202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5.80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年度决算4.82万元，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83.10</w:t>
      </w:r>
      <w:r>
        <w:rPr>
          <w:rFonts w:hint="eastAsia" w:ascii="仿宋_GB2312" w:eastAsia="仿宋_GB2312"/>
          <w:sz w:val="28"/>
          <w:szCs w:val="28"/>
          <w:highlight w:val="none"/>
        </w:rPr>
        <w:t>%。其中：</w:t>
      </w:r>
    </w:p>
    <w:p>
      <w:pPr>
        <w:pStyle w:val="3"/>
        <w:rPr>
          <w:rFonts w:hint="eastAsia" w:ascii="仿宋_GB2312" w:eastAsia="仿宋_GB2312"/>
          <w:sz w:val="28"/>
          <w:szCs w:val="28"/>
          <w:highlight w:val="none"/>
        </w:rPr>
      </w:pPr>
      <w:r>
        <w:rPr>
          <w:rFonts w:hint="eastAsia" w:ascii="仿宋_GB2312" w:eastAsia="仿宋_GB2312"/>
          <w:sz w:val="28"/>
          <w:szCs w:val="28"/>
          <w:highlight w:val="none"/>
        </w:rPr>
        <w:t>“进修及培训”202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5.80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年度决算4.82万元，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83.10</w:t>
      </w:r>
      <w:r>
        <w:rPr>
          <w:rFonts w:hint="eastAsia" w:ascii="仿宋_GB2312" w:eastAsia="仿宋_GB2312"/>
          <w:sz w:val="28"/>
          <w:szCs w:val="28"/>
          <w:highlight w:val="none"/>
        </w:rPr>
        <w:t>%。主要原因：根据本年度培训计划组织培训，在预算执行过程中根据实际情况安排支出。</w:t>
      </w:r>
    </w:p>
    <w:p>
      <w:pPr>
        <w:pStyle w:val="3"/>
        <w:rPr>
          <w:rFonts w:hint="eastAsia" w:ascii="仿宋_GB2312" w:eastAsia="仿宋_GB2312"/>
          <w:sz w:val="28"/>
          <w:szCs w:val="28"/>
          <w:highlight w:val="none"/>
        </w:rPr>
      </w:pPr>
      <w:r>
        <w:rPr>
          <w:rFonts w:hint="eastAsia" w:ascii="仿宋_GB2312" w:eastAsia="仿宋_GB2312"/>
          <w:sz w:val="28"/>
          <w:szCs w:val="28"/>
          <w:highlight w:val="none"/>
        </w:rPr>
        <w:t>2、“社会保障和就业支出”202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236.78</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237.05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100.11%</w:t>
      </w:r>
      <w:r>
        <w:rPr>
          <w:rFonts w:hint="eastAsia" w:ascii="仿宋_GB2312" w:eastAsia="仿宋_GB2312"/>
          <w:sz w:val="28"/>
          <w:szCs w:val="28"/>
          <w:highlight w:val="none"/>
        </w:rPr>
        <w:t>。其中：</w:t>
      </w:r>
    </w:p>
    <w:p>
      <w:pPr>
        <w:pStyle w:val="3"/>
        <w:rPr>
          <w:rFonts w:hint="eastAsia" w:ascii="仿宋_GB2312" w:eastAsia="仿宋_GB2312"/>
          <w:sz w:val="28"/>
          <w:szCs w:val="28"/>
          <w:highlight w:val="none"/>
        </w:rPr>
      </w:pPr>
      <w:r>
        <w:rPr>
          <w:rFonts w:hint="eastAsia" w:ascii="仿宋_GB2312" w:eastAsia="仿宋_GB2312"/>
          <w:sz w:val="28"/>
          <w:szCs w:val="28"/>
          <w:highlight w:val="none"/>
        </w:rPr>
        <w:t>“行政事业单位养老支出” 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236.78</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237.05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100.11%</w:t>
      </w:r>
      <w:r>
        <w:rPr>
          <w:rFonts w:hint="eastAsia" w:ascii="仿宋_GB2312" w:eastAsia="仿宋_GB2312"/>
          <w:sz w:val="28"/>
          <w:szCs w:val="28"/>
          <w:highlight w:val="none"/>
        </w:rPr>
        <w:t>。主要原因：执行全市统一养老保险和职业年金缴费政策，在预算执行过程中根据实际情况安排支出。</w:t>
      </w:r>
    </w:p>
    <w:p>
      <w:pPr>
        <w:pStyle w:val="3"/>
        <w:rPr>
          <w:rFonts w:hint="eastAsia" w:ascii="仿宋_GB2312" w:eastAsia="仿宋_GB2312"/>
          <w:sz w:val="28"/>
          <w:szCs w:val="28"/>
          <w:highlight w:val="none"/>
        </w:rPr>
      </w:pPr>
      <w:r>
        <w:rPr>
          <w:rFonts w:hint="eastAsia" w:ascii="仿宋_GB2312" w:eastAsia="仿宋_GB2312"/>
          <w:sz w:val="28"/>
          <w:szCs w:val="28"/>
          <w:highlight w:val="none"/>
        </w:rPr>
        <w:t>3、“卫生健康支出”2024年度年初预算170.15万元，2024年度决算170.15万元，完成年初预算的100%。其中：</w:t>
      </w:r>
    </w:p>
    <w:p>
      <w:pPr>
        <w:pStyle w:val="3"/>
        <w:rPr>
          <w:rFonts w:hint="eastAsia" w:ascii="仿宋_GB2312" w:eastAsia="仿宋_GB2312"/>
          <w:sz w:val="28"/>
          <w:szCs w:val="28"/>
          <w:highlight w:val="none"/>
        </w:rPr>
      </w:pPr>
      <w:r>
        <w:rPr>
          <w:rFonts w:hint="eastAsia" w:ascii="仿宋_GB2312" w:eastAsia="仿宋_GB2312"/>
          <w:sz w:val="28"/>
          <w:szCs w:val="28"/>
          <w:highlight w:val="none"/>
        </w:rPr>
        <w:t>“行政事业单位医疗”202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170.15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170.15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p>
    <w:p>
      <w:pPr>
        <w:pStyle w:val="3"/>
        <w:rPr>
          <w:rFonts w:hint="eastAsia" w:ascii="仿宋_GB2312" w:eastAsia="仿宋_GB2312"/>
          <w:sz w:val="28"/>
          <w:szCs w:val="28"/>
          <w:highlight w:val="none"/>
        </w:rPr>
      </w:pPr>
      <w:r>
        <w:rPr>
          <w:rFonts w:hint="eastAsia" w:ascii="仿宋_GB2312" w:eastAsia="仿宋_GB2312"/>
          <w:sz w:val="28"/>
          <w:szCs w:val="28"/>
          <w:highlight w:val="none"/>
        </w:rPr>
        <w:t>4、“交通运输支出”202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43092.39</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年度决算56043.57万元，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130.05</w:t>
      </w:r>
      <w:r>
        <w:rPr>
          <w:rFonts w:hint="eastAsia" w:ascii="仿宋_GB2312" w:eastAsia="仿宋_GB2312"/>
          <w:sz w:val="28"/>
          <w:szCs w:val="28"/>
          <w:highlight w:val="none"/>
        </w:rPr>
        <w:t>%。其中：</w:t>
      </w:r>
    </w:p>
    <w:p>
      <w:pPr>
        <w:pStyle w:val="3"/>
        <w:rPr>
          <w:rFonts w:hint="eastAsia" w:eastAsia="仿宋_GB2312"/>
          <w:highlight w:val="none"/>
          <w:lang w:eastAsia="zh-CN"/>
        </w:rPr>
      </w:pPr>
      <w:r>
        <w:rPr>
          <w:rFonts w:hint="eastAsia" w:ascii="仿宋_GB2312" w:eastAsia="仿宋_GB2312"/>
          <w:sz w:val="28"/>
          <w:szCs w:val="28"/>
          <w:highlight w:val="none"/>
        </w:rPr>
        <w:t>“公路水路运输”202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43092.39</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年度决算56043.57万元，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130.05</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安排支持用于马朱路、黄马路等大修工程以及国道230（G104-九德路）等新改建工程。</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53.65</w:t>
      </w:r>
      <w:r>
        <w:rPr>
          <w:rFonts w:hint="eastAsia" w:ascii="仿宋_GB2312" w:eastAsia="仿宋_GB2312"/>
          <w:sz w:val="28"/>
          <w:szCs w:val="28"/>
        </w:rPr>
        <w:t>万元，主要用于以下方面（按大类）：城乡社区支出</w:t>
      </w:r>
      <w:r>
        <w:rPr>
          <w:rFonts w:ascii="仿宋_GB2312" w:eastAsia="仿宋_GB2312"/>
          <w:sz w:val="28"/>
          <w:szCs w:val="28"/>
        </w:rPr>
        <w:t>53.65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0.09</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highlight w:val="none"/>
        </w:rPr>
      </w:pPr>
      <w:r>
        <w:rPr>
          <w:rFonts w:hint="eastAsia" w:ascii="仿宋_GB2312" w:eastAsia="仿宋_GB2312"/>
          <w:sz w:val="28"/>
          <w:szCs w:val="28"/>
          <w:highlight w:val="none"/>
        </w:rPr>
        <w:t>1、“城乡社区支出”（类，下同）202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53.65</w:t>
      </w:r>
      <w:r>
        <w:rPr>
          <w:rFonts w:hint="eastAsia" w:ascii="仿宋_GB2312" w:eastAsia="仿宋_GB2312"/>
          <w:sz w:val="28"/>
          <w:szCs w:val="28"/>
          <w:highlight w:val="none"/>
        </w:rPr>
        <w:t>万元。其中：</w:t>
      </w:r>
    </w:p>
    <w:p>
      <w:pPr>
        <w:spacing w:line="580" w:lineRule="exact"/>
        <w:ind w:firstLine="560" w:firstLineChars="200"/>
        <w:rPr>
          <w:highlight w:val="none"/>
        </w:rPr>
      </w:pPr>
      <w:r>
        <w:rPr>
          <w:rFonts w:hint="eastAsia" w:ascii="仿宋_GB2312" w:eastAsia="仿宋_GB2312"/>
          <w:sz w:val="28"/>
          <w:szCs w:val="28"/>
          <w:highlight w:val="none"/>
        </w:rPr>
        <w:t>“国有土地使用权出让收入安排的支出”202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53.65</w:t>
      </w:r>
      <w:r>
        <w:rPr>
          <w:rFonts w:hint="eastAsia" w:ascii="仿宋_GB2312" w:eastAsia="仿宋_GB2312"/>
          <w:sz w:val="28"/>
          <w:szCs w:val="28"/>
          <w:highlight w:val="none"/>
        </w:rPr>
        <w:t>万元。主要原因：大兴国道230（长周路-西韩路）道路工程（固投）项目年内收到市发展改革委的基本建设资金</w:t>
      </w:r>
      <w:r>
        <w:rPr>
          <w:rFonts w:hint="eastAsia" w:ascii="仿宋_GB2312" w:eastAsia="仿宋_GB2312"/>
          <w:sz w:val="28"/>
          <w:szCs w:val="28"/>
          <w:highlight w:val="none"/>
          <w:lang w:eastAsia="zh-CN"/>
        </w:rPr>
        <w:t>，年内支出</w:t>
      </w:r>
      <w:r>
        <w:rPr>
          <w:rFonts w:hint="eastAsia" w:ascii="仿宋_GB2312" w:eastAsia="仿宋_GB2312"/>
          <w:sz w:val="28"/>
          <w:szCs w:val="28"/>
          <w:highlight w:val="none"/>
          <w:lang w:val="en-US" w:eastAsia="zh-CN"/>
        </w:rPr>
        <w:t>53.65</w:t>
      </w:r>
      <w:r>
        <w:rPr>
          <w:rFonts w:hint="eastAsia" w:ascii="仿宋_GB2312" w:eastAsia="仿宋_GB2312"/>
          <w:sz w:val="28"/>
          <w:szCs w:val="28"/>
          <w:highlight w:val="none"/>
        </w:rPr>
        <w:t>万元。</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bookmarkStart w:id="0" w:name="_GoBack"/>
      <w:bookmarkEnd w:id="0"/>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color w:val="FF0000"/>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2271.31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办公费、印刷费、咨询费、手续费、水费、电费、邮电费、取暖费、物业管理费、差旅费、维修（护）费、会议费、培训费</w:t>
      </w:r>
      <w:r>
        <w:rPr>
          <w:rFonts w:ascii="仿宋_GB2312" w:eastAsia="仿宋_GB2312"/>
          <w:color w:val="000000" w:themeColor="text1"/>
          <w:sz w:val="28"/>
          <w:szCs w:val="28"/>
          <w14:textFill>
            <w14:solidFill>
              <w14:schemeClr w14:val="tx1"/>
            </w14:solidFill>
          </w14:textFill>
        </w:rPr>
        <w:t>、委托业务费、工会经费、福利费、公务用车运行维护费</w:t>
      </w:r>
      <w:r>
        <w:rPr>
          <w:rFonts w:ascii="仿宋_GB2312" w:eastAsia="仿宋_GB2312"/>
          <w:sz w:val="28"/>
          <w:szCs w:val="28"/>
        </w:rPr>
        <w:t>、其他交通费、其他商品和服务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pPr>
        <w:rPr>
          <w:rFonts w:hint="eastAsia"/>
        </w:rPr>
      </w:pP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2.01</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2.1</w:t>
      </w:r>
      <w:r>
        <w:rPr>
          <w:rFonts w:hint="eastAsia" w:ascii="仿宋_GB2312" w:eastAsia="仿宋_GB2312"/>
          <w:sz w:val="28"/>
          <w:szCs w:val="28"/>
          <w:lang w:val="en-US" w:eastAsia="zh-CN"/>
        </w:rPr>
        <w:t>0</w:t>
      </w:r>
      <w:r>
        <w:rPr>
          <w:rFonts w:hint="eastAsia" w:ascii="仿宋_GB2312" w:eastAsia="仿宋_GB2312"/>
          <w:sz w:val="28"/>
          <w:szCs w:val="28"/>
        </w:rPr>
        <w:t>万元减少</w:t>
      </w:r>
      <w:r>
        <w:rPr>
          <w:rFonts w:ascii="仿宋_GB2312" w:eastAsia="仿宋_GB2312"/>
          <w:sz w:val="28"/>
          <w:szCs w:val="28"/>
        </w:rPr>
        <w:t>0.09</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万元，本年度无此项经费。</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万元，本年度无此项经费。</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2.01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2.1</w:t>
      </w:r>
      <w:r>
        <w:rPr>
          <w:rFonts w:hint="eastAsia" w:ascii="仿宋_GB2312" w:eastAsia="仿宋_GB2312"/>
          <w:sz w:val="28"/>
          <w:szCs w:val="28"/>
        </w:rPr>
        <w:t>万元减少</w:t>
      </w:r>
      <w:r>
        <w:rPr>
          <w:rFonts w:ascii="仿宋_GB2312" w:eastAsia="仿宋_GB2312"/>
          <w:sz w:val="28"/>
          <w:szCs w:val="28"/>
        </w:rPr>
        <w:t>0.09</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万元，本年度无此项经</w:t>
      </w:r>
      <w:r>
        <w:rPr>
          <w:rFonts w:hint="eastAsia" w:ascii="仿宋_GB2312" w:eastAsia="仿宋_GB2312"/>
          <w:sz w:val="28"/>
          <w:szCs w:val="28"/>
          <w:highlight w:val="none"/>
        </w:rPr>
        <w:t>费。公务用车运行维护费202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2.01</w:t>
      </w:r>
      <w:r>
        <w:rPr>
          <w:rFonts w:hint="eastAsia" w:ascii="仿宋_GB2312" w:eastAsia="仿宋_GB2312"/>
          <w:sz w:val="28"/>
          <w:szCs w:val="28"/>
          <w:highlight w:val="none"/>
        </w:rPr>
        <w:t>万元，主要原因：我单位加强公务用车管理，从严从实规范公务用车使用审批，严格控制公务车辆运行费用。202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年度公务用车保有量</w:t>
      </w:r>
      <w:r>
        <w:rPr>
          <w:rFonts w:ascii="仿宋_GB2312" w:eastAsia="仿宋_GB2312"/>
          <w:sz w:val="28"/>
          <w:szCs w:val="28"/>
          <w:highlight w:val="none"/>
        </w:rPr>
        <w:t>4</w:t>
      </w:r>
      <w:r>
        <w:rPr>
          <w:rFonts w:hint="eastAsia" w:ascii="仿宋_GB2312" w:eastAsia="仿宋_GB2312"/>
          <w:sz w:val="28"/>
          <w:szCs w:val="28"/>
          <w:highlight w:val="none"/>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315.65</w:t>
      </w:r>
      <w:r>
        <w:rPr>
          <w:rFonts w:hint="eastAsia" w:ascii="仿宋_GB2312" w:eastAsia="仿宋_GB2312"/>
          <w:sz w:val="28"/>
          <w:szCs w:val="28"/>
        </w:rPr>
        <w:t>万元，比上年减少</w:t>
      </w:r>
      <w:r>
        <w:rPr>
          <w:rFonts w:hint="eastAsia" w:ascii="仿宋_GB2312" w:eastAsia="仿宋_GB2312"/>
          <w:sz w:val="28"/>
          <w:szCs w:val="28"/>
          <w:lang w:val="en-US" w:eastAsia="zh-CN"/>
        </w:rPr>
        <w:t>0.07</w:t>
      </w:r>
      <w:r>
        <w:rPr>
          <w:rFonts w:hint="eastAsia" w:ascii="仿宋_GB2312" w:eastAsia="仿宋_GB2312"/>
          <w:sz w:val="28"/>
          <w:szCs w:val="28"/>
        </w:rPr>
        <w:t>万元，减少原因：</w:t>
      </w:r>
      <w:r>
        <w:rPr>
          <w:rFonts w:hint="eastAsia" w:ascii="仿宋_GB2312" w:eastAsia="仿宋_GB2312"/>
          <w:sz w:val="28"/>
          <w:szCs w:val="28"/>
          <w:lang w:eastAsia="zh-CN"/>
        </w:rPr>
        <w:t>我单位厉行</w:t>
      </w:r>
      <w:r>
        <w:rPr>
          <w:rFonts w:hint="eastAsia" w:ascii="仿宋_GB2312" w:eastAsia="仿宋_GB2312"/>
          <w:sz w:val="28"/>
          <w:szCs w:val="28"/>
          <w:highlight w:val="none"/>
          <w:lang w:eastAsia="zh-CN"/>
        </w:rPr>
        <w:t>节约</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严格控制各项公用经费支出</w:t>
      </w:r>
      <w:r>
        <w:rPr>
          <w:rFonts w:hint="eastAsia" w:ascii="仿宋_GB2312" w:eastAsia="仿宋_GB2312"/>
          <w:sz w:val="28"/>
          <w:szCs w:val="28"/>
          <w:highlight w:val="none"/>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143.29</w:t>
      </w:r>
      <w:r>
        <w:rPr>
          <w:rFonts w:hint="eastAsia" w:ascii="仿宋_GB2312" w:eastAsia="仿宋_GB2312"/>
          <w:sz w:val="28"/>
          <w:szCs w:val="28"/>
        </w:rPr>
        <w:t>万元，其中：政府采购货物支出</w:t>
      </w:r>
      <w:r>
        <w:rPr>
          <w:rFonts w:ascii="仿宋_GB2312" w:eastAsia="仿宋_GB2312"/>
          <w:sz w:val="28"/>
          <w:szCs w:val="28"/>
        </w:rPr>
        <w:t>0.65</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142.64</w:t>
      </w:r>
      <w:r>
        <w:rPr>
          <w:rFonts w:hint="eastAsia" w:ascii="仿宋_GB2312" w:eastAsia="仿宋_GB2312"/>
          <w:sz w:val="28"/>
          <w:szCs w:val="28"/>
        </w:rPr>
        <w:t>万元。授予中小企业合同金额</w:t>
      </w:r>
      <w:r>
        <w:rPr>
          <w:rFonts w:ascii="仿宋_GB2312" w:eastAsia="仿宋_GB2312"/>
          <w:sz w:val="28"/>
          <w:szCs w:val="28"/>
        </w:rPr>
        <w:t>142.29</w:t>
      </w:r>
      <w:r>
        <w:rPr>
          <w:rFonts w:hint="eastAsia" w:ascii="仿宋_GB2312" w:eastAsia="仿宋_GB2312"/>
          <w:sz w:val="28"/>
          <w:szCs w:val="28"/>
        </w:rPr>
        <w:t>万元，占政府采购支出总额的</w:t>
      </w:r>
      <w:r>
        <w:rPr>
          <w:rFonts w:hint="eastAsia" w:ascii="仿宋_GB2312" w:eastAsia="仿宋_GB2312"/>
          <w:sz w:val="28"/>
          <w:szCs w:val="28"/>
          <w:lang w:eastAsia="zh-CN"/>
        </w:rPr>
        <w:t>99.3</w:t>
      </w:r>
      <w:r>
        <w:rPr>
          <w:rFonts w:hint="eastAsia" w:ascii="仿宋_GB2312" w:eastAsia="仿宋_GB2312"/>
          <w:sz w:val="28"/>
          <w:szCs w:val="28"/>
        </w:rPr>
        <w:t>%，其中：授予小微企业合同金额</w:t>
      </w:r>
      <w:r>
        <w:rPr>
          <w:rFonts w:ascii="仿宋_GB2312" w:eastAsia="仿宋_GB2312"/>
          <w:sz w:val="28"/>
          <w:szCs w:val="28"/>
        </w:rPr>
        <w:t>114.43</w:t>
      </w:r>
      <w:r>
        <w:rPr>
          <w:rFonts w:hint="eastAsia" w:ascii="仿宋_GB2312" w:eastAsia="仿宋_GB2312"/>
          <w:sz w:val="28"/>
          <w:szCs w:val="28"/>
        </w:rPr>
        <w:t>万元，占政府采购支出总额的</w:t>
      </w:r>
      <w:r>
        <w:rPr>
          <w:rFonts w:ascii="仿宋_GB2312" w:eastAsia="仿宋_GB2312"/>
          <w:sz w:val="28"/>
          <w:szCs w:val="28"/>
        </w:rPr>
        <w:t>79.86</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12月31日，北京市交通委员会大兴公路分局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4</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5</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7.教育支出（类）进修及培训（款）培训支出（项）：反映各部门安排的用于培训的支出。</w:t>
      </w:r>
    </w:p>
    <w:p>
      <w:pPr>
        <w:ind w:firstLine="420" w:firstLineChars="150"/>
        <w:rPr>
          <w:rFonts w:hint="eastAsia" w:ascii="仿宋_GB2312" w:eastAsia="仿宋_GB2312"/>
          <w:sz w:val="28"/>
          <w:szCs w:val="28"/>
        </w:rPr>
      </w:pPr>
      <w:r>
        <w:rPr>
          <w:rFonts w:hint="eastAsia" w:ascii="仿宋_GB2312" w:eastAsia="仿宋_GB2312"/>
          <w:sz w:val="28"/>
          <w:szCs w:val="28"/>
        </w:rPr>
        <w:t>8.社会保障和就业支出（类）行政事业单位养老支出（款）行政单位离退休（项）：反映行政单位（包括实行公务员管理的事业单位）开支的离退休经费。</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0</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.社会保障和就业支出（类）行政事业单位养老支出（款）机关事业单位职业年金缴费支出（项）：反映机关事业单位实施养老保险制度由单位实际缴纳的职业年金支出（含职业年金补记支出）。</w:t>
      </w:r>
    </w:p>
    <w:p>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1</w:t>
      </w:r>
      <w:r>
        <w:rPr>
          <w:rFonts w:hint="eastAsia" w:ascii="仿宋_GB2312" w:eastAsia="仿宋_GB2312"/>
          <w:sz w:val="28"/>
          <w:szCs w:val="28"/>
        </w:rPr>
        <w:t>.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w:t>
      </w:r>
      <w:r>
        <w:rPr>
          <w:rFonts w:hint="eastAsia" w:ascii="仿宋_GB2312" w:eastAsia="仿宋_GB2312"/>
          <w:sz w:val="28"/>
          <w:szCs w:val="28"/>
        </w:rPr>
        <w:t>.卫生健康支出（类）行政事业单位医疗（款）公务员医疗补助（项）：反映财政部门安排的公务员医疗补助经费。</w:t>
      </w:r>
    </w:p>
    <w:p>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3</w:t>
      </w:r>
      <w:r>
        <w:rPr>
          <w:rFonts w:hint="eastAsia" w:ascii="仿宋_GB2312" w:eastAsia="仿宋_GB2312"/>
          <w:sz w:val="28"/>
          <w:szCs w:val="28"/>
        </w:rPr>
        <w:t>.城乡社区支出（类）国有土地使用权出让收入安排的支出（款）城市建设支出（项）：反映土地出让收入用于完善国有土地使用功能的配套设施建设和城市基础设施建设支出。</w:t>
      </w:r>
    </w:p>
    <w:p>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4</w:t>
      </w:r>
      <w:r>
        <w:rPr>
          <w:rFonts w:hint="eastAsia" w:ascii="仿宋_GB2312" w:eastAsia="仿宋_GB2312"/>
          <w:sz w:val="28"/>
          <w:szCs w:val="28"/>
        </w:rPr>
        <w:t>.交通运输支出（类）公路水路运输（款）公路建设（项）：反映新建公路支出，公路改建支出，特大型桥梁建设支出，公路客货运站（场）建设支出。</w:t>
      </w:r>
    </w:p>
    <w:p>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5</w:t>
      </w:r>
      <w:r>
        <w:rPr>
          <w:rFonts w:hint="eastAsia" w:ascii="仿宋_GB2312" w:eastAsia="仿宋_GB2312"/>
          <w:sz w:val="28"/>
          <w:szCs w:val="28"/>
        </w:rPr>
        <w:t>.交通运输支出（类）公路水路运输（款）公路养护（项）：反映公路养护支出。</w:t>
      </w:r>
    </w:p>
    <w:p>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6</w:t>
      </w:r>
      <w:r>
        <w:rPr>
          <w:rFonts w:hint="eastAsia" w:ascii="仿宋_GB2312" w:eastAsia="仿宋_GB2312"/>
          <w:sz w:val="28"/>
          <w:szCs w:val="28"/>
        </w:rPr>
        <w:t>.交通运输支出（类）公路水路运输（款）其他公路水路运输支出（项）：反映出上述项目以外其他用于公路水路运输方面的支出。</w:t>
      </w:r>
    </w:p>
    <w:p>
      <w:pPr>
        <w:tabs>
          <w:tab w:val="center" w:pos="6979"/>
        </w:tabs>
        <w:spacing w:line="380" w:lineRule="exact"/>
        <w:jc w:val="both"/>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2"/>
        </w:numPr>
        <w:ind w:firstLine="560" w:firstLineChars="200"/>
        <w:rPr>
          <w:rFonts w:hint="eastAsia" w:ascii="黑体" w:hAnsi="黑体" w:eastAsia="黑体" w:cs="黑体"/>
          <w:sz w:val="32"/>
          <w:szCs w:val="32"/>
        </w:rPr>
      </w:pPr>
      <w:r>
        <w:rPr>
          <w:rFonts w:hint="eastAsia" w:ascii="黑体" w:hAnsi="黑体" w:eastAsia="黑体" w:cs="黑体"/>
          <w:sz w:val="28"/>
          <w:szCs w:val="28"/>
        </w:rPr>
        <w:t>项目支出绩效自评表</w:t>
      </w:r>
      <w:r>
        <w:rPr>
          <w:rFonts w:hint="eastAsia" w:ascii="黑体" w:hAnsi="黑体" w:eastAsia="黑体" w:cs="黑体"/>
          <w:sz w:val="28"/>
          <w:szCs w:val="28"/>
          <w:lang w:eastAsia="zh-CN"/>
        </w:rPr>
        <w:t>（详见附件）</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A4BB0564"/>
    <w:multiLevelType w:val="singleLevel"/>
    <w:tmpl w:val="A4BB0564"/>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NGM3NDI2NGJmYmIwNjIzYTc3OWI5OGViNzAxY2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091250"/>
    <w:rsid w:val="167A2FF9"/>
    <w:rsid w:val="18581C69"/>
    <w:rsid w:val="1AEC0734"/>
    <w:rsid w:val="1DEF20B0"/>
    <w:rsid w:val="214243FA"/>
    <w:rsid w:val="21AD613C"/>
    <w:rsid w:val="21E65F8F"/>
    <w:rsid w:val="22467189"/>
    <w:rsid w:val="257A14F5"/>
    <w:rsid w:val="27196C26"/>
    <w:rsid w:val="277B3E76"/>
    <w:rsid w:val="29EF086F"/>
    <w:rsid w:val="2D1C6350"/>
    <w:rsid w:val="2EFFE297"/>
    <w:rsid w:val="301437CA"/>
    <w:rsid w:val="30F83739"/>
    <w:rsid w:val="349D1F0A"/>
    <w:rsid w:val="34DD0473"/>
    <w:rsid w:val="37916038"/>
    <w:rsid w:val="39915886"/>
    <w:rsid w:val="3C684897"/>
    <w:rsid w:val="433E495C"/>
    <w:rsid w:val="43F415C7"/>
    <w:rsid w:val="489F2FD7"/>
    <w:rsid w:val="4AC27CB3"/>
    <w:rsid w:val="4BF72BEF"/>
    <w:rsid w:val="4CB92293"/>
    <w:rsid w:val="4FA90297"/>
    <w:rsid w:val="4FC41A43"/>
    <w:rsid w:val="50EF6297"/>
    <w:rsid w:val="51DB3C59"/>
    <w:rsid w:val="52F366AD"/>
    <w:rsid w:val="550C0952"/>
    <w:rsid w:val="55762E42"/>
    <w:rsid w:val="57A7B272"/>
    <w:rsid w:val="58470068"/>
    <w:rsid w:val="58747CAC"/>
    <w:rsid w:val="59FA13A5"/>
    <w:rsid w:val="5A1720F9"/>
    <w:rsid w:val="5B9C37C2"/>
    <w:rsid w:val="5BA7C654"/>
    <w:rsid w:val="5F815A86"/>
    <w:rsid w:val="5FD20E0A"/>
    <w:rsid w:val="60A54109"/>
    <w:rsid w:val="60F118D9"/>
    <w:rsid w:val="61D01CDF"/>
    <w:rsid w:val="64C0607C"/>
    <w:rsid w:val="65756C86"/>
    <w:rsid w:val="66326948"/>
    <w:rsid w:val="674D385B"/>
    <w:rsid w:val="676F09E1"/>
    <w:rsid w:val="6E560B61"/>
    <w:rsid w:val="6F3E47C7"/>
    <w:rsid w:val="7357290B"/>
    <w:rsid w:val="787B251D"/>
    <w:rsid w:val="79194EE2"/>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4"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4037;&#20316;&#31807;4"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收入决算</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[工作簿4]Sheet1!$A$27:$A$28</c:f>
              <c:strCache>
                <c:ptCount val="2"/>
                <c:pt idx="0">
                  <c:v>财政拨款收入</c:v>
                </c:pt>
                <c:pt idx="1">
                  <c:v>其他收入</c:v>
                </c:pt>
              </c:strCache>
            </c:strRef>
          </c:cat>
          <c:val>
            <c:numRef>
              <c:f>[工作簿4]Sheet1!$B$27:$B$28</c:f>
              <c:numCache>
                <c:formatCode>General</c:formatCode>
                <c:ptCount val="2"/>
                <c:pt idx="0">
                  <c:v>59365.509012</c:v>
                </c:pt>
                <c:pt idx="1">
                  <c:v>1.53</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714666666666667"/>
          <c:y val="0.449400479616307"/>
          <c:w val="0.265333333333333"/>
          <c:h val="0.170503597122302"/>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dk1"/>
                </a:solidFill>
                <a:latin typeface="+mn-lt"/>
                <a:ea typeface="+mn-ea"/>
                <a:cs typeface="+mn-cs"/>
              </a:defRPr>
            </a:pPr>
            <a:r>
              <a:rPr>
                <a:solidFill>
                  <a:schemeClr val="dk1"/>
                </a:solidFill>
                <a:latin typeface="+mn-lt"/>
                <a:ea typeface="+mn-ea"/>
                <a:cs typeface="+mn-cs"/>
              </a:rPr>
              <a:t>支出决算</a:t>
            </a:r>
            <a:endParaRPr>
              <a:solidFill>
                <a:schemeClr val="dk1"/>
              </a:solidFill>
              <a:latin typeface="+mn-lt"/>
              <a:ea typeface="+mn-ea"/>
              <a:cs typeface="+mn-cs"/>
            </a:endParaRP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dk1"/>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[工作簿4]Sheet1!$A$43:$B$43</c:f>
              <c:strCache>
                <c:ptCount val="2"/>
                <c:pt idx="0">
                  <c:v>基本支出</c:v>
                </c:pt>
                <c:pt idx="1">
                  <c:v>项目支出</c:v>
                </c:pt>
              </c:strCache>
            </c:strRef>
          </c:cat>
          <c:val>
            <c:numRef>
              <c:f>[工作簿4]Sheet1!$A$44:$B$44</c:f>
              <c:numCache>
                <c:formatCode>General</c:formatCode>
                <c:ptCount val="2"/>
                <c:pt idx="0">
                  <c:v>2315.74</c:v>
                </c:pt>
                <c:pt idx="1">
                  <c:v>58365.6</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dk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dk1"/>
                </a:solidFill>
                <a:latin typeface="+mn-lt"/>
                <a:ea typeface="+mn-ea"/>
                <a:cs typeface="+mn-cs"/>
              </a:defRPr>
            </a:pPr>
          </a:p>
        </c:txPr>
      </c:legendEntry>
      <c:layout>
        <c:manualLayout>
          <c:xMode val="edge"/>
          <c:yMode val="edge"/>
          <c:x val="0.785667182434424"/>
          <c:y val="0.545722821641161"/>
          <c:w val="0.209027777777778"/>
          <c:h val="0.140664961636829"/>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dk1"/>
              </a:solidFill>
              <a:latin typeface="+mn-lt"/>
              <a:ea typeface="+mn-ea"/>
              <a:cs typeface="+mn-cs"/>
            </a:defRPr>
          </a:pPr>
        </a:p>
      </c:txPr>
    </c:legend>
    <c:plotVisOnly val="1"/>
    <c:dispBlanksAs val="gap"/>
    <c:showDLblsOverMax val="0"/>
  </c:chart>
  <c:spPr>
    <a:noFill/>
    <a:ln w="12700" cap="flat" cmpd="sng" algn="ctr">
      <a:noFill/>
      <a:prstDash val="solid"/>
      <a:miter lim="800000"/>
    </a:ln>
    <a:effectLst/>
    <a:sp3d>
      <a:extrusionClr>
        <a:srgbClr val="FFFFFF"/>
      </a:extrusionClr>
      <a:contourClr>
        <a:srgbClr val="FFFFFF"/>
      </a:contourClr>
    </a:sp3d>
  </c:spPr>
  <c:txPr>
    <a:bodyPr/>
    <a:lstStyle/>
    <a:p>
      <a:pPr>
        <a:defRPr lang="zh-CN">
          <a:solidFill>
            <a:schemeClr val="dk1"/>
          </a:solidFill>
          <a:latin typeface="+mn-lt"/>
          <a:ea typeface="+mn-ea"/>
          <a:cs typeface="+mn-cs"/>
        </a:defRPr>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3918</Words>
  <Characters>4515</Characters>
  <Lines>44</Lines>
  <Paragraphs>12</Paragraphs>
  <TotalTime>4</TotalTime>
  <ScaleCrop>false</ScaleCrop>
  <LinksUpToDate>false</LinksUpToDate>
  <CharactersWithSpaces>4535</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Administrator</cp:lastModifiedBy>
  <cp:lastPrinted>2025-08-21T05:43:00Z</cp:lastPrinted>
  <dcterms:modified xsi:type="dcterms:W3CDTF">2025-09-15T08:54:44Z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