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9"/>
        <w:keepNext w:val="0"/>
        <w:keepLines w:val="0"/>
        <w:widowControl/>
        <w:suppressLineNumbers w:val="0"/>
        <w:spacing w:before="0" w:beforeAutospacing="0" w:after="0" w:afterAutospacing="0"/>
        <w:ind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北京交通运输职业学院为北京市交通委员会所属二级预算单位，单位性质为财政补助事业单位。学院分5类机构、共28个部门。具体如下：</w:t>
      </w:r>
    </w:p>
    <w:p>
      <w:pPr>
        <w:pStyle w:val="9"/>
        <w:keepNext w:val="0"/>
        <w:keepLines w:val="0"/>
        <w:widowControl/>
        <w:suppressLineNumbers w:val="0"/>
        <w:spacing w:before="0" w:beforeAutospacing="0" w:after="0" w:afterAutospacing="0"/>
        <w:ind w:left="0"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1.</w:t>
      </w:r>
      <w:r>
        <w:rPr>
          <w:rFonts w:hint="default" w:ascii="仿宋_GB2312" w:hAnsi="Times New Roman" w:eastAsia="仿宋_GB2312" w:cs="Times New Roman"/>
          <w:b w:val="0"/>
          <w:kern w:val="0"/>
          <w:sz w:val="28"/>
          <w:szCs w:val="28"/>
          <w:lang w:val="en-US" w:eastAsia="zh-CN" w:bidi="ar-SA"/>
        </w:rPr>
        <w:t>党政管理机构：党委办公室、组织人事处、党委宣传部、纪委办公室、党委学生工作部、行政办公室、发展规划处、市场部、科研处、财务处、后勤管理处、资产管理处</w:t>
      </w:r>
      <w:r>
        <w:rPr>
          <w:rFonts w:hint="eastAsia" w:ascii="仿宋_GB2312" w:hAnsi="Times New Roman" w:eastAsia="仿宋_GB2312" w:cs="Times New Roman"/>
          <w:b w:val="0"/>
          <w:kern w:val="0"/>
          <w:sz w:val="28"/>
          <w:szCs w:val="28"/>
          <w:lang w:val="en-US" w:eastAsia="zh-CN" w:bidi="ar-SA"/>
        </w:rPr>
        <w:t>。</w:t>
      </w:r>
    </w:p>
    <w:p>
      <w:pPr>
        <w:pStyle w:val="9"/>
        <w:keepNext w:val="0"/>
        <w:keepLines w:val="0"/>
        <w:widowControl/>
        <w:suppressLineNumbers w:val="0"/>
        <w:spacing w:before="0" w:beforeAutospacing="0" w:after="0" w:afterAutospacing="0"/>
        <w:ind w:left="0"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2.</w:t>
      </w:r>
      <w:r>
        <w:rPr>
          <w:rFonts w:hint="default" w:ascii="仿宋_GB2312" w:hAnsi="Times New Roman" w:eastAsia="仿宋_GB2312" w:cs="Times New Roman"/>
          <w:b w:val="0"/>
          <w:kern w:val="0"/>
          <w:sz w:val="28"/>
          <w:szCs w:val="28"/>
          <w:lang w:val="en-US" w:eastAsia="zh-CN" w:bidi="ar-SA"/>
        </w:rPr>
        <w:t>群团机构：工会、团委</w:t>
      </w:r>
      <w:r>
        <w:rPr>
          <w:rFonts w:hint="eastAsia" w:ascii="仿宋_GB2312" w:hAnsi="Times New Roman" w:eastAsia="仿宋_GB2312" w:cs="Times New Roman"/>
          <w:b w:val="0"/>
          <w:kern w:val="0"/>
          <w:sz w:val="28"/>
          <w:szCs w:val="28"/>
          <w:lang w:val="en-US" w:eastAsia="zh-CN" w:bidi="ar-SA"/>
        </w:rPr>
        <w:t>。</w:t>
      </w:r>
    </w:p>
    <w:p>
      <w:pPr>
        <w:pStyle w:val="9"/>
        <w:keepNext w:val="0"/>
        <w:keepLines w:val="0"/>
        <w:widowControl/>
        <w:suppressLineNumbers w:val="0"/>
        <w:spacing w:before="0" w:beforeAutospacing="0" w:after="0" w:afterAutospacing="0"/>
        <w:ind w:left="0"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3.</w:t>
      </w:r>
      <w:r>
        <w:rPr>
          <w:rFonts w:hint="default" w:ascii="仿宋_GB2312" w:hAnsi="Times New Roman" w:eastAsia="仿宋_GB2312" w:cs="Times New Roman"/>
          <w:b w:val="0"/>
          <w:kern w:val="0"/>
          <w:sz w:val="28"/>
          <w:szCs w:val="28"/>
          <w:lang w:val="en-US" w:eastAsia="zh-CN" w:bidi="ar-SA"/>
        </w:rPr>
        <w:t>教学组织管理机构：教务处、教育教学督导室</w:t>
      </w:r>
      <w:r>
        <w:rPr>
          <w:rFonts w:hint="eastAsia" w:ascii="仿宋_GB2312" w:hAnsi="Times New Roman" w:eastAsia="仿宋_GB2312" w:cs="Times New Roman"/>
          <w:b w:val="0"/>
          <w:kern w:val="0"/>
          <w:sz w:val="28"/>
          <w:szCs w:val="28"/>
          <w:lang w:val="en-US" w:eastAsia="zh-CN" w:bidi="ar-SA"/>
        </w:rPr>
        <w:t>。</w:t>
      </w:r>
    </w:p>
    <w:p>
      <w:pPr>
        <w:pStyle w:val="9"/>
        <w:keepNext w:val="0"/>
        <w:keepLines w:val="0"/>
        <w:widowControl/>
        <w:suppressLineNumbers w:val="0"/>
        <w:spacing w:before="0" w:beforeAutospacing="0" w:after="0" w:afterAutospacing="0"/>
        <w:ind w:left="0"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4.</w:t>
      </w:r>
      <w:r>
        <w:rPr>
          <w:rFonts w:hint="default" w:ascii="仿宋_GB2312" w:hAnsi="Times New Roman" w:eastAsia="仿宋_GB2312" w:cs="Times New Roman"/>
          <w:b w:val="0"/>
          <w:kern w:val="0"/>
          <w:sz w:val="28"/>
          <w:szCs w:val="28"/>
          <w:lang w:val="en-US" w:eastAsia="zh-CN" w:bidi="ar-SA"/>
        </w:rPr>
        <w:t>教学实施机构：城市轨道交通学院、汽车学院、交通管理与信息学院、道路桥梁学院、传统建筑学院、基础教育部、继续教育学院、思想政治教育教学部、心理健康教育中心</w:t>
      </w:r>
      <w:r>
        <w:rPr>
          <w:rFonts w:hint="eastAsia" w:ascii="仿宋_GB2312" w:hAnsi="Times New Roman" w:eastAsia="仿宋_GB2312" w:cs="Times New Roman"/>
          <w:b w:val="0"/>
          <w:kern w:val="0"/>
          <w:sz w:val="28"/>
          <w:szCs w:val="28"/>
          <w:lang w:val="en-US" w:eastAsia="zh-CN" w:bidi="ar-SA"/>
        </w:rPr>
        <w:t>。</w:t>
      </w:r>
    </w:p>
    <w:p>
      <w:pPr>
        <w:pStyle w:val="9"/>
        <w:keepNext w:val="0"/>
        <w:keepLines w:val="0"/>
        <w:widowControl/>
        <w:suppressLineNumbers w:val="0"/>
        <w:spacing w:before="0" w:beforeAutospacing="0" w:after="0" w:afterAutospacing="0"/>
        <w:ind w:left="0" w:firstLine="560" w:firstLineChars="200"/>
        <w:jc w:val="left"/>
        <w:rPr>
          <w:rFonts w:hint="default"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5.</w:t>
      </w:r>
      <w:r>
        <w:rPr>
          <w:rFonts w:hint="default" w:ascii="仿宋_GB2312" w:hAnsi="Times New Roman" w:eastAsia="仿宋_GB2312" w:cs="Times New Roman"/>
          <w:b w:val="0"/>
          <w:kern w:val="0"/>
          <w:sz w:val="28"/>
          <w:szCs w:val="28"/>
          <w:lang w:val="en-US" w:eastAsia="zh-CN" w:bidi="ar-SA"/>
        </w:rPr>
        <w:t>教学辅助机构：信息中心、图书馆、产教融合办公室。</w:t>
      </w:r>
    </w:p>
    <w:p>
      <w:pPr>
        <w:tabs>
          <w:tab w:val="center" w:pos="6979"/>
        </w:tabs>
        <w:spacing w:line="360" w:lineRule="auto"/>
        <w:ind w:firstLine="560" w:firstLineChars="200"/>
      </w:pPr>
      <w:r>
        <w:rPr>
          <w:rFonts w:hint="eastAsia" w:ascii="仿宋_GB2312" w:hAnsi="Times New Roman" w:eastAsia="仿宋_GB2312" w:cs="Times New Roman"/>
          <w:b w:val="0"/>
          <w:kern w:val="0"/>
          <w:sz w:val="28"/>
          <w:szCs w:val="28"/>
          <w:lang w:val="en-US" w:eastAsia="zh-CN" w:bidi="ar-SA"/>
        </w:rPr>
        <w:t>按照国家对高等教育的五大定位：教育教学、科技研发、社会服务、文化传承、国际交往要求，学院主要承担交通高等职业教育、交通行业职业培训和职业资格鉴定、以及交通应用技术研发和推广工作。</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33212.73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6867.35</w:t>
      </w:r>
      <w:r>
        <w:rPr>
          <w:rFonts w:hint="eastAsia" w:ascii="仿宋_GB2312" w:eastAsia="仿宋_GB2312"/>
          <w:sz w:val="28"/>
          <w:szCs w:val="28"/>
        </w:rPr>
        <w:t>万元，增长</w:t>
      </w:r>
      <w:r>
        <w:rPr>
          <w:rFonts w:hint="eastAsia" w:ascii="仿宋_GB2312" w:eastAsia="仿宋_GB2312"/>
          <w:sz w:val="28"/>
          <w:szCs w:val="28"/>
          <w:lang w:val="en-US" w:eastAsia="zh-CN"/>
        </w:rPr>
        <w:t>26.07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30804.64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7020.07</w:t>
      </w:r>
      <w:r>
        <w:rPr>
          <w:rFonts w:hint="eastAsia" w:ascii="仿宋_GB2312" w:eastAsia="仿宋_GB2312"/>
          <w:sz w:val="28"/>
          <w:szCs w:val="28"/>
        </w:rPr>
        <w:t>万元，增长</w:t>
      </w:r>
      <w:r>
        <w:rPr>
          <w:rFonts w:hint="eastAsia" w:ascii="仿宋_GB2312" w:eastAsia="仿宋_GB2312"/>
          <w:sz w:val="28"/>
          <w:szCs w:val="28"/>
          <w:lang w:val="en-US" w:eastAsia="zh-CN"/>
        </w:rPr>
        <w:t>29.52</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26502.21</w:t>
      </w:r>
      <w:r>
        <w:rPr>
          <w:rFonts w:hint="eastAsia" w:ascii="仿宋_GB2312" w:eastAsia="仿宋_GB2312"/>
          <w:sz w:val="28"/>
          <w:szCs w:val="28"/>
        </w:rPr>
        <w:t>万元，占收入合计的</w:t>
      </w:r>
      <w:r>
        <w:rPr>
          <w:rFonts w:hint="eastAsia" w:ascii="仿宋_GB2312" w:eastAsia="仿宋_GB2312"/>
          <w:sz w:val="28"/>
          <w:szCs w:val="28"/>
          <w:lang w:eastAsia="zh-CN"/>
        </w:rPr>
        <w:t>86.03%。</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26502.21</w:t>
      </w:r>
      <w:r>
        <w:rPr>
          <w:rFonts w:hint="eastAsia" w:ascii="仿宋_GB2312" w:eastAsia="仿宋_GB2312"/>
          <w:sz w:val="28"/>
          <w:szCs w:val="28"/>
        </w:rPr>
        <w:t>万元，占收入合计的</w:t>
      </w:r>
      <w:r>
        <w:rPr>
          <w:rFonts w:hint="eastAsia" w:ascii="仿宋_GB2312" w:eastAsia="仿宋_GB2312"/>
          <w:sz w:val="28"/>
          <w:szCs w:val="28"/>
          <w:lang w:eastAsia="zh-CN"/>
        </w:rPr>
        <w:t>86.03</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3515.52</w:t>
      </w:r>
      <w:r>
        <w:rPr>
          <w:rFonts w:hint="eastAsia" w:ascii="仿宋_GB2312" w:eastAsia="仿宋_GB2312"/>
          <w:sz w:val="28"/>
          <w:szCs w:val="28"/>
        </w:rPr>
        <w:t>万元，占收入合计的</w:t>
      </w:r>
      <w:r>
        <w:rPr>
          <w:rFonts w:hint="eastAsia" w:ascii="仿宋_GB2312" w:eastAsia="仿宋_GB2312"/>
          <w:sz w:val="28"/>
          <w:szCs w:val="28"/>
          <w:lang w:eastAsia="zh-CN"/>
        </w:rPr>
        <w:t>11.41</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401.73</w:t>
      </w:r>
      <w:r>
        <w:rPr>
          <w:rFonts w:hint="eastAsia" w:ascii="仿宋_GB2312" w:eastAsia="仿宋_GB2312"/>
          <w:sz w:val="28"/>
          <w:szCs w:val="28"/>
        </w:rPr>
        <w:t>万元，占收入合计的</w:t>
      </w:r>
      <w:r>
        <w:rPr>
          <w:rFonts w:hint="eastAsia" w:ascii="仿宋_GB2312" w:eastAsia="仿宋_GB2312"/>
          <w:sz w:val="28"/>
          <w:szCs w:val="28"/>
          <w:lang w:eastAsia="zh-CN"/>
        </w:rPr>
        <w:t>1.3</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385.1</w:t>
      </w:r>
      <w:r>
        <w:rPr>
          <w:rFonts w:hint="eastAsia" w:ascii="仿宋_GB2312" w:eastAsia="仿宋_GB2312"/>
          <w:sz w:val="28"/>
          <w:szCs w:val="28"/>
          <w:lang w:val="en-US" w:eastAsia="zh-CN"/>
        </w:rPr>
        <w:t>8</w:t>
      </w:r>
      <w:r>
        <w:rPr>
          <w:rFonts w:hint="eastAsia" w:ascii="仿宋_GB2312" w:eastAsia="仿宋_GB2312"/>
          <w:sz w:val="28"/>
          <w:szCs w:val="28"/>
        </w:rPr>
        <w:t>万元，占收入合计的</w:t>
      </w:r>
      <w:r>
        <w:rPr>
          <w:rFonts w:hint="eastAsia" w:ascii="仿宋_GB2312" w:eastAsia="仿宋_GB2312"/>
          <w:sz w:val="28"/>
          <w:szCs w:val="28"/>
          <w:lang w:eastAsia="zh-CN"/>
        </w:rPr>
        <w:t>1.2</w:t>
      </w:r>
      <w:r>
        <w:rPr>
          <w:rFonts w:hint="eastAsia" w:ascii="仿宋_GB2312" w:eastAsia="仿宋_GB2312"/>
          <w:sz w:val="28"/>
          <w:szCs w:val="28"/>
          <w:lang w:val="en-US" w:eastAsia="zh-CN"/>
        </w:rPr>
        <w:t>6</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30343.34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6622.06</w:t>
      </w:r>
      <w:r>
        <w:rPr>
          <w:rFonts w:hint="eastAsia" w:ascii="仿宋_GB2312" w:eastAsia="仿宋_GB2312"/>
          <w:sz w:val="28"/>
          <w:szCs w:val="28"/>
        </w:rPr>
        <w:t>万元，增长</w:t>
      </w:r>
      <w:r>
        <w:rPr>
          <w:rFonts w:hint="eastAsia" w:ascii="仿宋_GB2312" w:eastAsia="仿宋_GB2312"/>
          <w:sz w:val="28"/>
          <w:szCs w:val="28"/>
          <w:lang w:val="en-US" w:eastAsia="zh-CN"/>
        </w:rPr>
        <w:t>27.92</w:t>
      </w:r>
      <w:r>
        <w:rPr>
          <w:rFonts w:hint="eastAsia" w:ascii="仿宋_GB2312" w:eastAsia="仿宋_GB2312"/>
          <w:sz w:val="28"/>
          <w:szCs w:val="28"/>
        </w:rPr>
        <w:t>%，其中：基本支出</w:t>
      </w:r>
      <w:r>
        <w:rPr>
          <w:rFonts w:ascii="仿宋_GB2312" w:eastAsia="仿宋_GB2312"/>
          <w:sz w:val="28"/>
          <w:szCs w:val="28"/>
        </w:rPr>
        <w:t>27144.78</w:t>
      </w:r>
      <w:r>
        <w:rPr>
          <w:rFonts w:hint="eastAsia" w:ascii="仿宋_GB2312" w:eastAsia="仿宋_GB2312"/>
          <w:sz w:val="28"/>
          <w:szCs w:val="28"/>
        </w:rPr>
        <w:t>万元，占支出合计的</w:t>
      </w:r>
      <w:r>
        <w:rPr>
          <w:rFonts w:hint="eastAsia" w:ascii="仿宋_GB2312" w:eastAsia="仿宋_GB2312"/>
          <w:sz w:val="28"/>
          <w:szCs w:val="28"/>
          <w:lang w:eastAsia="zh-CN"/>
        </w:rPr>
        <w:t>89.46</w:t>
      </w:r>
      <w:r>
        <w:rPr>
          <w:rFonts w:hint="eastAsia" w:ascii="仿宋_GB2312" w:eastAsia="仿宋_GB2312"/>
          <w:sz w:val="28"/>
          <w:szCs w:val="28"/>
        </w:rPr>
        <w:t>%；项目支出</w:t>
      </w:r>
      <w:r>
        <w:rPr>
          <w:rFonts w:ascii="仿宋_GB2312" w:eastAsia="仿宋_GB2312"/>
          <w:sz w:val="28"/>
          <w:szCs w:val="28"/>
        </w:rPr>
        <w:t>2941.59</w:t>
      </w:r>
      <w:r>
        <w:rPr>
          <w:rFonts w:hint="eastAsia" w:ascii="仿宋_GB2312" w:eastAsia="仿宋_GB2312"/>
          <w:sz w:val="28"/>
          <w:szCs w:val="28"/>
        </w:rPr>
        <w:t>万元，占支出合计的</w:t>
      </w:r>
      <w:r>
        <w:rPr>
          <w:rFonts w:hint="eastAsia" w:ascii="仿宋_GB2312" w:eastAsia="仿宋_GB2312"/>
          <w:sz w:val="28"/>
          <w:szCs w:val="28"/>
          <w:lang w:eastAsia="zh-CN"/>
        </w:rPr>
        <w:t>9.69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256.97</w:t>
      </w:r>
      <w:r>
        <w:rPr>
          <w:rFonts w:hint="eastAsia" w:ascii="仿宋_GB2312" w:eastAsia="仿宋_GB2312"/>
          <w:sz w:val="28"/>
          <w:szCs w:val="28"/>
        </w:rPr>
        <w:t>万元，占支出合计的</w:t>
      </w:r>
      <w:r>
        <w:rPr>
          <w:rFonts w:hint="eastAsia" w:ascii="仿宋_GB2312" w:eastAsia="仿宋_GB2312"/>
          <w:sz w:val="28"/>
          <w:szCs w:val="28"/>
          <w:lang w:eastAsia="zh-CN"/>
        </w:rPr>
        <w:t>0.85</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bookmarkStart w:id="0" w:name="_GoBack"/>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0"/>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26568.45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5285.22</w:t>
      </w:r>
      <w:r>
        <w:rPr>
          <w:rFonts w:hint="eastAsia" w:ascii="仿宋_GB2312" w:eastAsia="仿宋_GB2312"/>
          <w:sz w:val="28"/>
          <w:szCs w:val="28"/>
        </w:rPr>
        <w:t>万元，增长</w:t>
      </w:r>
      <w:r>
        <w:rPr>
          <w:rFonts w:hint="eastAsia" w:ascii="仿宋_GB2312" w:eastAsia="仿宋_GB2312"/>
          <w:sz w:val="28"/>
          <w:szCs w:val="28"/>
          <w:lang w:val="en-US" w:eastAsia="zh-CN"/>
        </w:rPr>
        <w:t>24.83</w:t>
      </w:r>
      <w:r>
        <w:rPr>
          <w:rFonts w:hint="eastAsia" w:ascii="仿宋_GB2312" w:eastAsia="仿宋_GB2312"/>
          <w:sz w:val="28"/>
          <w:szCs w:val="28"/>
        </w:rPr>
        <w:t>%。主要原因：</w:t>
      </w:r>
      <w:r>
        <w:rPr>
          <w:rFonts w:hint="eastAsia" w:ascii="仿宋_GB2312" w:eastAsia="仿宋_GB2312"/>
          <w:sz w:val="28"/>
          <w:szCs w:val="28"/>
          <w:lang w:val="en-US" w:eastAsia="zh-CN"/>
        </w:rPr>
        <w:t>我单位的学生规模比去年有所增长，财政拨款中的生均拨款有所增加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26179.77</w:t>
      </w:r>
      <w:r>
        <w:rPr>
          <w:rFonts w:hint="eastAsia" w:ascii="仿宋_GB2312" w:eastAsia="仿宋_GB2312"/>
          <w:sz w:val="28"/>
          <w:szCs w:val="28"/>
        </w:rPr>
        <w:t>万元，主要用于以下方面：</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ascii="仿宋_GB2312" w:eastAsia="仿宋_GB2312"/>
          <w:sz w:val="28"/>
          <w:szCs w:val="28"/>
        </w:rPr>
        <w:t>26179.77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w:t>
      </w:r>
      <w:r>
        <w:rPr>
          <w:rFonts w:hint="eastAsia" w:ascii="仿宋_GB2312" w:eastAsia="仿宋_GB2312"/>
          <w:sz w:val="28"/>
          <w:szCs w:val="28"/>
        </w:rPr>
        <w:t>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25917.52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26179.77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101.01</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职业教育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25917.52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26179.77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101.01</w:t>
      </w:r>
      <w:r>
        <w:rPr>
          <w:rFonts w:hint="eastAsia" w:ascii="仿宋_GB2312" w:eastAsia="仿宋_GB2312"/>
          <w:sz w:val="28"/>
          <w:szCs w:val="28"/>
        </w:rPr>
        <w:t>%。主要原因：</w:t>
      </w:r>
      <w:r>
        <w:rPr>
          <w:rFonts w:hint="eastAsia" w:ascii="仿宋_GB2312" w:eastAsia="仿宋_GB2312"/>
          <w:sz w:val="28"/>
          <w:szCs w:val="28"/>
          <w:lang w:val="en-US" w:eastAsia="zh-CN"/>
        </w:rPr>
        <w:t>我单位的学生规模比去年有所增长，职业教育支出有所增加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本年度无此项</w:t>
      </w:r>
      <w:r>
        <w:rPr>
          <w:rFonts w:hint="eastAsia" w:ascii="仿宋_GB2312" w:eastAsia="仿宋_GB2312"/>
          <w:sz w:val="28"/>
          <w:szCs w:val="28"/>
          <w:lang w:val="en-US" w:eastAsia="zh-CN"/>
        </w:rPr>
        <w:t>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w:t>
      </w:r>
      <w:r>
        <w:rPr>
          <w:rFonts w:hint="eastAsia" w:ascii="仿宋_GB2312" w:eastAsia="仿宋_GB2312"/>
          <w:sz w:val="28"/>
          <w:szCs w:val="28"/>
          <w:lang w:val="en-US" w:eastAsia="zh-CN"/>
        </w:rPr>
        <w:t>国有资本经营收支情况</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23238.18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津贴补贴、绩效工资、其他社会保障缴费、其他工资福利等支出；（2）商品和服务支出包括办公费、印刷费、咨询费、水费、电费、邮电费、取暖费、物业管理费、差旅费、维修（护）费、租赁费、会议费、培训费、专用材料费、劳务费、委托业务费、工会经费、福利费、公务用车运行维护费、其他交通费</w:t>
      </w:r>
      <w:r>
        <w:rPr>
          <w:rFonts w:hint="eastAsia" w:ascii="仿宋_GB2312" w:eastAsia="仿宋_GB2312"/>
          <w:sz w:val="28"/>
          <w:szCs w:val="28"/>
          <w:lang w:val="en-US" w:eastAsia="zh-CN"/>
        </w:rPr>
        <w:t>用</w:t>
      </w:r>
      <w:r>
        <w:rPr>
          <w:rFonts w:hint="eastAsia" w:ascii="仿宋_GB2312" w:eastAsia="仿宋_GB2312"/>
          <w:sz w:val="28"/>
          <w:szCs w:val="28"/>
        </w:rPr>
        <w:t>、其他商品和服务等支出；（3）对个人和家庭补助支出包括离休费、退休费、抚恤金等支出。（4）其他资本性支出包括办公设备购置、专用设备购置等。</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19.41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50.5</w:t>
      </w:r>
      <w:r>
        <w:rPr>
          <w:rFonts w:hint="eastAsia" w:ascii="仿宋_GB2312" w:eastAsia="仿宋_GB2312"/>
          <w:sz w:val="28"/>
          <w:szCs w:val="28"/>
        </w:rPr>
        <w:t>万元</w:t>
      </w:r>
      <w:r>
        <w:rPr>
          <w:rFonts w:hint="eastAsia" w:ascii="仿宋_GB2312" w:eastAsia="仿宋_GB2312"/>
          <w:sz w:val="28"/>
          <w:szCs w:val="28"/>
          <w:lang w:val="en-US" w:eastAsia="zh-CN"/>
        </w:rPr>
        <w:t>减少</w:t>
      </w:r>
      <w:r>
        <w:rPr>
          <w:rFonts w:ascii="仿宋_GB2312" w:eastAsia="仿宋_GB2312"/>
          <w:sz w:val="28"/>
          <w:szCs w:val="28"/>
        </w:rPr>
        <w:t>31.09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本年度无此项支出</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本年度无此项支出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3.公务用车购置及运行维护费。2024年度决算数19.41万元，比2024年度年初预算数50.5万元减少31.09万元。其中，公务用车购置费，本年度无此项支出。公务用车运行维护费2024年度决算数19.41万元，主要原因：我单位加强公务用车管理，严格控制公务车辆运行费用支出。一是对公务用车支出进行全过程监管，采取有效节约措施管控车辆运行成本；二是推广使用新能源汽车，科学行程管理，减少燃油费用；三是提升公务车辆规范管理水平和服务保障能力，降低公务车辆维修费用。2024年度公务用车保有量23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不属于</w:t>
      </w:r>
      <w:r>
        <w:rPr>
          <w:rFonts w:hint="eastAsia" w:ascii="仿宋_GB2312" w:eastAsia="仿宋_GB2312"/>
          <w:sz w:val="28"/>
          <w:szCs w:val="28"/>
        </w:rPr>
        <w:t>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4649.23</w:t>
      </w:r>
      <w:r>
        <w:rPr>
          <w:rFonts w:hint="eastAsia" w:ascii="仿宋_GB2312" w:eastAsia="仿宋_GB2312"/>
          <w:sz w:val="28"/>
          <w:szCs w:val="28"/>
        </w:rPr>
        <w:t>万元，其中：政府采购货物支出</w:t>
      </w:r>
      <w:r>
        <w:rPr>
          <w:rFonts w:ascii="仿宋_GB2312" w:eastAsia="仿宋_GB2312"/>
          <w:sz w:val="28"/>
          <w:szCs w:val="28"/>
        </w:rPr>
        <w:t>1000.91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3648.32</w:t>
      </w:r>
      <w:r>
        <w:rPr>
          <w:rFonts w:hint="eastAsia" w:ascii="仿宋_GB2312" w:eastAsia="仿宋_GB2312"/>
          <w:sz w:val="28"/>
          <w:szCs w:val="28"/>
        </w:rPr>
        <w:t>万元。授予中小企业合同金额</w:t>
      </w:r>
      <w:r>
        <w:rPr>
          <w:rFonts w:ascii="仿宋_GB2312" w:eastAsia="仿宋_GB2312"/>
          <w:sz w:val="28"/>
          <w:szCs w:val="28"/>
        </w:rPr>
        <w:t>4235.48</w:t>
      </w:r>
      <w:r>
        <w:rPr>
          <w:rFonts w:hint="eastAsia" w:ascii="仿宋_GB2312" w:eastAsia="仿宋_GB2312"/>
          <w:sz w:val="28"/>
          <w:szCs w:val="28"/>
        </w:rPr>
        <w:t>万元，占政府采购支出总额的</w:t>
      </w:r>
      <w:r>
        <w:rPr>
          <w:rFonts w:hint="eastAsia" w:ascii="仿宋_GB2312" w:eastAsia="仿宋_GB2312"/>
          <w:sz w:val="28"/>
          <w:szCs w:val="28"/>
          <w:lang w:eastAsia="zh-CN"/>
        </w:rPr>
        <w:t>91.1</w:t>
      </w:r>
      <w:r>
        <w:rPr>
          <w:rFonts w:hint="eastAsia" w:ascii="仿宋_GB2312" w:eastAsia="仿宋_GB2312"/>
          <w:sz w:val="28"/>
          <w:szCs w:val="28"/>
        </w:rPr>
        <w:t>%，其中：授予小微企业合同金额</w:t>
      </w:r>
      <w:r>
        <w:rPr>
          <w:rFonts w:ascii="仿宋_GB2312" w:eastAsia="仿宋_GB2312"/>
          <w:sz w:val="28"/>
          <w:szCs w:val="28"/>
        </w:rPr>
        <w:t>3738.07</w:t>
      </w:r>
      <w:r>
        <w:rPr>
          <w:rFonts w:hint="eastAsia" w:ascii="仿宋_GB2312" w:eastAsia="仿宋_GB2312"/>
          <w:sz w:val="28"/>
          <w:szCs w:val="28"/>
        </w:rPr>
        <w:t>万元，占政府采购支出总额的</w:t>
      </w:r>
      <w:r>
        <w:rPr>
          <w:rFonts w:ascii="仿宋_GB2312" w:eastAsia="仿宋_GB2312"/>
          <w:sz w:val="28"/>
          <w:szCs w:val="28"/>
        </w:rPr>
        <w:t>80.4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12月31日，北京交通运输职业学院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30</w:t>
      </w:r>
      <w:r>
        <w:rPr>
          <w:rFonts w:hint="eastAsia" w:ascii="仿宋_GB2312" w:eastAsia="仿宋_GB2312"/>
          <w:sz w:val="28"/>
          <w:szCs w:val="28"/>
        </w:rPr>
        <w:t>台。</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教育支出（类）职业教育（款）高等职业教育（项）：反映各部门举办的本科、专科层次职业教育支出。政府各部门对社会组织等举办的本科、专科层次职业院校的资助，如捐赠、补贴等，也在本科目中反映。</w:t>
      </w:r>
    </w:p>
    <w:p>
      <w:pPr>
        <w:ind w:firstLine="420" w:firstLineChars="150"/>
        <w:rPr>
          <w:rFonts w:hint="eastAsia" w:ascii="仿宋_GB2312" w:eastAsia="仿宋_GB2312"/>
          <w:sz w:val="28"/>
          <w:szCs w:val="28"/>
        </w:rPr>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pPr>
    </w:p>
    <w:p>
      <w:pPr>
        <w:jc w:val="both"/>
        <w:rPr>
          <w:rFonts w:hint="eastAsia" w:ascii="黑体" w:eastAsia="黑体"/>
          <w:sz w:val="32"/>
          <w:szCs w:val="32"/>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6" w:type="default"/>
      <w:footerReference r:id="rId7"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4EE39E4"/>
    <w:rsid w:val="079004AC"/>
    <w:rsid w:val="0BA148CA"/>
    <w:rsid w:val="0C1165C4"/>
    <w:rsid w:val="0D6D544B"/>
    <w:rsid w:val="0DD136FE"/>
    <w:rsid w:val="0F8E2C57"/>
    <w:rsid w:val="1059665E"/>
    <w:rsid w:val="10AC13BA"/>
    <w:rsid w:val="145A6C1B"/>
    <w:rsid w:val="14AB1088"/>
    <w:rsid w:val="14B73493"/>
    <w:rsid w:val="154908D8"/>
    <w:rsid w:val="167A2FF9"/>
    <w:rsid w:val="18581C69"/>
    <w:rsid w:val="1AEC0734"/>
    <w:rsid w:val="1DEF20B0"/>
    <w:rsid w:val="1F8960C4"/>
    <w:rsid w:val="1FB75686"/>
    <w:rsid w:val="214243FA"/>
    <w:rsid w:val="21AD613C"/>
    <w:rsid w:val="22467189"/>
    <w:rsid w:val="22C9213D"/>
    <w:rsid w:val="22F866E1"/>
    <w:rsid w:val="25255F68"/>
    <w:rsid w:val="257A14F5"/>
    <w:rsid w:val="27196C26"/>
    <w:rsid w:val="29EF086F"/>
    <w:rsid w:val="2BD55B99"/>
    <w:rsid w:val="2E456552"/>
    <w:rsid w:val="2EFFE297"/>
    <w:rsid w:val="301437CA"/>
    <w:rsid w:val="349D1F0A"/>
    <w:rsid w:val="34DD0473"/>
    <w:rsid w:val="3C684897"/>
    <w:rsid w:val="3EF562B2"/>
    <w:rsid w:val="3F5672FF"/>
    <w:rsid w:val="433E495C"/>
    <w:rsid w:val="441A7E0D"/>
    <w:rsid w:val="489F2FD7"/>
    <w:rsid w:val="4AC00A4D"/>
    <w:rsid w:val="4AC27CB3"/>
    <w:rsid w:val="4BF72BEF"/>
    <w:rsid w:val="4C6836E0"/>
    <w:rsid w:val="4D5043BB"/>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AF428B7"/>
    <w:rsid w:val="71793A80"/>
    <w:rsid w:val="7357290B"/>
    <w:rsid w:val="798524E4"/>
    <w:rsid w:val="79EE1967"/>
    <w:rsid w:val="7A7F1C49"/>
    <w:rsid w:val="7AA5597C"/>
    <w:rsid w:val="7B5B7AE6"/>
    <w:rsid w:val="7B7B6628"/>
    <w:rsid w:val="7BA7071E"/>
    <w:rsid w:val="7BDF6DA8"/>
    <w:rsid w:val="7C7EDC1A"/>
    <w:rsid w:val="7CCED98D"/>
    <w:rsid w:val="7D08410F"/>
    <w:rsid w:val="7DB96DED"/>
    <w:rsid w:val="7DD3AD81"/>
    <w:rsid w:val="7E5F92CE"/>
    <w:rsid w:val="7EC74CA8"/>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chart" Target="charts/chart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manualLayout>
          <c:layoutTarget val="inner"/>
          <c:xMode val="edge"/>
          <c:yMode val="edge"/>
          <c:x val="0.197435897435897"/>
          <c:y val="0.237005726752113"/>
          <c:w val="0.371684756960831"/>
          <c:h val="0.644341423506954"/>
        </c:manualLayout>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4"/>
              <c:layout>
                <c:manualLayout>
                  <c:x val="0.120598758541541"/>
                  <c:y val="-0.019899084675430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5"/>
              <c:layout>
                <c:manualLayout>
                  <c:x val="0.20213600965448"/>
                  <c:y val="0.051150730542784"/>
                </c:manualLayout>
              </c:layout>
              <c:tx>
                <c:rich>
                  <a:bodyPr rot="0" spcFirstLastPara="0" vertOverflow="ellipsis" vert="horz" wrap="square" lIns="38100" tIns="19050" rIns="38100" bIns="19050" anchor="ctr" anchorCtr="true"/>
                  <a:lstStyle/>
                  <a:p>
                    <a:pPr defTabSz="914400">
                      <a:defRPr lang="zh-CN" sz="1000" b="0" i="0" u="none" strike="noStrike" kern="1200" baseline="0">
                        <a:solidFill>
                          <a:schemeClr val="tx1"/>
                        </a:solidFill>
                        <a:latin typeface="+mn-lt"/>
                        <a:ea typeface="+mn-ea"/>
                        <a:cs typeface="+mn-cs"/>
                      </a:defRPr>
                    </a:pPr>
                    <a:r>
                      <a:t>1.2</a:t>
                    </a:r>
                    <a:r>
                      <a:rPr lang="en-US" altLang="zh-CN"/>
                      <a:t>6</a:t>
                    </a:r>
                    <a:r>
                      <a:t>%</a:t>
                    </a:r>
                  </a:p>
                </c:rich>
              </c:tx>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26502.21</c:v>
                </c:pt>
                <c:pt idx="1">
                  <c:v>0</c:v>
                </c:pt>
                <c:pt idx="2">
                  <c:v>3515.52</c:v>
                </c:pt>
                <c:pt idx="3">
                  <c:v>401.73</c:v>
                </c:pt>
                <c:pt idx="4">
                  <c:v>0</c:v>
                </c:pt>
                <c:pt idx="5">
                  <c:v>385.17</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1"/>
              <c:layout>
                <c:manualLayout>
                  <c:x val="-0.0595075087876633"/>
                  <c:y val="0.011002914116359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2"/>
              <c:layout>
                <c:manualLayout>
                  <c:x val="-0.0598370627344833"/>
                  <c:y val="0.00759566212930632"/>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3"/>
              <c:layout>
                <c:manualLayout>
                  <c:x val="0.0232048916768178"/>
                  <c:y val="-0.0205036124560189"/>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114683213803055"/>
                  <c:y val="0.01375197025080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27144.78</c:v>
                </c:pt>
                <c:pt idx="1">
                  <c:v>2941.59</c:v>
                </c:pt>
                <c:pt idx="2">
                  <c:v>0</c:v>
                </c:pt>
                <c:pt idx="3">
                  <c:v>256.97</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3064</Words>
  <Characters>3475</Characters>
  <Lines>44</Lines>
  <Paragraphs>12</Paragraphs>
  <TotalTime>4</TotalTime>
  <ScaleCrop>false</ScaleCrop>
  <LinksUpToDate>false</LinksUpToDate>
  <CharactersWithSpaces>3494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bmct-aktd</cp:lastModifiedBy>
  <cp:lastPrinted>2020-08-08T03:39:00Z</cp:lastPrinted>
  <dcterms:modified xsi:type="dcterms:W3CDTF">2025-09-15T11:20:24Z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eyJoZGlkIjoiYjc3OGNiNzhiOGJlMWQ1YTA4YTZjOTVlM2I3YzA5ZjMiLCJ1c2VySWQiOiI0MjE2MDkwNTgifQ==</vt:lpwstr>
  </property>
</Properties>
</file>