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default" w:ascii="黑体" w:eastAsia="黑体"/>
          <w:sz w:val="72"/>
          <w:szCs w:val="72"/>
          <w:lang w:val="en"/>
        </w:rPr>
        <w:t>4</w:t>
      </w:r>
      <w:r>
        <w:rPr>
          <w:rFonts w:hint="eastAsia" w:ascii="黑体" w:eastAsia="黑体"/>
          <w:sz w:val="72"/>
          <w:szCs w:val="72"/>
        </w:rPr>
        <w:t>年度部门决算</w:t>
      </w:r>
    </w:p>
    <w:p>
      <w:pPr>
        <w:pStyle w:val="2"/>
        <w:rPr>
          <w:rFonts w:hint="eastAsia" w:ascii="黑体" w:hAnsi="Times New Roman" w:eastAsia="黑体" w:cs="Times New Roman"/>
          <w:kern w:val="2"/>
          <w:sz w:val="72"/>
          <w:szCs w:val="72"/>
          <w:lang w:val="en-US" w:eastAsia="zh-CN" w:bidi="ar-SA"/>
        </w:rPr>
      </w:pPr>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w:t>
      </w:r>
      <w:r>
        <w:rPr>
          <w:rFonts w:hint="default" w:ascii="宋体" w:hAnsi="宋体" w:cs="宋体"/>
          <w:bCs/>
          <w:spacing w:val="40"/>
          <w:kern w:val="0"/>
          <w:sz w:val="32"/>
          <w:szCs w:val="32"/>
          <w:lang w:val="e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default" w:ascii="宋体" w:hAnsi="宋体"/>
          <w:spacing w:val="40"/>
          <w:sz w:val="32"/>
          <w:szCs w:val="32"/>
          <w:lang w:val="e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default" w:ascii="宋体" w:hAnsi="宋体"/>
          <w:spacing w:val="40"/>
          <w:sz w:val="32"/>
          <w:szCs w:val="32"/>
          <w:lang w:val="e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w:t>
      </w:r>
      <w:r>
        <w:rPr>
          <w:rFonts w:hint="default" w:ascii="宋体" w:hAnsi="宋体" w:cs="宋体"/>
          <w:spacing w:val="40"/>
          <w:kern w:val="0"/>
          <w:sz w:val="32"/>
          <w:szCs w:val="32"/>
          <w:lang w:val="e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default" w:ascii="宋体" w:hAnsi="宋体" w:cs="宋体"/>
          <w:b/>
          <w:bCs/>
          <w:spacing w:val="40"/>
          <w:kern w:val="0"/>
          <w:sz w:val="44"/>
          <w:szCs w:val="44"/>
          <w:lang w:val="en"/>
        </w:rPr>
        <w:t>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default" w:ascii="宋体" w:hAnsi="宋体"/>
          <w:b/>
          <w:spacing w:val="40"/>
          <w:sz w:val="32"/>
          <w:szCs w:val="32"/>
          <w:lang w:val="e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（一）机构设置、职责</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北京市交通委员会安全应急事务中心（以下简称应急中心）是正处级全额拨款事业单位。</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1.机构情况。内设8个部室，分别为综合办公室、政工人事部、规划研究部、风险防控部、数据信息部、平安建设部、应急值守部、综合业务部。</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2.主要职责。根据《中共北京市委机构编制委员会关于市交通委所属事业单位改革有关事项的批复》（京编委〔2021〕47号），主要职责为：承担本市交通运输行业安全生产、应急值守等方面事务性工作。具体工作职责为：</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1）承担交通运输行业安全应急政策、战略、规划、标准规范等调查研究工作。承担应急预案评估、编制、修订的研究工作。承担安全应急管理调研、基础资料收集整理、数据统计分析等工作并提出建议。</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2）负责开展交通运输行业事故典型案例分析和研究工作。承担交通运输行业安全生产风险清单和隐患台账汇总、整理等具体工作。承担安全风险分级管控与隐患排查治理预防控制体系建设的研究和技术支持工作。</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3）承担交通运输行业安全应急管理信息化建设、安全生产标准化建设具体工作。承担安全检查、考核和评价具体工作。承担安全生产、应急管理和生产安全事故数据统计及情况分析等具体工作。</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4）承担交通行业国家安全、平安建设的调查研究、规范编制、宣传培训、督导检查、组织演练等具体工作。承担铁路沿线安全环境治理计划方案、督导检查、考核评价等具体工作。</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5）负责北京交通安全应急指挥中心应急值守工作，承担突发事件信息管理和统计分析工作。</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6）承担交通运输行业安全应急宣传和新技术、新应用、新经验推广。承担交通行业安全应急综合性事务和队伍建设相关工作。承担应急救援队伍、物资装备体系建设、应急演练的研究和技术服务支持等相关工作。</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7）完成市交通委交办的其他任务。</w:t>
      </w:r>
    </w:p>
    <w:p>
      <w:pPr>
        <w:tabs>
          <w:tab w:val="center" w:pos="6979"/>
        </w:tabs>
        <w:spacing w:line="580" w:lineRule="exact"/>
        <w:rPr>
          <w:rFonts w:ascii="黑体" w:eastAsia="黑体"/>
          <w:b/>
          <w:sz w:val="28"/>
          <w:szCs w:val="28"/>
        </w:rPr>
      </w:pPr>
      <w:bookmarkStart w:id="0" w:name="_GoBack"/>
      <w:bookmarkEnd w:id="0"/>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spacing w:line="580" w:lineRule="exact"/>
        <w:ind w:firstLine="57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年度收、支总计</w:t>
      </w:r>
      <w:r>
        <w:rPr>
          <w:rFonts w:hint="eastAsia" w:ascii="仿宋_GB2312" w:eastAsia="仿宋_GB2312"/>
          <w:sz w:val="28"/>
          <w:szCs w:val="28"/>
          <w:lang w:val="en-US" w:eastAsia="zh-CN"/>
        </w:rPr>
        <w:t>1890.73</w:t>
      </w:r>
      <w:r>
        <w:rPr>
          <w:rFonts w:hint="eastAsia" w:ascii="仿宋_GB2312" w:eastAsia="仿宋_GB2312"/>
          <w:sz w:val="28"/>
          <w:szCs w:val="28"/>
        </w:rPr>
        <w:t>万元，比上年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200.43</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9.58</w:t>
      </w:r>
      <w:r>
        <w:rPr>
          <w:rFonts w:ascii="仿宋_GB2312" w:eastAsia="仿宋_GB2312"/>
          <w:sz w:val="28"/>
          <w:szCs w:val="28"/>
        </w:rPr>
        <w:t>%</w:t>
      </w:r>
      <w:r>
        <w:rPr>
          <w:rFonts w:hint="eastAsia" w:ascii="仿宋_GB2312" w:eastAsia="仿宋_GB2312"/>
          <w:sz w:val="28"/>
          <w:szCs w:val="28"/>
        </w:rPr>
        <w:t>。</w:t>
      </w:r>
    </w:p>
    <w:p>
      <w:pPr>
        <w:spacing w:line="580" w:lineRule="exact"/>
        <w:ind w:firstLine="570"/>
        <w:rPr>
          <w:rFonts w:ascii="仿宋_GB2312" w:eastAsia="仿宋_GB2312"/>
          <w:sz w:val="28"/>
          <w:szCs w:val="28"/>
        </w:rPr>
      </w:pPr>
      <w:r>
        <w:rPr>
          <w:rFonts w:hint="eastAsia" w:ascii="仿宋_GB2312" w:eastAsia="仿宋_GB2312"/>
          <w:sz w:val="28"/>
          <w:szCs w:val="28"/>
        </w:rPr>
        <w:t>（一）收入决算说明</w:t>
      </w:r>
    </w:p>
    <w:p>
      <w:pPr>
        <w:spacing w:line="580" w:lineRule="exact"/>
        <w:ind w:firstLine="57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hint="eastAsia" w:ascii="仿宋_GB2312" w:eastAsia="仿宋_GB2312"/>
          <w:sz w:val="28"/>
          <w:szCs w:val="28"/>
          <w:lang w:val="en-US" w:eastAsia="zh-CN"/>
        </w:rPr>
        <w:t>1890.73</w:t>
      </w:r>
      <w:r>
        <w:rPr>
          <w:rFonts w:hint="eastAsia" w:ascii="仿宋_GB2312" w:eastAsia="仿宋_GB2312"/>
          <w:sz w:val="28"/>
          <w:szCs w:val="28"/>
        </w:rPr>
        <w:t>万元，比上年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200.43</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9.58</w:t>
      </w:r>
      <w:r>
        <w:rPr>
          <w:rFonts w:ascii="仿宋_GB2312" w:eastAsia="仿宋_GB2312"/>
          <w:sz w:val="28"/>
          <w:szCs w:val="28"/>
        </w:rPr>
        <w:t>%</w:t>
      </w:r>
      <w:r>
        <w:rPr>
          <w:rFonts w:hint="eastAsia" w:ascii="仿宋_GB2312" w:eastAsia="仿宋_GB2312"/>
          <w:sz w:val="28"/>
          <w:szCs w:val="28"/>
        </w:rPr>
        <w:t>。</w:t>
      </w:r>
    </w:p>
    <w:p>
      <w:pPr>
        <w:spacing w:line="580" w:lineRule="exact"/>
        <w:ind w:firstLine="560" w:firstLineChars="200"/>
      </w:pPr>
      <w:r>
        <w:rPr>
          <w:rFonts w:hint="eastAsia" w:ascii="仿宋_GB2312" w:eastAsia="仿宋_GB2312"/>
          <w:sz w:val="28"/>
          <w:szCs w:val="28"/>
        </w:rPr>
        <w:t>1.财政拨款收入</w:t>
      </w:r>
      <w:r>
        <w:rPr>
          <w:rFonts w:hint="eastAsia" w:ascii="仿宋_GB2312" w:eastAsia="仿宋_GB2312"/>
          <w:sz w:val="28"/>
          <w:szCs w:val="28"/>
          <w:lang w:val="en-US" w:eastAsia="zh-CN"/>
        </w:rPr>
        <w:t>1890.73</w:t>
      </w:r>
      <w:r>
        <w:rPr>
          <w:rFonts w:hint="eastAsia" w:ascii="仿宋_GB2312" w:eastAsia="仿宋_GB2312"/>
          <w:sz w:val="28"/>
          <w:szCs w:val="28"/>
        </w:rPr>
        <w:t>万元，占收入合计的100%。其中：一般公共预算财政拨款收入</w:t>
      </w:r>
      <w:r>
        <w:rPr>
          <w:rFonts w:hint="eastAsia" w:ascii="仿宋_GB2312" w:eastAsia="仿宋_GB2312"/>
          <w:sz w:val="28"/>
          <w:szCs w:val="28"/>
          <w:lang w:val="en-US" w:eastAsia="zh-CN"/>
        </w:rPr>
        <w:t>1890.73</w:t>
      </w:r>
      <w:r>
        <w:rPr>
          <w:rFonts w:hint="eastAsia" w:ascii="仿宋_GB2312" w:eastAsia="仿宋_GB2312"/>
          <w:sz w:val="28"/>
          <w:szCs w:val="28"/>
        </w:rPr>
        <w:t>万元，占收入合计的100%；政府性基金预算财政拨款收入0万元，占收入合计的0%；国有资本经营预算财政拨款收入0万元，占收入合计的0%；</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2.上级补助收入0万元，占收入合计的0%；</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3.事业收入0万元，占收入合计的0%；</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4.经营收入0万元，占收入合计的0%；</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5.附属单位上缴收入0万元，占收入合计的0%；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6.其他收入0万元，占收入合计的0%。</w:t>
      </w:r>
    </w:p>
    <w:p>
      <w:pPr>
        <w:pStyle w:val="3"/>
        <w:ind w:firstLine="0"/>
        <w:jc w:val="center"/>
        <w:rPr>
          <w:rFonts w:hint="eastAsia" w:ascii="仿宋_GB2312" w:eastAsia="仿宋_GB2312"/>
          <w:color w:val="000000"/>
          <w:sz w:val="32"/>
        </w:rPr>
      </w:pPr>
      <w:r>
        <w:rPr>
          <w:rFonts w:hint="eastAsia" w:ascii="仿宋_GB2312" w:eastAsia="仿宋_GB2312"/>
          <w:color w:val="000000"/>
          <w:sz w:val="32"/>
        </w:rPr>
        <w:t>图1：收入决算</w:t>
      </w:r>
    </w:p>
    <w:p>
      <w:pPr>
        <w:pStyle w:val="2"/>
        <w:jc w:val="center"/>
      </w:pPr>
      <w:r>
        <w:rPr>
          <w:rFonts w:hint="eastAsia" w:eastAsia="仿宋_GB2312"/>
          <w:lang w:eastAsia="zh-CN"/>
        </w:rPr>
        <w:drawing>
          <wp:inline distT="0" distB="0" distL="114300" distR="114300">
            <wp:extent cx="4584065" cy="2755265"/>
            <wp:effectExtent l="0" t="0" r="6985" b="6985"/>
            <wp:docPr id="3" name="图片 7" descr="图片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7" descr="图片1"/>
                    <pic:cNvPicPr>
                      <a:picLocks noChangeAspect="true"/>
                    </pic:cNvPicPr>
                  </pic:nvPicPr>
                  <pic:blipFill>
                    <a:blip r:embed="rId7"/>
                    <a:stretch>
                      <a:fillRect/>
                    </a:stretch>
                  </pic:blipFill>
                  <pic:spPr>
                    <a:xfrm>
                      <a:off x="0" y="0"/>
                      <a:ext cx="4584065" cy="2755265"/>
                    </a:xfrm>
                    <a:prstGeom prst="rect">
                      <a:avLst/>
                    </a:prstGeom>
                    <a:noFill/>
                    <a:ln>
                      <a:noFill/>
                    </a:ln>
                  </pic:spPr>
                </pic:pic>
              </a:graphicData>
            </a:graphic>
          </wp:inline>
        </w:drawing>
      </w:r>
    </w:p>
    <w:p>
      <w:pPr>
        <w:spacing w:line="580" w:lineRule="exact"/>
        <w:ind w:firstLine="570"/>
        <w:rPr>
          <w:rFonts w:ascii="仿宋_GB2312" w:eastAsia="仿宋_GB2312"/>
          <w:sz w:val="28"/>
          <w:szCs w:val="28"/>
        </w:rPr>
      </w:pPr>
      <w:r>
        <w:rPr>
          <w:rFonts w:hint="eastAsia" w:ascii="仿宋_GB2312" w:eastAsia="仿宋_GB2312"/>
          <w:sz w:val="28"/>
          <w:szCs w:val="28"/>
        </w:rPr>
        <w:t>（二）支出决算说明</w:t>
      </w:r>
    </w:p>
    <w:p>
      <w:pPr>
        <w:spacing w:line="580" w:lineRule="exact"/>
        <w:ind w:firstLine="57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hint="eastAsia" w:ascii="仿宋_GB2312" w:eastAsia="仿宋_GB2312"/>
          <w:sz w:val="28"/>
          <w:szCs w:val="28"/>
          <w:lang w:val="en-US" w:eastAsia="zh-CN"/>
        </w:rPr>
        <w:t>1813.44</w:t>
      </w:r>
      <w:r>
        <w:rPr>
          <w:rFonts w:hint="eastAsia" w:ascii="仿宋_GB2312" w:eastAsia="仿宋_GB2312"/>
          <w:sz w:val="28"/>
          <w:szCs w:val="28"/>
        </w:rPr>
        <w:t>万元，比上年</w:t>
      </w:r>
      <w:r>
        <w:rPr>
          <w:rFonts w:hint="eastAsia" w:ascii="仿宋_GB2312" w:eastAsia="仿宋_GB2312"/>
          <w:sz w:val="28"/>
          <w:szCs w:val="28"/>
          <w:lang w:eastAsia="zh-CN"/>
        </w:rPr>
        <w:t>减少</w:t>
      </w:r>
      <w:r>
        <w:rPr>
          <w:rFonts w:hint="default" w:ascii="仿宋_GB2312" w:eastAsia="仿宋_GB2312"/>
          <w:sz w:val="28"/>
          <w:szCs w:val="28"/>
          <w:lang w:val="en" w:eastAsia="zh-CN"/>
        </w:rPr>
        <w:t>2</w:t>
      </w:r>
      <w:r>
        <w:rPr>
          <w:rFonts w:hint="eastAsia" w:ascii="仿宋_GB2312" w:eastAsia="仿宋_GB2312"/>
          <w:sz w:val="28"/>
          <w:szCs w:val="28"/>
          <w:lang w:val="en-US" w:eastAsia="zh-CN"/>
        </w:rPr>
        <w:t>74.34</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13.14</w:t>
      </w:r>
      <w:r>
        <w:rPr>
          <w:rFonts w:hint="eastAsia" w:ascii="仿宋_GB2312" w:eastAsia="仿宋_GB2312"/>
          <w:sz w:val="28"/>
          <w:szCs w:val="28"/>
        </w:rPr>
        <w:t>%，其中：基本支出</w:t>
      </w:r>
      <w:r>
        <w:rPr>
          <w:rFonts w:hint="eastAsia" w:ascii="仿宋_GB2312" w:eastAsia="仿宋_GB2312"/>
          <w:sz w:val="28"/>
          <w:szCs w:val="28"/>
          <w:lang w:val="en-US" w:eastAsia="zh-CN"/>
        </w:rPr>
        <w:t>1586.45</w:t>
      </w:r>
      <w:r>
        <w:rPr>
          <w:rFonts w:hint="eastAsia" w:ascii="仿宋_GB2312" w:eastAsia="仿宋_GB2312"/>
          <w:sz w:val="28"/>
          <w:szCs w:val="28"/>
        </w:rPr>
        <w:t>万元，占支出合计的</w:t>
      </w:r>
      <w:r>
        <w:rPr>
          <w:rFonts w:hint="eastAsia" w:ascii="仿宋_GB2312" w:eastAsia="仿宋_GB2312"/>
          <w:sz w:val="28"/>
          <w:szCs w:val="28"/>
          <w:lang w:val="en-US" w:eastAsia="zh-CN"/>
        </w:rPr>
        <w:t>87.48</w:t>
      </w:r>
      <w:r>
        <w:rPr>
          <w:rFonts w:hint="eastAsia" w:ascii="仿宋_GB2312" w:eastAsia="仿宋_GB2312"/>
          <w:sz w:val="28"/>
          <w:szCs w:val="28"/>
        </w:rPr>
        <w:t>%；项目支出</w:t>
      </w:r>
      <w:r>
        <w:rPr>
          <w:rFonts w:hint="eastAsia" w:ascii="仿宋_GB2312" w:eastAsia="仿宋_GB2312"/>
          <w:sz w:val="28"/>
          <w:szCs w:val="28"/>
          <w:lang w:val="en-US" w:eastAsia="zh-CN"/>
        </w:rPr>
        <w:t>226.99</w:t>
      </w:r>
      <w:r>
        <w:rPr>
          <w:rFonts w:hint="eastAsia" w:ascii="仿宋_GB2312" w:eastAsia="仿宋_GB2312"/>
          <w:sz w:val="28"/>
          <w:szCs w:val="28"/>
        </w:rPr>
        <w:t>万元，占支出合计的</w:t>
      </w:r>
      <w:r>
        <w:rPr>
          <w:rFonts w:hint="eastAsia" w:ascii="仿宋_GB2312" w:eastAsia="仿宋_GB2312"/>
          <w:sz w:val="28"/>
          <w:szCs w:val="28"/>
          <w:lang w:val="en-US" w:eastAsia="zh-CN"/>
        </w:rPr>
        <w:t>12.52</w:t>
      </w:r>
      <w:r>
        <w:rPr>
          <w:rFonts w:hint="eastAsia" w:ascii="仿宋_GB2312" w:eastAsia="仿宋_GB2312"/>
          <w:sz w:val="28"/>
          <w:szCs w:val="28"/>
        </w:rPr>
        <w:t>%;上缴上级支出0万元，占支出合计的0%；经营支出0万元，占支出合计的0%；对附属单位补助支出0万元，占支出合计的0%。</w:t>
      </w:r>
    </w:p>
    <w:p>
      <w:pPr>
        <w:pStyle w:val="3"/>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hint="eastAsia" w:eastAsia="仿宋_GB2312"/>
          <w:lang w:eastAsia="zh-CN"/>
        </w:rPr>
        <w:drawing>
          <wp:inline distT="0" distB="0" distL="114300" distR="114300">
            <wp:extent cx="4584065" cy="2755265"/>
            <wp:effectExtent l="0" t="0" r="6985" b="6985"/>
            <wp:docPr id="2" name="图片 9" descr="图片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9" descr="图片2"/>
                    <pic:cNvPicPr>
                      <a:picLocks noChangeAspect="true"/>
                    </pic:cNvPicPr>
                  </pic:nvPicPr>
                  <pic:blipFill>
                    <a:blip r:embed="rId8"/>
                    <a:stretch>
                      <a:fillRect/>
                    </a:stretch>
                  </pic:blipFill>
                  <pic:spPr>
                    <a:xfrm>
                      <a:off x="0" y="0"/>
                      <a:ext cx="4584065" cy="2755265"/>
                    </a:xfrm>
                    <a:prstGeom prst="rect">
                      <a:avLst/>
                    </a:prstGeom>
                    <a:noFill/>
                    <a:ln>
                      <a:noFill/>
                    </a:ln>
                  </pic:spPr>
                </pic:pic>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spacing w:line="580" w:lineRule="exact"/>
        <w:ind w:firstLine="570"/>
        <w:rPr>
          <w:rFonts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年度财政拨款收、支总计</w:t>
      </w:r>
      <w:r>
        <w:rPr>
          <w:rFonts w:hint="eastAsia" w:ascii="仿宋_GB2312" w:eastAsia="仿宋_GB2312"/>
          <w:sz w:val="28"/>
          <w:szCs w:val="28"/>
          <w:lang w:val="en-US" w:eastAsia="zh-CN"/>
        </w:rPr>
        <w:t>1890.73</w:t>
      </w:r>
      <w:r>
        <w:rPr>
          <w:rFonts w:hint="eastAsia" w:ascii="仿宋_GB2312" w:eastAsia="仿宋_GB2312"/>
          <w:sz w:val="28"/>
          <w:szCs w:val="28"/>
        </w:rPr>
        <w:t>万元，比上年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200.43</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9.58</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eastAsia="仿宋_GB2312"/>
          <w:sz w:val="28"/>
          <w:szCs w:val="28"/>
          <w:highlight w:val="none"/>
          <w:lang w:val="en-US" w:eastAsia="zh-CN"/>
        </w:rPr>
        <w:t>减少一次性项目。</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hint="eastAsia" w:ascii="仿宋_GB2312" w:eastAsia="仿宋_GB2312"/>
          <w:sz w:val="28"/>
          <w:szCs w:val="28"/>
          <w:lang w:val="en-US" w:eastAsia="zh-CN"/>
        </w:rPr>
        <w:t>1813.44</w:t>
      </w:r>
      <w:r>
        <w:rPr>
          <w:rFonts w:hint="eastAsia" w:ascii="仿宋_GB2312" w:eastAsia="仿宋_GB2312"/>
          <w:sz w:val="28"/>
          <w:szCs w:val="28"/>
        </w:rPr>
        <w:t>万元，主要用于以下方面：教育</w:t>
      </w:r>
      <w:r>
        <w:rPr>
          <w:rFonts w:ascii="仿宋_GB2312" w:eastAsia="仿宋_GB2312"/>
          <w:sz w:val="28"/>
          <w:szCs w:val="28"/>
        </w:rPr>
        <w:t>支出</w:t>
      </w:r>
      <w:r>
        <w:rPr>
          <w:rFonts w:hint="eastAsia" w:ascii="仿宋_GB2312" w:eastAsia="仿宋_GB2312"/>
          <w:sz w:val="28"/>
          <w:szCs w:val="28"/>
          <w:lang w:val="en-US" w:eastAsia="zh-CN"/>
        </w:rPr>
        <w:t>0.46</w:t>
      </w:r>
      <w:r>
        <w:rPr>
          <w:rFonts w:hint="eastAsia" w:ascii="仿宋_GB2312" w:eastAsia="仿宋_GB2312"/>
          <w:sz w:val="28"/>
          <w:szCs w:val="28"/>
        </w:rPr>
        <w:t>万元</w:t>
      </w:r>
      <w:r>
        <w:rPr>
          <w:rFonts w:ascii="仿宋_GB2312" w:eastAsia="仿宋_GB2312"/>
          <w:sz w:val="28"/>
          <w:szCs w:val="28"/>
        </w:rPr>
        <w:t>，</w:t>
      </w:r>
      <w:r>
        <w:rPr>
          <w:rFonts w:hint="eastAsia" w:ascii="仿宋_GB2312" w:eastAsia="仿宋_GB2312"/>
          <w:sz w:val="28"/>
          <w:szCs w:val="28"/>
        </w:rPr>
        <w:t>占</w:t>
      </w:r>
      <w:r>
        <w:rPr>
          <w:rFonts w:ascii="仿宋_GB2312" w:eastAsia="仿宋_GB2312"/>
          <w:sz w:val="28"/>
          <w:szCs w:val="28"/>
        </w:rPr>
        <w:t>本年财政拨款支出</w:t>
      </w:r>
      <w:r>
        <w:rPr>
          <w:rFonts w:hint="eastAsia" w:ascii="仿宋_GB2312" w:eastAsia="仿宋_GB2312"/>
          <w:sz w:val="28"/>
          <w:szCs w:val="28"/>
        </w:rPr>
        <w:t>0.</w:t>
      </w:r>
      <w:r>
        <w:rPr>
          <w:rFonts w:hint="eastAsia" w:ascii="仿宋_GB2312" w:eastAsia="仿宋_GB2312"/>
          <w:sz w:val="28"/>
          <w:szCs w:val="28"/>
          <w:lang w:val="en-US" w:eastAsia="zh-CN"/>
        </w:rPr>
        <w:t>03</w:t>
      </w:r>
      <w:r>
        <w:rPr>
          <w:rFonts w:hint="eastAsia" w:ascii="仿宋_GB2312" w:eastAsia="仿宋_GB2312"/>
          <w:sz w:val="28"/>
          <w:szCs w:val="28"/>
        </w:rPr>
        <w:t>%；社会保障和就业支出1</w:t>
      </w:r>
      <w:r>
        <w:rPr>
          <w:rFonts w:hint="eastAsia" w:ascii="仿宋_GB2312" w:eastAsia="仿宋_GB2312"/>
          <w:sz w:val="28"/>
          <w:szCs w:val="28"/>
          <w:lang w:val="en-US" w:eastAsia="zh-CN"/>
        </w:rPr>
        <w:t>57.13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8.66</w:t>
      </w:r>
      <w:r>
        <w:rPr>
          <w:rFonts w:hint="eastAsia" w:ascii="仿宋_GB2312" w:eastAsia="仿宋_GB2312"/>
          <w:sz w:val="28"/>
          <w:szCs w:val="28"/>
        </w:rPr>
        <w:t>%；卫生健康支出</w:t>
      </w:r>
      <w:r>
        <w:rPr>
          <w:rFonts w:ascii="仿宋_GB2312" w:eastAsia="仿宋_GB2312"/>
          <w:sz w:val="28"/>
          <w:szCs w:val="28"/>
        </w:rPr>
        <w:t>1</w:t>
      </w:r>
      <w:r>
        <w:rPr>
          <w:rFonts w:hint="eastAsia" w:ascii="仿宋_GB2312" w:eastAsia="仿宋_GB2312"/>
          <w:sz w:val="28"/>
          <w:szCs w:val="28"/>
          <w:lang w:val="en-US" w:eastAsia="zh-CN"/>
        </w:rPr>
        <w:t>32.09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7.28</w:t>
      </w:r>
      <w:r>
        <w:rPr>
          <w:rFonts w:hint="eastAsia" w:ascii="仿宋_GB2312" w:eastAsia="仿宋_GB2312"/>
          <w:sz w:val="28"/>
          <w:szCs w:val="28"/>
        </w:rPr>
        <w:t>%；交通运输支出1</w:t>
      </w:r>
      <w:r>
        <w:rPr>
          <w:rFonts w:hint="eastAsia" w:ascii="仿宋_GB2312" w:eastAsia="仿宋_GB2312"/>
          <w:sz w:val="28"/>
          <w:szCs w:val="28"/>
          <w:lang w:val="en-US" w:eastAsia="zh-CN"/>
        </w:rPr>
        <w:t>523.76</w:t>
      </w:r>
      <w:r>
        <w:rPr>
          <w:rFonts w:hint="eastAsia" w:ascii="仿宋_GB2312" w:eastAsia="仿宋_GB2312"/>
          <w:sz w:val="28"/>
          <w:szCs w:val="28"/>
        </w:rPr>
        <w:t>万元，占本年财政拨款支出</w:t>
      </w:r>
      <w:r>
        <w:rPr>
          <w:rFonts w:ascii="仿宋_GB2312" w:eastAsia="仿宋_GB2312"/>
          <w:sz w:val="28"/>
          <w:szCs w:val="28"/>
        </w:rPr>
        <w:t>8</w:t>
      </w:r>
      <w:r>
        <w:rPr>
          <w:rFonts w:hint="eastAsia" w:ascii="仿宋_GB2312" w:eastAsia="仿宋_GB2312"/>
          <w:sz w:val="28"/>
          <w:szCs w:val="28"/>
          <w:lang w:val="en-US" w:eastAsia="zh-CN"/>
        </w:rPr>
        <w:t>4.03</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0.46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年度年初预算减少</w:t>
      </w:r>
      <w:r>
        <w:rPr>
          <w:rFonts w:hint="eastAsia" w:ascii="仿宋_GB2312" w:eastAsia="仿宋_GB2312"/>
          <w:sz w:val="28"/>
          <w:szCs w:val="28"/>
          <w:lang w:val="en-US" w:eastAsia="zh-CN"/>
        </w:rPr>
        <w:t>1.04</w:t>
      </w:r>
      <w:r>
        <w:rPr>
          <w:rFonts w:hint="eastAsia" w:ascii="仿宋_GB2312" w:eastAsia="仿宋_GB2312"/>
          <w:sz w:val="28"/>
          <w:szCs w:val="28"/>
        </w:rPr>
        <w:t>万元，下降</w:t>
      </w:r>
      <w:r>
        <w:rPr>
          <w:rFonts w:hint="eastAsia" w:ascii="仿宋_GB2312" w:eastAsia="仿宋_GB2312"/>
          <w:sz w:val="28"/>
          <w:szCs w:val="28"/>
          <w:lang w:val="en-US" w:eastAsia="zh-CN"/>
        </w:rPr>
        <w:t>69.33</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“进修及培训”202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0.46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年年初预算减少</w:t>
      </w:r>
      <w:r>
        <w:rPr>
          <w:rFonts w:hint="eastAsia" w:ascii="仿宋_GB2312" w:eastAsia="仿宋_GB2312"/>
          <w:sz w:val="28"/>
          <w:szCs w:val="28"/>
          <w:lang w:val="en-US" w:eastAsia="zh-CN"/>
        </w:rPr>
        <w:t>1.04</w:t>
      </w:r>
      <w:r>
        <w:rPr>
          <w:rFonts w:hint="eastAsia" w:ascii="仿宋_GB2312" w:eastAsia="仿宋_GB2312"/>
          <w:sz w:val="28"/>
          <w:szCs w:val="28"/>
        </w:rPr>
        <w:t>万元，下降</w:t>
      </w:r>
      <w:r>
        <w:rPr>
          <w:rFonts w:hint="eastAsia" w:ascii="仿宋_GB2312" w:eastAsia="仿宋_GB2312"/>
          <w:sz w:val="28"/>
          <w:szCs w:val="28"/>
          <w:lang w:val="en-US" w:eastAsia="zh-CN"/>
        </w:rPr>
        <w:t>69.33</w:t>
      </w:r>
      <w:r>
        <w:rPr>
          <w:rFonts w:hint="eastAsia" w:ascii="仿宋_GB2312" w:eastAsia="仿宋_GB2312"/>
          <w:sz w:val="28"/>
          <w:szCs w:val="28"/>
        </w:rPr>
        <w:t>%。主要原因：</w:t>
      </w:r>
      <w:r>
        <w:rPr>
          <w:rFonts w:hint="eastAsia" w:ascii="仿宋_GB2312" w:eastAsia="仿宋_GB2312"/>
          <w:sz w:val="28"/>
          <w:szCs w:val="28"/>
          <w:lang w:eastAsia="zh-CN"/>
        </w:rPr>
        <w:t>因落实过紧日子要求压减公用经费支出。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2、“社会保障和就业支出” 2024年度决算157.13万元，比2024年度年初预算减少5.59万元，下降3.44%。其中：</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“行政事业单位养老支出”2024年度决算157.13万元，比2024年年初预算减少5.59万元，下降3.44%。主要原因：在预算执行过程中根据实际人员变动情况安排支出。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3、“卫生健康支出”2024年度决算132.09万元，比2024年度年初预算减少4.37万元，下降3.20%。其中：</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“行政事业单位医疗”2024年度决算132.09万元，比2024年年初预算减少4.37万元，下降3.20%。主要原因：在预算执行过程中根据实际人员变动情况安排支出。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4、“交通运输支出”2024年度决算1523.76万元，比2024年度年初预算减少66.28万元，减少4.17%。其中：</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“公路水路运输”2024年度决算1523.76万元，比2024年年初预算减少66.28万元，减少4.17%。主要原因：2024年度调出1名员工及压减公用经费支出。</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60" w:lineRule="exact"/>
        <w:ind w:firstLine="420" w:firstLineChars="150"/>
        <w:rPr>
          <w:rFonts w:ascii="仿宋_GB2312" w:eastAsia="仿宋_GB2312"/>
          <w:sz w:val="28"/>
          <w:szCs w:val="28"/>
        </w:rPr>
      </w:pPr>
      <w:r>
        <w:rPr>
          <w:rFonts w:hint="eastAsia" w:ascii="仿宋_GB2312" w:eastAsia="仿宋_GB2312"/>
          <w:sz w:val="28"/>
          <w:szCs w:val="28"/>
        </w:rPr>
        <w:t>本年度无此项支出。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年度国有资本经营预算财政拨款收入总计0万元，国有资本经营预算财政拨款支出总计0万元。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autoSpaceDE w:val="0"/>
        <w:autoSpaceDN w:val="0"/>
        <w:adjustRightInd w:val="0"/>
        <w:spacing w:line="580" w:lineRule="exact"/>
        <w:jc w:val="center"/>
        <w:rPr>
          <w:rFonts w:ascii="宋体" w:hAnsi="宋体" w:cs="宋体"/>
          <w:b/>
          <w:spacing w:val="40"/>
          <w:kern w:val="0"/>
          <w:sz w:val="32"/>
          <w:szCs w:val="32"/>
        </w:rPr>
      </w:pPr>
      <w:r>
        <w:rPr>
          <w:rFonts w:hint="eastAsia" w:ascii="仿宋_GB2312" w:eastAsia="仿宋_GB2312"/>
          <w:sz w:val="28"/>
          <w:szCs w:val="28"/>
          <w:lang w:val="en-US" w:eastAsia="zh-CN"/>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年度使用一般公共预算财政拨款安排基本支出1</w:t>
      </w:r>
      <w:r>
        <w:rPr>
          <w:rFonts w:hint="eastAsia" w:ascii="仿宋_GB2312" w:eastAsia="仿宋_GB2312"/>
          <w:sz w:val="28"/>
          <w:szCs w:val="28"/>
          <w:lang w:val="en-US" w:eastAsia="zh-CN"/>
        </w:rPr>
        <w:t>586.45</w:t>
      </w:r>
      <w:r>
        <w:rPr>
          <w:rFonts w:hint="eastAsia" w:ascii="仿宋_GB2312" w:eastAsia="仿宋_GB2312"/>
          <w:sz w:val="28"/>
          <w:szCs w:val="28"/>
        </w:rPr>
        <w:t>万元，使用政府性基金财政拨款安排基本支出0万元，其中：（1）工资福利支出包括基本工资、津贴补贴、奖金、绩效工资、其他社会保障缴费、其他工资福利等支出；（2）商品和服务支出包括办公费、印刷费、咨询费、手续费、水费、电费、邮电费、取暖费、物业管理费、差旅费、维修（护）费、培训费、劳务费、工会经费、福利费、其他商品和服务等支出；（3）对个人和家庭补助支出包括退休费、抚恤金、生活补助、奖励金、其他对个人和家庭的补助等支出。（4）其他资本性支出包括办公设备购置、专用设备购置等。</w:t>
      </w: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不属于机关运行经费统计范围。</w:t>
      </w:r>
    </w:p>
    <w:p>
      <w:pPr>
        <w:ind w:left="540"/>
        <w:rPr>
          <w:rFonts w:ascii="黑体" w:eastAsia="黑体"/>
          <w:sz w:val="28"/>
          <w:szCs w:val="28"/>
        </w:rPr>
      </w:pPr>
      <w:r>
        <w:rPr>
          <w:rFonts w:hint="eastAsia" w:ascii="黑体" w:eastAsia="黑体"/>
          <w:sz w:val="28"/>
          <w:szCs w:val="28"/>
        </w:rPr>
        <w:t>三、政府采购支出情况</w:t>
      </w:r>
    </w:p>
    <w:p>
      <w:pPr>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年度政府采购支出总额197.6万元，其中：政府采购货物支出0.5万元，政府采购工程支出0万元，政府采购服务支出197.1万元。授予中小企业合同金额0.5万元，占政府采购支出总额的</w:t>
      </w:r>
      <w:r>
        <w:rPr>
          <w:rFonts w:hint="eastAsia" w:ascii="仿宋_GB2312" w:eastAsia="仿宋_GB2312"/>
          <w:sz w:val="28"/>
          <w:szCs w:val="28"/>
          <w:lang w:eastAsia="zh-CN"/>
        </w:rPr>
        <w:t>0.25</w:t>
      </w:r>
      <w:r>
        <w:rPr>
          <w:rFonts w:hint="eastAsia" w:ascii="仿宋_GB2312" w:eastAsia="仿宋_GB2312"/>
          <w:sz w:val="28"/>
          <w:szCs w:val="28"/>
        </w:rPr>
        <w:t>%，</w:t>
      </w:r>
      <w:r>
        <w:rPr>
          <w:rFonts w:hint="eastAsia" w:ascii="仿宋_GB2312" w:eastAsia="仿宋_GB2312"/>
          <w:sz w:val="28"/>
          <w:szCs w:val="28"/>
          <w:lang w:eastAsia="zh-CN"/>
        </w:rPr>
        <w:t>其中：授予小微企业合同金额</w:t>
      </w:r>
      <w:r>
        <w:rPr>
          <w:rFonts w:hint="eastAsia" w:ascii="仿宋_GB2312" w:eastAsia="仿宋_GB2312"/>
          <w:sz w:val="28"/>
          <w:szCs w:val="28"/>
        </w:rPr>
        <w:t>0.5</w:t>
      </w:r>
      <w:r>
        <w:rPr>
          <w:rFonts w:hint="eastAsia" w:ascii="仿宋_GB2312" w:eastAsia="仿宋_GB2312"/>
          <w:sz w:val="28"/>
          <w:szCs w:val="28"/>
          <w:lang w:eastAsia="zh-CN"/>
        </w:rPr>
        <w:t>万元，</w:t>
      </w:r>
      <w:r>
        <w:rPr>
          <w:rFonts w:hint="eastAsia" w:ascii="仿宋_GB2312" w:eastAsia="仿宋_GB2312"/>
          <w:sz w:val="28"/>
          <w:szCs w:val="28"/>
        </w:rPr>
        <w:t>万元，占政府采购支出总额的0.25%。</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37" w:firstLineChars="192"/>
        <w:rPr>
          <w:rFonts w:ascii="仿宋_GB2312" w:eastAsia="仿宋_GB2312"/>
          <w:sz w:val="28"/>
          <w:szCs w:val="28"/>
        </w:rPr>
      </w:pPr>
      <w:r>
        <w:rPr>
          <w:rFonts w:hint="eastAsia" w:ascii="仿宋_GB2312" w:eastAsia="仿宋_GB2312"/>
          <w:sz w:val="28"/>
          <w:szCs w:val="28"/>
        </w:rPr>
        <w:t>本单位无国有资产占用情况。</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w:t>
      </w:r>
      <w:r>
        <w:rPr>
          <w:rFonts w:hint="default" w:ascii="仿宋_GB2312" w:eastAsia="仿宋_GB2312"/>
          <w:sz w:val="28"/>
          <w:szCs w:val="28"/>
          <w:lang w:val="en"/>
        </w:rPr>
        <w:t>4</w:t>
      </w:r>
      <w:r>
        <w:rPr>
          <w:rFonts w:hint="eastAsia" w:ascii="仿宋_GB2312" w:eastAsia="仿宋_GB2312"/>
          <w:sz w:val="28"/>
          <w:szCs w:val="28"/>
        </w:rPr>
        <w:t>年度政府购买服务决算0万元。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 当年使用的所有支出功能分类名词解释：</w:t>
      </w:r>
    </w:p>
    <w:p>
      <w:pPr>
        <w:ind w:firstLine="420" w:firstLineChars="150"/>
        <w:rPr>
          <w:rFonts w:ascii="仿宋_GB2312" w:eastAsia="仿宋_GB2312"/>
          <w:sz w:val="28"/>
          <w:szCs w:val="28"/>
        </w:rPr>
      </w:pPr>
      <w:r>
        <w:rPr>
          <w:rFonts w:hint="eastAsia" w:ascii="仿宋_GB2312" w:eastAsia="仿宋_GB2312"/>
          <w:sz w:val="28"/>
          <w:szCs w:val="28"/>
        </w:rPr>
        <w:t>教育支出（类）进修及培训（款）培训支出（项）：反映各部门安排用于培训的支出。教育部门的师资培训，党校、行政学院等专业干部教育机构的支出，以及退役士兵、转业士官的培训支出，不在本科目反映。</w:t>
      </w:r>
    </w:p>
    <w:p>
      <w:pPr>
        <w:ind w:firstLine="420" w:firstLineChars="150"/>
        <w:rPr>
          <w:rFonts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社会保障和就业支出（类）行政事业单位养老支出（款）机关事业单位基本养老保险缴费支出（项）：反映机关事业单位实施养老保险制度由单位实际缴纳的基本养老保险支出。</w:t>
      </w:r>
    </w:p>
    <w:p>
      <w:pPr>
        <w:ind w:firstLine="420" w:firstLineChars="150"/>
        <w:rPr>
          <w:rFonts w:ascii="仿宋_GB2312" w:eastAsia="仿宋_GB2312"/>
          <w:sz w:val="28"/>
          <w:szCs w:val="28"/>
        </w:rPr>
      </w:pP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照国际规定享受离休人员待遇的医疗经费。</w:t>
      </w:r>
    </w:p>
    <w:p>
      <w:pPr>
        <w:ind w:firstLine="420" w:firstLineChars="150"/>
        <w:rPr>
          <w:rFonts w:ascii="仿宋_GB2312" w:eastAsia="仿宋_GB2312"/>
          <w:sz w:val="28"/>
          <w:szCs w:val="28"/>
        </w:rPr>
      </w:pPr>
      <w:r>
        <w:rPr>
          <w:rFonts w:hint="eastAsia" w:ascii="仿宋_GB2312" w:eastAsia="仿宋_GB2312"/>
          <w:sz w:val="28"/>
          <w:szCs w:val="28"/>
        </w:rPr>
        <w:t xml:space="preserve">交通运输支出（类）公路水路运输（款）其他公路水路运输支出（项）：反映出上述项目以外其他用于公路水路运输方面的支出。 </w:t>
      </w:r>
    </w:p>
    <w:p>
      <w:pPr>
        <w:ind w:firstLine="632" w:firstLineChars="200"/>
        <w:rPr>
          <w:rFonts w:ascii="仿宋_GB2312" w:eastAsia="仿宋_GB2312"/>
          <w:b/>
          <w:color w:val="000000"/>
          <w:spacing w:val="-2"/>
          <w:sz w:val="32"/>
          <w:szCs w:val="32"/>
        </w:rPr>
      </w:pPr>
      <w:r>
        <w:rPr>
          <w:rFonts w:hint="eastAsia" w:ascii="仿宋_GB2312" w:eastAsia="仿宋_GB2312"/>
          <w:b/>
          <w:color w:val="000000"/>
          <w:spacing w:val="-2"/>
          <w:sz w:val="32"/>
          <w:szCs w:val="32"/>
        </w:rPr>
        <w:t xml:space="preserve"> </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pStyle w:val="2"/>
        <w:rPr>
          <w:rFonts w:ascii="仿宋_GB2312" w:eastAsia="仿宋_GB2312"/>
          <w:b/>
          <w:color w:val="000000"/>
          <w:spacing w:val="-2"/>
          <w:sz w:val="32"/>
          <w:szCs w:val="32"/>
        </w:rPr>
      </w:pPr>
    </w:p>
    <w:p>
      <w:pPr>
        <w:pStyle w:val="2"/>
        <w:rPr>
          <w:rFonts w:ascii="仿宋_GB2312" w:eastAsia="仿宋_GB2312"/>
          <w:b/>
          <w:color w:val="000000"/>
          <w:spacing w:val="-2"/>
          <w:sz w:val="32"/>
          <w:szCs w:val="32"/>
        </w:rPr>
      </w:pPr>
    </w:p>
    <w:p>
      <w:pPr>
        <w:pStyle w:val="2"/>
        <w:rPr>
          <w:rFonts w:ascii="仿宋_GB2312" w:eastAsia="仿宋_GB2312"/>
          <w:b/>
          <w:color w:val="000000"/>
          <w:spacing w:val="-2"/>
          <w:sz w:val="32"/>
          <w:szCs w:val="32"/>
        </w:rPr>
      </w:pPr>
    </w:p>
    <w:p>
      <w:pPr>
        <w:pStyle w:val="2"/>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w:t>
      </w:r>
      <w:r>
        <w:rPr>
          <w:rFonts w:hint="default" w:ascii="黑体" w:eastAsia="黑体"/>
          <w:sz w:val="32"/>
          <w:szCs w:val="32"/>
          <w:lang w:val="en"/>
        </w:rPr>
        <w:t>4</w:t>
      </w:r>
      <w:r>
        <w:rPr>
          <w:rFonts w:hint="eastAsia" w:ascii="黑体" w:eastAsia="黑体"/>
          <w:sz w:val="32"/>
          <w:szCs w:val="32"/>
        </w:rPr>
        <w:t>年度部门绩效评价情况</w:t>
      </w:r>
    </w:p>
    <w:p>
      <w:pPr>
        <w:ind w:firstLine="560" w:firstLineChars="200"/>
        <w:rPr>
          <w:rFonts w:ascii="黑体" w:eastAsia="黑体"/>
          <w:sz w:val="28"/>
          <w:szCs w:val="28"/>
          <w:highlight w:val="yellow"/>
        </w:rPr>
      </w:pPr>
    </w:p>
    <w:p>
      <w:pPr>
        <w:ind w:firstLine="560" w:firstLineChars="200"/>
      </w:pPr>
      <w:r>
        <w:rPr>
          <w:rFonts w:hint="eastAsia" w:ascii="仿宋_GB2312" w:eastAsia="仿宋_GB2312"/>
          <w:sz w:val="28"/>
          <w:szCs w:val="28"/>
        </w:rPr>
        <w:t>项目支出绩效自评表（详见附件）。</w:t>
      </w: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GM3NDI2NGJmYmIwNjIzYTc3OWI5OGViNzAxY2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1AD613C"/>
    <w:rsid w:val="257A14F5"/>
    <w:rsid w:val="27196C26"/>
    <w:rsid w:val="29EF086F"/>
    <w:rsid w:val="2EFFE297"/>
    <w:rsid w:val="2F7EBE13"/>
    <w:rsid w:val="301437CA"/>
    <w:rsid w:val="34DD0473"/>
    <w:rsid w:val="433E495C"/>
    <w:rsid w:val="487788EE"/>
    <w:rsid w:val="4AC27CB3"/>
    <w:rsid w:val="4BF72BEF"/>
    <w:rsid w:val="51DB3C59"/>
    <w:rsid w:val="550C0952"/>
    <w:rsid w:val="55762E42"/>
    <w:rsid w:val="57A7B272"/>
    <w:rsid w:val="58470068"/>
    <w:rsid w:val="5A1720F9"/>
    <w:rsid w:val="5A7ECDD8"/>
    <w:rsid w:val="5B9C37C2"/>
    <w:rsid w:val="5BA7C654"/>
    <w:rsid w:val="64C0607C"/>
    <w:rsid w:val="676F09E1"/>
    <w:rsid w:val="70AF1155"/>
    <w:rsid w:val="72CF9787"/>
    <w:rsid w:val="7A7F1C49"/>
    <w:rsid w:val="7AFF177E"/>
    <w:rsid w:val="7B5B7AE6"/>
    <w:rsid w:val="7BA7071E"/>
    <w:rsid w:val="7BDF6DA8"/>
    <w:rsid w:val="7C7EDC1A"/>
    <w:rsid w:val="7CCED98D"/>
    <w:rsid w:val="7D08410F"/>
    <w:rsid w:val="7DB96DED"/>
    <w:rsid w:val="7DD3AD81"/>
    <w:rsid w:val="7F7FE70F"/>
    <w:rsid w:val="7FE74E51"/>
    <w:rsid w:val="7FFF772F"/>
    <w:rsid w:val="95F35EF6"/>
    <w:rsid w:val="9BFFD860"/>
    <w:rsid w:val="9FEFA4FE"/>
    <w:rsid w:val="AC5F73DE"/>
    <w:rsid w:val="B5DDD2C8"/>
    <w:rsid w:val="B9DFABD9"/>
    <w:rsid w:val="BC0D83FC"/>
    <w:rsid w:val="BF3BDEFB"/>
    <w:rsid w:val="C75F6086"/>
    <w:rsid w:val="C7F7ED2D"/>
    <w:rsid w:val="CFAF854E"/>
    <w:rsid w:val="D8D7928E"/>
    <w:rsid w:val="D8FE3136"/>
    <w:rsid w:val="DDDE60B7"/>
    <w:rsid w:val="DE9F6A22"/>
    <w:rsid w:val="DF4FCE6A"/>
    <w:rsid w:val="E4FED278"/>
    <w:rsid w:val="E795011C"/>
    <w:rsid w:val="EDAA365C"/>
    <w:rsid w:val="EDADFC12"/>
    <w:rsid w:val="EDFDC5FC"/>
    <w:rsid w:val="EF7E2F5E"/>
    <w:rsid w:val="EFFDA492"/>
    <w:rsid w:val="F2FD229B"/>
    <w:rsid w:val="F3DFB1BD"/>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3755</Words>
  <Characters>4187</Characters>
  <Lines>44</Lines>
  <Paragraphs>12</Paragraphs>
  <TotalTime>11</TotalTime>
  <ScaleCrop>false</ScaleCrop>
  <LinksUpToDate>false</LinksUpToDate>
  <CharactersWithSpaces>4213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2017-07-13T23:16:00Z</dcterms:created>
  <dc:creator>常程</dc:creator>
  <cp:lastModifiedBy>bmct-aktd</cp:lastModifiedBy>
  <cp:lastPrinted>2020-08-09T19:39:00Z</cp:lastPrinted>
  <dcterms:modified xsi:type="dcterms:W3CDTF">2025-09-15T11:28:03Z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EF7A3950445E47D39D0A6FA1540AF246_13</vt:lpwstr>
  </property>
</Properties>
</file>