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0D8E8">
      <w:pPr>
        <w:jc w:val="center"/>
        <w:rPr>
          <w:rFonts w:ascii="仿宋_GB2312" w:eastAsia="仿宋_GB2312"/>
          <w:b/>
          <w:sz w:val="32"/>
          <w:szCs w:val="32"/>
        </w:rPr>
      </w:pPr>
    </w:p>
    <w:p w14:paraId="440352E6">
      <w:pPr>
        <w:jc w:val="center"/>
        <w:rPr>
          <w:rFonts w:ascii="黑体" w:eastAsia="黑体"/>
          <w:sz w:val="72"/>
          <w:szCs w:val="72"/>
        </w:rPr>
      </w:pPr>
    </w:p>
    <w:p w14:paraId="0438D9C0">
      <w:pPr>
        <w:jc w:val="center"/>
        <w:rPr>
          <w:rFonts w:ascii="黑体" w:eastAsia="黑体"/>
          <w:sz w:val="72"/>
          <w:szCs w:val="72"/>
        </w:rPr>
      </w:pPr>
    </w:p>
    <w:p w14:paraId="3BCEC0E6">
      <w:pPr>
        <w:jc w:val="center"/>
        <w:rPr>
          <w:rFonts w:ascii="黑体" w:eastAsia="黑体"/>
          <w:sz w:val="72"/>
          <w:szCs w:val="72"/>
        </w:rPr>
      </w:pPr>
    </w:p>
    <w:p w14:paraId="39B0157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188F8843">
      <w:pPr>
        <w:jc w:val="center"/>
        <w:rPr>
          <w:rFonts w:ascii="黑体" w:eastAsia="黑体"/>
          <w:sz w:val="52"/>
          <w:szCs w:val="52"/>
        </w:rPr>
      </w:pPr>
    </w:p>
    <w:p w14:paraId="10F8C886">
      <w:pPr>
        <w:jc w:val="center"/>
        <w:rPr>
          <w:rFonts w:ascii="黑体" w:eastAsia="黑体"/>
          <w:sz w:val="52"/>
          <w:szCs w:val="52"/>
        </w:rPr>
      </w:pPr>
    </w:p>
    <w:p w14:paraId="5B629932">
      <w:pPr>
        <w:jc w:val="center"/>
        <w:rPr>
          <w:rFonts w:ascii="黑体" w:eastAsia="黑体"/>
          <w:sz w:val="52"/>
          <w:szCs w:val="52"/>
        </w:rPr>
      </w:pPr>
    </w:p>
    <w:p w14:paraId="468F2240">
      <w:pPr>
        <w:pStyle w:val="2"/>
      </w:pPr>
    </w:p>
    <w:p w14:paraId="38BB3771">
      <w:pPr>
        <w:jc w:val="center"/>
        <w:rPr>
          <w:rFonts w:ascii="黑体" w:eastAsia="黑体"/>
          <w:sz w:val="52"/>
          <w:szCs w:val="52"/>
        </w:rPr>
      </w:pPr>
    </w:p>
    <w:p w14:paraId="73D311CE">
      <w:pPr>
        <w:jc w:val="center"/>
        <w:rPr>
          <w:rFonts w:ascii="黑体" w:eastAsia="黑体"/>
          <w:sz w:val="32"/>
          <w:szCs w:val="32"/>
        </w:rPr>
      </w:pPr>
    </w:p>
    <w:p w14:paraId="1A58215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FE9D1ED">
      <w:pPr>
        <w:spacing w:line="500" w:lineRule="exact"/>
        <w:ind w:firstLine="645"/>
        <w:jc w:val="center"/>
        <w:rPr>
          <w:rFonts w:hint="eastAsia" w:ascii="宋体" w:hAnsi="宋体" w:cs="宋体"/>
          <w:b/>
          <w:bCs/>
          <w:kern w:val="0"/>
          <w:sz w:val="36"/>
          <w:szCs w:val="36"/>
        </w:rPr>
      </w:pPr>
    </w:p>
    <w:p w14:paraId="42BC5A7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A3E938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69835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37A70A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CAF2D4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8A6E7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ECC45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553759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697549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FD2BB2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3F76A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0E15B7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F44F1D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861F2E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FEBDA32">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474D3E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1A73144">
      <w:pPr>
        <w:tabs>
          <w:tab w:val="center" w:pos="6979"/>
        </w:tabs>
        <w:spacing w:before="156" w:beforeLines="50" w:after="156" w:afterLines="50"/>
        <w:jc w:val="center"/>
        <w:rPr>
          <w:rFonts w:ascii="宋体" w:hAnsi="宋体" w:cs="宋体"/>
          <w:b/>
          <w:bCs/>
          <w:spacing w:val="40"/>
          <w:kern w:val="0"/>
          <w:sz w:val="32"/>
          <w:szCs w:val="32"/>
        </w:rPr>
      </w:pPr>
    </w:p>
    <w:p w14:paraId="252B15A9">
      <w:pPr>
        <w:tabs>
          <w:tab w:val="center" w:pos="6979"/>
        </w:tabs>
        <w:spacing w:before="156" w:beforeLines="50" w:after="156" w:afterLines="50"/>
        <w:jc w:val="center"/>
        <w:rPr>
          <w:rFonts w:ascii="宋体" w:hAnsi="宋体" w:cs="宋体"/>
          <w:b/>
          <w:bCs/>
          <w:spacing w:val="40"/>
          <w:kern w:val="0"/>
          <w:sz w:val="32"/>
          <w:szCs w:val="32"/>
        </w:rPr>
      </w:pPr>
    </w:p>
    <w:p w14:paraId="18275205">
      <w:pPr>
        <w:tabs>
          <w:tab w:val="center" w:pos="6979"/>
        </w:tabs>
        <w:spacing w:before="156" w:beforeLines="50" w:after="156" w:afterLines="50"/>
        <w:jc w:val="center"/>
        <w:rPr>
          <w:rFonts w:ascii="宋体" w:hAnsi="宋体" w:cs="宋体"/>
          <w:b/>
          <w:bCs/>
          <w:spacing w:val="40"/>
          <w:kern w:val="0"/>
          <w:sz w:val="32"/>
          <w:szCs w:val="32"/>
        </w:rPr>
      </w:pPr>
    </w:p>
    <w:p w14:paraId="5818B82A">
      <w:pPr>
        <w:tabs>
          <w:tab w:val="center" w:pos="6979"/>
        </w:tabs>
        <w:spacing w:before="156" w:beforeLines="50" w:after="156" w:afterLines="50"/>
        <w:jc w:val="center"/>
        <w:rPr>
          <w:rFonts w:ascii="宋体" w:hAnsi="宋体" w:cs="宋体"/>
          <w:b/>
          <w:bCs/>
          <w:spacing w:val="40"/>
          <w:kern w:val="0"/>
          <w:sz w:val="32"/>
          <w:szCs w:val="32"/>
        </w:rPr>
      </w:pPr>
    </w:p>
    <w:p w14:paraId="3F2F53C7">
      <w:pPr>
        <w:tabs>
          <w:tab w:val="center" w:pos="6979"/>
        </w:tabs>
        <w:spacing w:before="156" w:beforeLines="50" w:after="156" w:afterLines="50"/>
        <w:jc w:val="center"/>
        <w:rPr>
          <w:rFonts w:ascii="宋体" w:hAnsi="宋体" w:cs="宋体"/>
          <w:b/>
          <w:bCs/>
          <w:spacing w:val="40"/>
          <w:kern w:val="0"/>
          <w:sz w:val="32"/>
          <w:szCs w:val="32"/>
        </w:rPr>
      </w:pPr>
    </w:p>
    <w:p w14:paraId="22D3F9D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346368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C0D61C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3CCE9EB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3A0D080E">
      <w:pPr>
        <w:tabs>
          <w:tab w:val="center" w:pos="6979"/>
        </w:tabs>
        <w:spacing w:line="580" w:lineRule="exact"/>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（一）机构设置、职责</w:t>
      </w:r>
    </w:p>
    <w:p w14:paraId="6564C877">
      <w:pPr>
        <w:tabs>
          <w:tab w:val="center" w:pos="6979"/>
        </w:tabs>
        <w:spacing w:line="580" w:lineRule="exact"/>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根据《中共北京市委机构编制委员会办公室关于核定市交通委派出机构主要职责和机构编制事项的批复》（京编办复〔2023〕169号），北京市交通委员会平谷公路分局是北京市交通委员会的派出机构。主要职责是：负责本行政区域内公路行业管理工作，拟订公路建设和养护的规划、计划并组织实施，负责公路建设、养护质量安全等的监督管理，承担公路应急处置等工作，完成市交通委交办的其他任务。</w:t>
      </w:r>
    </w:p>
    <w:p w14:paraId="38CB34CA">
      <w:pPr>
        <w:tabs>
          <w:tab w:val="center" w:pos="6979"/>
        </w:tabs>
        <w:spacing w:line="580" w:lineRule="exact"/>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北京市交通委员会平谷公路分局下设11个科室，分别为办公室、法制科（行政审批科）、规划计划科、工程管理科、养护管理科、路网服务与科技科、安全质量监管与应急科、乡村公路管理科、财务科、党群工作科、人事科。</w:t>
      </w:r>
    </w:p>
    <w:p w14:paraId="60EEBF01">
      <w:pPr>
        <w:tabs>
          <w:tab w:val="center" w:pos="6979"/>
        </w:tabs>
        <w:spacing w:line="580" w:lineRule="exact"/>
        <w:rPr>
          <w:rFonts w:hint="eastAsia" w:ascii="黑体" w:eastAsia="黑体"/>
          <w:b/>
          <w:sz w:val="28"/>
          <w:szCs w:val="28"/>
        </w:rPr>
      </w:pPr>
      <w:bookmarkStart w:id="0" w:name="_GoBack"/>
      <w:bookmarkEnd w:id="0"/>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22BE8F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51103.42</w:t>
      </w:r>
      <w:r>
        <w:rPr>
          <w:rFonts w:hint="eastAsia" w:ascii="仿宋_GB2312" w:eastAsia="仿宋_GB2312"/>
          <w:sz w:val="28"/>
          <w:szCs w:val="28"/>
        </w:rPr>
        <w:t>万元，比上年增加22108.05万元，增长76.25%。</w:t>
      </w:r>
    </w:p>
    <w:p w14:paraId="25694C2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D29053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50412.56</w:t>
      </w:r>
      <w:r>
        <w:rPr>
          <w:rFonts w:hint="eastAsia" w:ascii="仿宋_GB2312" w:eastAsia="仿宋_GB2312"/>
          <w:sz w:val="28"/>
          <w:szCs w:val="28"/>
        </w:rPr>
        <w:t>万元，比上年增加23415.53万元，增长86.73%。</w:t>
      </w:r>
    </w:p>
    <w:p w14:paraId="1963F5E3">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29818.76</w:t>
      </w:r>
      <w:r>
        <w:rPr>
          <w:rFonts w:hint="eastAsia" w:ascii="仿宋_GB2312" w:eastAsia="仿宋_GB2312"/>
          <w:sz w:val="28"/>
          <w:szCs w:val="28"/>
        </w:rPr>
        <w:t>万元，占收入合计的</w:t>
      </w:r>
      <w:r>
        <w:rPr>
          <w:rFonts w:hint="eastAsia" w:ascii="仿宋_GB2312" w:eastAsia="仿宋_GB2312"/>
          <w:sz w:val="28"/>
          <w:szCs w:val="28"/>
          <w:lang w:eastAsia="zh-CN"/>
        </w:rPr>
        <w:t>59.15%。</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28318.76</w:t>
      </w:r>
      <w:r>
        <w:rPr>
          <w:rFonts w:hint="eastAsia" w:ascii="仿宋_GB2312" w:eastAsia="仿宋_GB2312"/>
          <w:sz w:val="28"/>
          <w:szCs w:val="28"/>
        </w:rPr>
        <w:t>万元，占收入合计的</w:t>
      </w:r>
      <w:r>
        <w:rPr>
          <w:rFonts w:hint="eastAsia" w:ascii="仿宋_GB2312" w:eastAsia="仿宋_GB2312"/>
          <w:sz w:val="28"/>
          <w:szCs w:val="28"/>
          <w:lang w:eastAsia="zh-CN"/>
        </w:rPr>
        <w:t>56.17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1500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2.98</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28D8E51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2.上级补助收入0.00万元，占收入合计的0.00%；</w:t>
      </w:r>
    </w:p>
    <w:p w14:paraId="1FB89F0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3.事业收入0.00万元，占收入合计的0.00%；</w:t>
      </w:r>
    </w:p>
    <w:p w14:paraId="13463B6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4.经营收入0.00万元，占收入合计的0.00%；</w:t>
      </w:r>
    </w:p>
    <w:p w14:paraId="211646C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5.附属单位上缴收入0.00万元，占收入合计的0.00%；</w:t>
      </w:r>
    </w:p>
    <w:p w14:paraId="072AEBB3">
      <w:pPr>
        <w:tabs>
          <w:tab w:val="center" w:pos="6979"/>
        </w:tabs>
        <w:spacing w:line="580" w:lineRule="exact"/>
        <w:ind w:firstLine="560" w:firstLineChars="200"/>
        <w:rPr>
          <w:rFonts w:hint="eastAsia" w:ascii="仿宋_GB2312" w:eastAsia="仿宋_GB2312" w:cs="Droid Sans"/>
          <w:color w:val="000000"/>
          <w:sz w:val="32"/>
          <w:szCs w:val="32"/>
          <w:highlight w:val="yellow"/>
          <w:lang w:eastAsia="zh-CN"/>
        </w:rPr>
      </w:pPr>
      <w:r>
        <w:rPr>
          <w:rFonts w:hint="eastAsia" w:ascii="仿宋_GB2312" w:eastAsia="仿宋_GB2312"/>
          <w:sz w:val="28"/>
          <w:szCs w:val="28"/>
        </w:rPr>
        <w:t>6.其他收入20593.79万元，占收入合计的40.85%。</w:t>
      </w:r>
    </w:p>
    <w:p w14:paraId="6499420D">
      <w:pPr>
        <w:pStyle w:val="3"/>
        <w:ind w:firstLine="420"/>
        <w:jc w:val="center"/>
      </w:pPr>
      <w:r>
        <w:drawing>
          <wp:inline distT="0" distB="0" distL="0" distR="0">
            <wp:extent cx="4464685" cy="2647950"/>
            <wp:effectExtent l="4445" t="5080" r="7620" b="13970"/>
            <wp:docPr id="4" name="图表 4"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DFF6B7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18258E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48887.38</w:t>
      </w:r>
      <w:r>
        <w:rPr>
          <w:rFonts w:hint="eastAsia" w:ascii="仿宋_GB2312" w:eastAsia="仿宋_GB2312"/>
          <w:sz w:val="28"/>
          <w:szCs w:val="28"/>
        </w:rPr>
        <w:t>万元，比上年增加20604.43万元，增长72.85%，其中：基本支出</w:t>
      </w:r>
      <w:r>
        <w:rPr>
          <w:rFonts w:ascii="仿宋_GB2312" w:eastAsia="仿宋_GB2312"/>
          <w:sz w:val="28"/>
          <w:szCs w:val="28"/>
        </w:rPr>
        <w:t>2020.36</w:t>
      </w:r>
      <w:r>
        <w:rPr>
          <w:rFonts w:hint="eastAsia" w:ascii="仿宋_GB2312" w:eastAsia="仿宋_GB2312"/>
          <w:sz w:val="28"/>
          <w:szCs w:val="28"/>
        </w:rPr>
        <w:t>万元，占支出合计的</w:t>
      </w:r>
      <w:r>
        <w:rPr>
          <w:rFonts w:hint="eastAsia" w:ascii="仿宋_GB2312" w:eastAsia="仿宋_GB2312"/>
          <w:sz w:val="28"/>
          <w:szCs w:val="28"/>
          <w:lang w:eastAsia="zh-CN"/>
        </w:rPr>
        <w:t>4.13</w:t>
      </w:r>
      <w:r>
        <w:rPr>
          <w:rFonts w:hint="eastAsia" w:ascii="仿宋_GB2312" w:eastAsia="仿宋_GB2312"/>
          <w:sz w:val="28"/>
          <w:szCs w:val="28"/>
        </w:rPr>
        <w:t>%；项目支出</w:t>
      </w:r>
      <w:r>
        <w:rPr>
          <w:rFonts w:ascii="仿宋_GB2312" w:eastAsia="仿宋_GB2312"/>
          <w:sz w:val="28"/>
          <w:szCs w:val="28"/>
        </w:rPr>
        <w:t>46867.02</w:t>
      </w:r>
      <w:r>
        <w:rPr>
          <w:rFonts w:hint="eastAsia" w:ascii="仿宋_GB2312" w:eastAsia="仿宋_GB2312"/>
          <w:sz w:val="28"/>
          <w:szCs w:val="28"/>
        </w:rPr>
        <w:t>万元，占支出合计的</w:t>
      </w:r>
      <w:r>
        <w:rPr>
          <w:rFonts w:hint="eastAsia" w:ascii="仿宋_GB2312" w:eastAsia="仿宋_GB2312"/>
          <w:sz w:val="28"/>
          <w:szCs w:val="28"/>
          <w:lang w:eastAsia="zh-CN"/>
        </w:rPr>
        <w:t>95.87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41691725">
      <w:pPr>
        <w:jc w:val="center"/>
        <w:rPr>
          <w:rFonts w:ascii="黑体" w:eastAsia="黑体"/>
          <w:b/>
          <w:sz w:val="28"/>
          <w:szCs w:val="28"/>
        </w:rPr>
      </w:pPr>
      <w:r>
        <w:drawing>
          <wp:inline distT="0" distB="0" distL="0" distR="0">
            <wp:extent cx="4441190" cy="3063240"/>
            <wp:effectExtent l="4445" t="4445" r="12065" b="1841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763180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C5BB9E5">
      <w:pPr>
        <w:tabs>
          <w:tab w:val="center" w:pos="6979"/>
        </w:tabs>
        <w:spacing w:line="580" w:lineRule="exact"/>
        <w:ind w:firstLine="570"/>
        <w:rPr>
          <w:rFonts w:hint="default"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30409.35</w:t>
      </w:r>
      <w:r>
        <w:rPr>
          <w:rFonts w:hint="eastAsia" w:ascii="仿宋_GB2312" w:eastAsia="仿宋_GB2312"/>
          <w:sz w:val="28"/>
          <w:szCs w:val="28"/>
        </w:rPr>
        <w:t>万元，比上年增加5174.71万元，增长20.51%。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为改善群众出行条件和行车安全环境，提升道路服务水平，新增东撞路（云打路-密三路）道路工程、平关路、平程路提级改造等工程项目。</w:t>
      </w:r>
    </w:p>
    <w:p w14:paraId="2E555ED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84F484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5868AD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28171.74</w:t>
      </w:r>
      <w:r>
        <w:rPr>
          <w:rFonts w:hint="eastAsia" w:ascii="仿宋_GB2312" w:eastAsia="仿宋_GB2312"/>
          <w:sz w:val="28"/>
          <w:szCs w:val="28"/>
        </w:rPr>
        <w:t>万元，主要用于以下方面（按大类）：一教育支出5.20万元，占本年财政拨款支出0.02%；社会保障和就业支出219.45万元，占本年财政拨款支出0.78%；卫生健康支出142.04万元，占本年财政拨款支出0.50%；交通运输支出27805.05万元，占本年财政拨款支出98.70%。</w:t>
      </w:r>
    </w:p>
    <w:p w14:paraId="0A2A1518">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（二）一般公共预算财政拨款支出决算具体情况</w:t>
      </w:r>
    </w:p>
    <w:p w14:paraId="20F5CFC7">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1、</w:t>
      </w:r>
      <w:r>
        <w:rPr>
          <w:rFonts w:hint="eastAsia" w:ascii="仿宋_GB2312" w:eastAsia="仿宋_GB2312"/>
          <w:sz w:val="28"/>
          <w:szCs w:val="28"/>
        </w:rPr>
        <w:t>“教育支出”2024年度年初预算</w:t>
      </w:r>
      <w:r>
        <w:rPr>
          <w:rFonts w:hint="eastAsia" w:ascii="仿宋_GB2312" w:eastAsia="仿宋_GB2312"/>
          <w:sz w:val="28"/>
          <w:szCs w:val="28"/>
          <w:lang w:val="en-US" w:eastAsia="zh-CN"/>
        </w:rPr>
        <w:t>5.20</w:t>
      </w:r>
      <w:r>
        <w:rPr>
          <w:rFonts w:hint="eastAsia" w:ascii="仿宋_GB2312" w:eastAsia="仿宋_GB2312"/>
          <w:sz w:val="28"/>
          <w:szCs w:val="28"/>
        </w:rPr>
        <w:t>万元，2024年度决算</w:t>
      </w:r>
      <w:r>
        <w:rPr>
          <w:rFonts w:hint="eastAsia" w:ascii="仿宋_GB2312" w:eastAsia="仿宋_GB2312"/>
          <w:sz w:val="28"/>
          <w:szCs w:val="28"/>
          <w:lang w:val="en-US" w:eastAsia="zh-CN"/>
        </w:rPr>
        <w:t>5.20</w:t>
      </w:r>
      <w:r>
        <w:rPr>
          <w:rFonts w:hint="eastAsia" w:ascii="仿宋_GB2312" w:eastAsia="仿宋_GB2312"/>
          <w:sz w:val="28"/>
          <w:szCs w:val="28"/>
        </w:rPr>
        <w:t>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0A9C98D5">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“进修及培训”2024年度年初预算</w:t>
      </w:r>
      <w:r>
        <w:rPr>
          <w:rFonts w:hint="eastAsia" w:ascii="仿宋_GB2312" w:eastAsia="仿宋_GB2312"/>
          <w:sz w:val="28"/>
          <w:szCs w:val="28"/>
          <w:lang w:val="en-US" w:eastAsia="zh-CN"/>
        </w:rPr>
        <w:t>5.20</w:t>
      </w:r>
      <w:r>
        <w:rPr>
          <w:rFonts w:hint="eastAsia" w:ascii="仿宋_GB2312" w:eastAsia="仿宋_GB2312"/>
          <w:sz w:val="28"/>
          <w:szCs w:val="28"/>
        </w:rPr>
        <w:t>万元，2024年度决算</w:t>
      </w:r>
      <w:r>
        <w:rPr>
          <w:rFonts w:hint="eastAsia" w:ascii="仿宋_GB2312" w:eastAsia="仿宋_GB2312"/>
          <w:sz w:val="28"/>
          <w:szCs w:val="28"/>
          <w:lang w:val="en-US" w:eastAsia="zh-CN"/>
        </w:rPr>
        <w:t>5.20</w:t>
      </w:r>
      <w:r>
        <w:rPr>
          <w:rFonts w:hint="eastAsia" w:ascii="仿宋_GB2312" w:eastAsia="仿宋_GB2312"/>
          <w:sz w:val="28"/>
          <w:szCs w:val="28"/>
        </w:rPr>
        <w:t>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13AF8FF2">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2、</w:t>
      </w:r>
      <w:r>
        <w:rPr>
          <w:rFonts w:hint="eastAsia" w:ascii="仿宋_GB2312" w:eastAsia="仿宋_GB2312"/>
          <w:sz w:val="28"/>
          <w:szCs w:val="28"/>
        </w:rPr>
        <w:t>“社会保障和就业支出”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218.97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219.45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100.22</w:t>
      </w:r>
      <w:r>
        <w:rPr>
          <w:rFonts w:hint="eastAsia" w:ascii="仿宋_GB2312" w:eastAsia="仿宋_GB2312"/>
          <w:sz w:val="28"/>
          <w:szCs w:val="28"/>
          <w:highlight w:val="none"/>
        </w:rPr>
        <w:t>%。</w:t>
      </w:r>
      <w:r>
        <w:rPr>
          <w:rFonts w:hint="eastAsia" w:ascii="仿宋_GB2312" w:eastAsia="仿宋_GB2312"/>
          <w:sz w:val="28"/>
          <w:szCs w:val="28"/>
        </w:rPr>
        <w:t>其中：</w:t>
      </w:r>
    </w:p>
    <w:p w14:paraId="2C601429">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“行政事业单位养老支出”2024年度年初预算218.97万元，2024年度决算219.45万元，完成年初预算的100.22%。主要原因：执行全市统一机关养老保险缴费标准，在预算执行过程中根据实际人员变动情况安排支出。</w:t>
      </w:r>
    </w:p>
    <w:p w14:paraId="46E45680">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3、</w:t>
      </w:r>
      <w:r>
        <w:rPr>
          <w:rFonts w:hint="eastAsia" w:ascii="仿宋_GB2312" w:eastAsia="仿宋_GB2312"/>
          <w:sz w:val="28"/>
          <w:szCs w:val="28"/>
        </w:rPr>
        <w:t>“卫生健康支出”2024年度年初预算142.04万元，2024年度决算142.04万元，完成年初预算的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17ED3B8A">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“行政事业单位医疗”2024年度年初预算142.04万元，2024年度决算142.04万元，完成年初预算的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6FDDB91A">
      <w:pPr>
        <w:numPr>
          <w:ilvl w:val="0"/>
          <w:numId w:val="0"/>
        </w:numPr>
        <w:autoSpaceDE w:val="0"/>
        <w:autoSpaceDN w:val="0"/>
        <w:adjustRightInd w:val="0"/>
        <w:spacing w:line="580" w:lineRule="exact"/>
        <w:ind w:left="0" w:leftChars="0" w:firstLine="560" w:firstLineChars="200"/>
        <w:jc w:val="left"/>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4、</w:t>
      </w:r>
      <w:r>
        <w:rPr>
          <w:rFonts w:hint="eastAsia" w:ascii="仿宋_GB2312" w:eastAsia="仿宋_GB2312"/>
          <w:sz w:val="28"/>
          <w:szCs w:val="28"/>
        </w:rPr>
        <w:t>“交通运输支出”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年度年初预算11659</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年度决算27805.05万元，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238.47</w:t>
      </w:r>
      <w:r>
        <w:rPr>
          <w:rFonts w:hint="eastAsia" w:ascii="仿宋_GB2312" w:eastAsia="仿宋_GB2312"/>
          <w:sz w:val="28"/>
          <w:szCs w:val="28"/>
          <w:highlight w:val="none"/>
        </w:rPr>
        <w:t>%。</w:t>
      </w:r>
      <w:r>
        <w:rPr>
          <w:rFonts w:hint="eastAsia" w:ascii="仿宋_GB2312" w:eastAsia="仿宋_GB2312"/>
          <w:sz w:val="28"/>
          <w:szCs w:val="28"/>
        </w:rPr>
        <w:t>其中：</w:t>
      </w:r>
    </w:p>
    <w:p w14:paraId="1FBD882C">
      <w:pPr>
        <w:numPr>
          <w:ilvl w:val="0"/>
          <w:numId w:val="0"/>
        </w:numPr>
        <w:autoSpaceDE w:val="0"/>
        <w:autoSpaceDN w:val="0"/>
        <w:adjustRightInd w:val="0"/>
        <w:spacing w:line="580" w:lineRule="exact"/>
        <w:ind w:left="0" w:leftChars="0"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rPr>
        <w:t>“公路水路运输”2024年度年初预算11659.68万元，2024年度决算27805.05万元，完成年初预算的238.47%。</w:t>
      </w:r>
      <w:r>
        <w:rPr>
          <w:rFonts w:hint="eastAsia" w:ascii="仿宋_GB2312" w:eastAsia="仿宋_GB2312"/>
          <w:sz w:val="28"/>
          <w:szCs w:val="28"/>
          <w:highlight w:val="none"/>
        </w:rPr>
        <w:t>主要原因：年中</w:t>
      </w:r>
      <w:r>
        <w:rPr>
          <w:rFonts w:hint="eastAsia" w:ascii="仿宋_GB2312" w:eastAsia="仿宋_GB2312"/>
          <w:sz w:val="28"/>
          <w:szCs w:val="28"/>
          <w:highlight w:val="none"/>
          <w:lang w:eastAsia="zh-CN"/>
        </w:rPr>
        <w:t>追加</w:t>
      </w:r>
      <w:r>
        <w:rPr>
          <w:rFonts w:hint="eastAsia" w:ascii="仿宋_GB2312" w:eastAsia="仿宋_GB2312"/>
          <w:sz w:val="28"/>
          <w:szCs w:val="28"/>
          <w:highlight w:val="none"/>
        </w:rPr>
        <w:t>了公路建设及养护资金</w:t>
      </w:r>
      <w:r>
        <w:rPr>
          <w:rFonts w:hint="eastAsia" w:ascii="仿宋_GB2312" w:eastAsia="仿宋_GB2312"/>
          <w:sz w:val="28"/>
          <w:szCs w:val="28"/>
          <w:highlight w:val="none"/>
          <w:lang w:eastAsia="zh-CN"/>
        </w:rPr>
        <w:t>预算</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追加</w:t>
      </w:r>
      <w:r>
        <w:rPr>
          <w:rFonts w:hint="eastAsia" w:ascii="仿宋_GB2312" w:eastAsia="仿宋_GB2312"/>
          <w:sz w:val="28"/>
          <w:szCs w:val="28"/>
          <w:highlight w:val="none"/>
        </w:rPr>
        <w:t>平关路提级改造等工程</w:t>
      </w:r>
      <w:r>
        <w:rPr>
          <w:rFonts w:hint="eastAsia" w:ascii="仿宋_GB2312" w:eastAsia="仿宋_GB2312"/>
          <w:sz w:val="28"/>
          <w:szCs w:val="28"/>
          <w:highlight w:val="none"/>
          <w:lang w:eastAsia="zh-CN"/>
        </w:rPr>
        <w:t>。</w:t>
      </w:r>
    </w:p>
    <w:p w14:paraId="24CC1E9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C6D267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31CD984E">
      <w:pPr>
        <w:tabs>
          <w:tab w:val="center" w:pos="6979"/>
        </w:tabs>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2024年度政府性基金预算财政拨款支出1500</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00</w:t>
      </w:r>
      <w:r>
        <w:rPr>
          <w:rFonts w:hint="eastAsia" w:ascii="仿宋_GB2312" w:eastAsia="仿宋_GB2312"/>
          <w:sz w:val="28"/>
          <w:szCs w:val="28"/>
          <w:highlight w:val="none"/>
          <w:lang w:eastAsia="zh-CN"/>
        </w:rPr>
        <w:t>万</w:t>
      </w:r>
      <w:r>
        <w:rPr>
          <w:rFonts w:hint="eastAsia" w:ascii="仿宋_GB2312" w:eastAsia="仿宋_GB2312"/>
          <w:sz w:val="28"/>
          <w:szCs w:val="28"/>
          <w:highlight w:val="none"/>
        </w:rPr>
        <w:t>元，主要用于以下方面：城乡社区支出1500.00万元，占本年财政拨款支出100.00%。</w:t>
      </w:r>
    </w:p>
    <w:p w14:paraId="61D62AA6">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（二）政府性基金预算财政拨款支出决算具体情况</w:t>
      </w:r>
    </w:p>
    <w:p w14:paraId="342FD56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1、“城乡社区支出”2024年度年初预算</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2024年度决算1500.00万元。其中：</w:t>
      </w:r>
    </w:p>
    <w:p w14:paraId="2E43E545">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“国有土地使用权出让收入安排的支出”2024年度年初预算0.00万元，2024年度决算1500.00万元。主要原因：年中</w:t>
      </w:r>
      <w:r>
        <w:rPr>
          <w:rFonts w:hint="eastAsia" w:ascii="仿宋_GB2312" w:eastAsia="仿宋_GB2312"/>
          <w:sz w:val="28"/>
          <w:szCs w:val="28"/>
          <w:highlight w:val="none"/>
          <w:lang w:eastAsia="zh-CN"/>
        </w:rPr>
        <w:t>追加</w:t>
      </w:r>
      <w:r>
        <w:rPr>
          <w:rFonts w:hint="eastAsia" w:ascii="仿宋_GB2312" w:eastAsia="仿宋_GB2312"/>
          <w:sz w:val="28"/>
          <w:szCs w:val="28"/>
          <w:highlight w:val="none"/>
        </w:rPr>
        <w:t>东撞路道路工程项目资金</w:t>
      </w:r>
      <w:r>
        <w:rPr>
          <w:rFonts w:hint="eastAsia" w:ascii="仿宋_GB2312" w:eastAsia="仿宋_GB2312"/>
          <w:sz w:val="28"/>
          <w:szCs w:val="28"/>
          <w:highlight w:val="none"/>
          <w:lang w:eastAsia="zh-CN"/>
        </w:rPr>
        <w:t>预算</w:t>
      </w:r>
      <w:r>
        <w:rPr>
          <w:rFonts w:hint="eastAsia" w:ascii="仿宋_GB2312" w:eastAsia="仿宋_GB2312"/>
          <w:sz w:val="28"/>
          <w:szCs w:val="28"/>
          <w:highlight w:val="none"/>
        </w:rPr>
        <w:t>。</w:t>
      </w:r>
    </w:p>
    <w:p w14:paraId="7E870BB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1D2039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w:t>
      </w:r>
    </w:p>
    <w:p w14:paraId="235CF96B">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418568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2020.36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C69038C">
      <w:pPr>
        <w:autoSpaceDE w:val="0"/>
        <w:autoSpaceDN w:val="0"/>
        <w:adjustRightInd w:val="0"/>
        <w:spacing w:line="580" w:lineRule="exact"/>
        <w:jc w:val="both"/>
        <w:rPr>
          <w:rFonts w:ascii="仿宋_GB2312" w:eastAsia="仿宋_GB2312"/>
          <w:b/>
          <w:sz w:val="32"/>
          <w:szCs w:val="32"/>
        </w:rPr>
      </w:pPr>
    </w:p>
    <w:p w14:paraId="644E722C">
      <w:pPr>
        <w:autoSpaceDE w:val="0"/>
        <w:autoSpaceDN w:val="0"/>
        <w:adjustRightInd w:val="0"/>
        <w:spacing w:line="580" w:lineRule="exact"/>
        <w:jc w:val="both"/>
        <w:rPr>
          <w:rFonts w:ascii="仿宋_GB2312" w:eastAsia="仿宋_GB2312"/>
          <w:b/>
          <w:sz w:val="32"/>
          <w:szCs w:val="32"/>
        </w:rPr>
      </w:pPr>
    </w:p>
    <w:p w14:paraId="193C456B">
      <w:pPr>
        <w:autoSpaceDE w:val="0"/>
        <w:autoSpaceDN w:val="0"/>
        <w:adjustRightInd w:val="0"/>
        <w:spacing w:line="580" w:lineRule="exact"/>
        <w:jc w:val="both"/>
        <w:rPr>
          <w:rFonts w:ascii="仿宋_GB2312" w:eastAsia="仿宋_GB2312"/>
          <w:b/>
          <w:sz w:val="32"/>
          <w:szCs w:val="32"/>
        </w:rPr>
      </w:pPr>
    </w:p>
    <w:p w14:paraId="71099B28">
      <w:pPr>
        <w:autoSpaceDE w:val="0"/>
        <w:autoSpaceDN w:val="0"/>
        <w:adjustRightInd w:val="0"/>
        <w:spacing w:line="580" w:lineRule="exact"/>
        <w:jc w:val="both"/>
        <w:rPr>
          <w:rFonts w:ascii="仿宋_GB2312" w:eastAsia="仿宋_GB2312"/>
          <w:b/>
          <w:sz w:val="32"/>
          <w:szCs w:val="32"/>
        </w:rPr>
      </w:pPr>
    </w:p>
    <w:p w14:paraId="2B66E7BE">
      <w:pPr>
        <w:autoSpaceDE w:val="0"/>
        <w:autoSpaceDN w:val="0"/>
        <w:adjustRightInd w:val="0"/>
        <w:spacing w:line="580" w:lineRule="exact"/>
        <w:jc w:val="both"/>
        <w:rPr>
          <w:rFonts w:ascii="仿宋_GB2312" w:eastAsia="仿宋_GB2312"/>
          <w:b/>
          <w:sz w:val="32"/>
          <w:szCs w:val="32"/>
        </w:rPr>
      </w:pPr>
    </w:p>
    <w:p w14:paraId="2003D5DA">
      <w:pPr>
        <w:autoSpaceDE w:val="0"/>
        <w:autoSpaceDN w:val="0"/>
        <w:adjustRightInd w:val="0"/>
        <w:spacing w:line="580" w:lineRule="exact"/>
        <w:jc w:val="both"/>
        <w:rPr>
          <w:rFonts w:ascii="仿宋_GB2312" w:eastAsia="仿宋_GB2312"/>
          <w:b/>
          <w:sz w:val="32"/>
          <w:szCs w:val="32"/>
        </w:rPr>
      </w:pPr>
    </w:p>
    <w:p w14:paraId="4A484156">
      <w:pPr>
        <w:autoSpaceDE w:val="0"/>
        <w:autoSpaceDN w:val="0"/>
        <w:adjustRightInd w:val="0"/>
        <w:spacing w:line="580" w:lineRule="exact"/>
        <w:jc w:val="both"/>
        <w:rPr>
          <w:rFonts w:ascii="仿宋_GB2312" w:eastAsia="仿宋_GB2312"/>
          <w:b/>
          <w:sz w:val="32"/>
          <w:szCs w:val="32"/>
        </w:rPr>
      </w:pPr>
    </w:p>
    <w:p w14:paraId="626CFFC5">
      <w:pPr>
        <w:autoSpaceDE w:val="0"/>
        <w:autoSpaceDN w:val="0"/>
        <w:adjustRightInd w:val="0"/>
        <w:spacing w:line="580" w:lineRule="exact"/>
        <w:jc w:val="both"/>
        <w:rPr>
          <w:rFonts w:ascii="仿宋_GB2312" w:eastAsia="仿宋_GB2312"/>
          <w:b/>
          <w:sz w:val="32"/>
          <w:szCs w:val="32"/>
        </w:rPr>
      </w:pPr>
    </w:p>
    <w:p w14:paraId="7C70B435">
      <w:pPr>
        <w:autoSpaceDE w:val="0"/>
        <w:autoSpaceDN w:val="0"/>
        <w:adjustRightInd w:val="0"/>
        <w:spacing w:line="580" w:lineRule="exact"/>
        <w:jc w:val="both"/>
        <w:rPr>
          <w:rFonts w:hint="eastAsia" w:ascii="仿宋_GB2312" w:eastAsia="仿宋_GB2312"/>
          <w:b/>
          <w:sz w:val="32"/>
          <w:szCs w:val="32"/>
        </w:rPr>
      </w:pPr>
    </w:p>
    <w:p w14:paraId="0674200F">
      <w:pPr>
        <w:autoSpaceDE w:val="0"/>
        <w:autoSpaceDN w:val="0"/>
        <w:adjustRightInd w:val="0"/>
        <w:spacing w:line="580" w:lineRule="exact"/>
        <w:jc w:val="both"/>
        <w:rPr>
          <w:rFonts w:hint="eastAsia" w:ascii="仿宋_GB2312" w:eastAsia="仿宋_GB2312"/>
          <w:b/>
          <w:sz w:val="32"/>
          <w:szCs w:val="32"/>
        </w:rPr>
      </w:pPr>
    </w:p>
    <w:p w14:paraId="63265413">
      <w:pPr>
        <w:pStyle w:val="2"/>
        <w:rPr>
          <w:rFonts w:hint="eastAsia" w:ascii="仿宋_GB2312" w:eastAsia="仿宋_GB2312"/>
          <w:b/>
          <w:sz w:val="32"/>
          <w:szCs w:val="32"/>
        </w:rPr>
      </w:pPr>
    </w:p>
    <w:p w14:paraId="5105739E">
      <w:pPr>
        <w:tabs>
          <w:tab w:val="center" w:pos="6979"/>
        </w:tabs>
        <w:jc w:val="both"/>
        <w:rPr>
          <w:rFonts w:hint="eastAsia" w:ascii="宋体" w:hAnsi="宋体" w:cs="宋体"/>
          <w:b/>
          <w:bCs/>
          <w:spacing w:val="40"/>
          <w:kern w:val="0"/>
          <w:sz w:val="32"/>
          <w:szCs w:val="32"/>
        </w:rPr>
      </w:pPr>
    </w:p>
    <w:p w14:paraId="3BADBBD9">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FE04F4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CEAEE6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6.94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w:t>
      </w:r>
      <w:r>
        <w:rPr>
          <w:rFonts w:hint="eastAsia" w:ascii="仿宋_GB2312" w:eastAsia="仿宋_GB2312"/>
          <w:sz w:val="28"/>
          <w:szCs w:val="28"/>
          <w:lang w:val="en-US" w:eastAsia="zh-CN"/>
        </w:rPr>
        <w:t>.00</w:t>
      </w:r>
      <w:r>
        <w:rPr>
          <w:rFonts w:hint="eastAsia" w:ascii="仿宋_GB2312" w:eastAsia="仿宋_GB2312"/>
          <w:sz w:val="28"/>
          <w:szCs w:val="28"/>
        </w:rPr>
        <w:t>万元减少</w:t>
      </w:r>
      <w:r>
        <w:rPr>
          <w:rFonts w:ascii="仿宋_GB2312" w:eastAsia="仿宋_GB2312"/>
          <w:sz w:val="28"/>
          <w:szCs w:val="28"/>
        </w:rPr>
        <w:t>0.06</w:t>
      </w:r>
      <w:r>
        <w:rPr>
          <w:rFonts w:hint="eastAsia" w:ascii="仿宋_GB2312" w:eastAsia="仿宋_GB2312"/>
          <w:sz w:val="28"/>
          <w:szCs w:val="28"/>
        </w:rPr>
        <w:t>万元。其中：</w:t>
      </w:r>
    </w:p>
    <w:p w14:paraId="2CC45A2B">
      <w:pPr>
        <w:spacing w:line="560" w:lineRule="exact"/>
        <w:ind w:firstLine="600"/>
        <w:rPr>
          <w:rFonts w:hint="eastAsia" w:ascii="仿宋_GB2312" w:eastAsia="仿宋_GB2312"/>
          <w:sz w:val="28"/>
          <w:szCs w:val="28"/>
          <w:highlight w:val="yellow"/>
        </w:rPr>
      </w:pPr>
      <w:r>
        <w:rPr>
          <w:rFonts w:hint="eastAsia" w:ascii="仿宋_GB2312" w:eastAsia="仿宋_GB2312"/>
          <w:sz w:val="28"/>
          <w:szCs w:val="28"/>
        </w:rPr>
        <w:t>1.因公出国（境）费用。</w:t>
      </w:r>
      <w:r>
        <w:rPr>
          <w:rFonts w:hint="eastAsia" w:ascii="仿宋_GB2312" w:eastAsia="仿宋_GB2312"/>
          <w:sz w:val="28"/>
          <w:szCs w:val="28"/>
          <w:highlight w:val="none"/>
          <w:lang w:eastAsia="zh-CN"/>
        </w:rPr>
        <w:t>本单位无此项支出。</w:t>
      </w:r>
    </w:p>
    <w:p w14:paraId="0FB1CFE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0.05</w:t>
      </w:r>
      <w:r>
        <w:rPr>
          <w:rFonts w:hint="eastAsia" w:ascii="仿宋_GB2312" w:eastAsia="仿宋_GB2312"/>
          <w:sz w:val="28"/>
          <w:szCs w:val="28"/>
        </w:rPr>
        <w:t>万元减少</w:t>
      </w:r>
      <w:r>
        <w:rPr>
          <w:rFonts w:ascii="仿宋_GB2312" w:eastAsia="仿宋_GB2312"/>
          <w:sz w:val="28"/>
          <w:szCs w:val="28"/>
        </w:rPr>
        <w:t>0.05</w:t>
      </w:r>
      <w:r>
        <w:rPr>
          <w:rFonts w:hint="eastAsia" w:ascii="仿宋_GB2312" w:eastAsia="仿宋_GB2312"/>
          <w:sz w:val="28"/>
          <w:szCs w:val="28"/>
        </w:rPr>
        <w:t>万元。主要原因：落实过“紧日子”思想，压减一般性支出。公务接待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5ACB829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6.94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6.95</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ascii="仿宋_GB2312" w:eastAsia="仿宋_GB2312"/>
          <w:sz w:val="28"/>
          <w:szCs w:val="28"/>
        </w:rPr>
        <w:t>.01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trike w:val="0"/>
          <w:dstrike w:val="0"/>
          <w:sz w:val="28"/>
          <w:szCs w:val="28"/>
          <w:highlight w:val="none"/>
        </w:rPr>
        <w:t>主要原因：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6.94</w:t>
      </w:r>
      <w:r>
        <w:rPr>
          <w:rFonts w:hint="eastAsia" w:ascii="仿宋_GB2312" w:eastAsia="仿宋_GB2312"/>
          <w:sz w:val="28"/>
          <w:szCs w:val="28"/>
        </w:rPr>
        <w:t>万元，主要原因：落实过“紧日子”思想，压减一般性支出。202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14:paraId="74D6629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84C279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286.62</w:t>
      </w:r>
      <w:r>
        <w:rPr>
          <w:rFonts w:hint="eastAsia" w:ascii="仿宋_GB2312" w:eastAsia="仿宋_GB2312"/>
          <w:sz w:val="28"/>
          <w:szCs w:val="28"/>
        </w:rPr>
        <w:t>万元，比上年减少</w:t>
      </w:r>
      <w:r>
        <w:rPr>
          <w:rFonts w:hint="eastAsia" w:ascii="仿宋_GB2312" w:eastAsia="仿宋_GB2312"/>
          <w:sz w:val="28"/>
          <w:szCs w:val="28"/>
          <w:lang w:val="en-US" w:eastAsia="zh-CN"/>
        </w:rPr>
        <w:t>14.01</w:t>
      </w:r>
      <w:r>
        <w:rPr>
          <w:rFonts w:hint="eastAsia" w:ascii="仿宋_GB2312" w:eastAsia="仿宋_GB2312"/>
          <w:sz w:val="28"/>
          <w:szCs w:val="28"/>
        </w:rPr>
        <w:t>万元，减少原因：严格落实过“紧日子”要求，合理安排机关运行经费，压减一般性支出。</w:t>
      </w:r>
    </w:p>
    <w:p w14:paraId="72AAC4E8">
      <w:pPr>
        <w:ind w:left="540"/>
        <w:rPr>
          <w:rFonts w:hint="eastAsia" w:ascii="黑体" w:eastAsia="黑体"/>
          <w:sz w:val="28"/>
          <w:szCs w:val="28"/>
        </w:rPr>
      </w:pPr>
      <w:r>
        <w:rPr>
          <w:rFonts w:hint="eastAsia" w:ascii="黑体" w:eastAsia="黑体"/>
          <w:sz w:val="28"/>
          <w:szCs w:val="28"/>
        </w:rPr>
        <w:t>三、政府采购支出情况</w:t>
      </w:r>
    </w:p>
    <w:p w14:paraId="2EEEFDD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175.65</w:t>
      </w:r>
      <w:r>
        <w:rPr>
          <w:rFonts w:hint="eastAsia" w:ascii="仿宋_GB2312" w:eastAsia="仿宋_GB2312"/>
          <w:sz w:val="28"/>
          <w:szCs w:val="28"/>
        </w:rPr>
        <w:t>万元，其中：政府采购货物支出</w:t>
      </w:r>
      <w:r>
        <w:rPr>
          <w:rFonts w:ascii="仿宋_GB2312" w:eastAsia="仿宋_GB2312"/>
          <w:sz w:val="28"/>
          <w:szCs w:val="28"/>
        </w:rPr>
        <w:t>16.71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万元，政府采购服务支出</w:t>
      </w:r>
      <w:r>
        <w:rPr>
          <w:rFonts w:ascii="仿宋_GB2312" w:eastAsia="仿宋_GB2312"/>
          <w:sz w:val="28"/>
          <w:szCs w:val="28"/>
        </w:rPr>
        <w:t>158.94</w:t>
      </w:r>
      <w:r>
        <w:rPr>
          <w:rFonts w:hint="eastAsia" w:ascii="仿宋_GB2312" w:eastAsia="仿宋_GB2312"/>
          <w:sz w:val="28"/>
          <w:szCs w:val="28"/>
        </w:rPr>
        <w:t>万元。授予中小企业合同金额</w:t>
      </w:r>
      <w:r>
        <w:rPr>
          <w:rFonts w:ascii="仿宋_GB2312" w:eastAsia="仿宋_GB2312"/>
          <w:sz w:val="28"/>
          <w:szCs w:val="28"/>
        </w:rPr>
        <w:t>171.74</w:t>
      </w:r>
      <w:r>
        <w:rPr>
          <w:rFonts w:hint="eastAsia" w:ascii="仿宋_GB2312" w:eastAsia="仿宋_GB2312"/>
          <w:sz w:val="28"/>
          <w:szCs w:val="28"/>
        </w:rPr>
        <w:t>万元，占政府采购支出总额的</w:t>
      </w:r>
      <w:r>
        <w:rPr>
          <w:rFonts w:hint="eastAsia" w:ascii="仿宋_GB2312" w:eastAsia="仿宋_GB2312"/>
          <w:sz w:val="28"/>
          <w:szCs w:val="28"/>
          <w:lang w:eastAsia="zh-CN"/>
        </w:rPr>
        <w:t>97.77</w:t>
      </w:r>
      <w:r>
        <w:rPr>
          <w:rFonts w:hint="eastAsia" w:ascii="仿宋_GB2312" w:eastAsia="仿宋_GB2312"/>
          <w:sz w:val="28"/>
          <w:szCs w:val="28"/>
        </w:rPr>
        <w:t>%，其中：授予小微企业合同金额</w:t>
      </w:r>
      <w:r>
        <w:rPr>
          <w:rFonts w:ascii="仿宋_GB2312" w:eastAsia="仿宋_GB2312"/>
          <w:sz w:val="28"/>
          <w:szCs w:val="28"/>
        </w:rPr>
        <w:t>171.74</w:t>
      </w:r>
      <w:r>
        <w:rPr>
          <w:rFonts w:hint="eastAsia" w:ascii="仿宋_GB2312" w:eastAsia="仿宋_GB2312"/>
          <w:sz w:val="28"/>
          <w:szCs w:val="28"/>
        </w:rPr>
        <w:t>万元，占政府采购支出总额的</w:t>
      </w:r>
      <w:r>
        <w:rPr>
          <w:rFonts w:ascii="仿宋_GB2312" w:eastAsia="仿宋_GB2312"/>
          <w:sz w:val="28"/>
          <w:szCs w:val="28"/>
        </w:rPr>
        <w:t>97.77</w:t>
      </w:r>
      <w:r>
        <w:rPr>
          <w:rFonts w:hint="eastAsia" w:ascii="仿宋_GB2312" w:eastAsia="仿宋_GB2312"/>
          <w:sz w:val="28"/>
          <w:szCs w:val="28"/>
        </w:rPr>
        <w:t>%。</w:t>
      </w:r>
    </w:p>
    <w:p w14:paraId="2BBBACB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F5449D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12月31日，北京市交通委员会平谷公路分局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14:paraId="22B6800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4B6CA4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14:paraId="4D61FA1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FE280D9">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2CEDA18">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7DF311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DEA7F31">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F03B77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ABB1D6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505695">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14:paraId="4346A59C">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14:paraId="61A8CDC3">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3CABA9AA">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67C1CDAE">
      <w:pPr>
        <w:ind w:firstLine="420" w:firstLineChars="15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14:paraId="6747D2AC">
      <w:pPr>
        <w:ind w:firstLine="420" w:firstLineChars="150"/>
        <w:rPr>
          <w:rFonts w:hint="eastAsia" w:ascii="仿宋_GB2312" w:eastAsia="仿宋_GB2312"/>
          <w:sz w:val="28"/>
          <w:szCs w:val="28"/>
        </w:rPr>
      </w:pPr>
      <w:r>
        <w:rPr>
          <w:rFonts w:hint="eastAsia" w:ascii="仿宋_GB2312" w:eastAsia="仿宋_GB2312"/>
          <w:sz w:val="28"/>
          <w:szCs w:val="28"/>
        </w:rPr>
        <w:t>12.社会保障和就业支出（类）抚恤（款）死亡抚恤（项）：反映按规定用于烈士和牺牲、病故人员家属的一次性和定期抚恤金、丧葬补助费以及烈士褒扬金。</w:t>
      </w:r>
    </w:p>
    <w:p w14:paraId="418534FD">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14:paraId="0C9DCFB6">
      <w:pPr>
        <w:ind w:firstLine="420" w:firstLineChars="150"/>
        <w:rPr>
          <w:rFonts w:hint="eastAsia"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7E0163E2">
      <w:pPr>
        <w:ind w:firstLine="420" w:firstLineChars="150"/>
        <w:rPr>
          <w:rFonts w:hint="eastAsia" w:ascii="仿宋_GB2312" w:eastAsia="仿宋_GB2312"/>
          <w:sz w:val="28"/>
          <w:szCs w:val="28"/>
        </w:rPr>
      </w:pPr>
      <w:r>
        <w:rPr>
          <w:rFonts w:hint="eastAsia" w:ascii="仿宋_GB2312" w:eastAsia="仿宋_GB2312"/>
          <w:sz w:val="28"/>
          <w:szCs w:val="28"/>
        </w:rPr>
        <w:t>15.城乡社区支出（类）城乡社区管理事务（款）行政运行（项）：反映行政单位（包括实行公务员管理的事业单位）的基本支出。</w:t>
      </w:r>
    </w:p>
    <w:p w14:paraId="5CB0DAA4">
      <w:pPr>
        <w:ind w:firstLine="420" w:firstLineChars="150"/>
        <w:rPr>
          <w:rFonts w:hint="eastAsia" w:ascii="仿宋_GB2312" w:eastAsia="仿宋_GB2312"/>
          <w:sz w:val="28"/>
          <w:szCs w:val="28"/>
        </w:rPr>
      </w:pPr>
      <w:r>
        <w:rPr>
          <w:rFonts w:hint="eastAsia" w:ascii="仿宋_GB2312" w:eastAsia="仿宋_GB2312"/>
          <w:sz w:val="28"/>
          <w:szCs w:val="28"/>
        </w:rPr>
        <w:t>16.城乡社区支出（类）城乡社区管理事务（款）一般行政管理事务（项）：反映行政单位（包括实行公务员管理的事业单位）未单独设置项级科目的其他项目支出。</w:t>
      </w:r>
    </w:p>
    <w:p w14:paraId="12BE2CD3">
      <w:pPr>
        <w:ind w:firstLine="420" w:firstLineChars="150"/>
        <w:rPr>
          <w:rFonts w:hint="eastAsia" w:ascii="仿宋_GB2312" w:eastAsia="仿宋_GB2312"/>
          <w:sz w:val="28"/>
          <w:szCs w:val="28"/>
        </w:rPr>
      </w:pPr>
      <w:r>
        <w:rPr>
          <w:rFonts w:hint="eastAsia" w:ascii="仿宋_GB2312" w:eastAsia="仿宋_GB2312"/>
          <w:sz w:val="28"/>
          <w:szCs w:val="28"/>
        </w:rPr>
        <w:t>17.城乡社区支出（类）城乡社区管理事务（款）机关服务（项）：反映为行政单位（包括实行公务员管理的事业单位）提供后勤服务的各类后勤服务中心、医务室等附属事业单位的支出。</w:t>
      </w:r>
    </w:p>
    <w:p w14:paraId="11969CE3">
      <w:pPr>
        <w:ind w:firstLine="420" w:firstLineChars="150"/>
        <w:rPr>
          <w:rFonts w:hint="eastAsia" w:ascii="仿宋_GB2312" w:eastAsia="仿宋_GB2312"/>
          <w:sz w:val="28"/>
          <w:szCs w:val="28"/>
        </w:rPr>
      </w:pPr>
      <w:r>
        <w:rPr>
          <w:rFonts w:hint="eastAsia" w:ascii="仿宋_GB2312" w:eastAsia="仿宋_GB2312"/>
          <w:sz w:val="28"/>
          <w:szCs w:val="28"/>
        </w:rPr>
        <w:t>18.城乡社区支出（类）城乡社区管理事务（款）工程建设标准规范编制与监管（项）：反映拟定工程建设国家标准和部管行业标准、监督指导各类工程建设标准定额的实施、管理工程造价等方面的支出。</w:t>
      </w:r>
    </w:p>
    <w:p w14:paraId="2C327E74">
      <w:pPr>
        <w:ind w:firstLine="420" w:firstLineChars="150"/>
        <w:rPr>
          <w:rFonts w:hint="eastAsia" w:ascii="仿宋_GB2312" w:eastAsia="仿宋_GB2312"/>
          <w:sz w:val="28"/>
          <w:szCs w:val="28"/>
        </w:rPr>
      </w:pPr>
      <w:r>
        <w:rPr>
          <w:rFonts w:hint="eastAsia" w:ascii="仿宋_GB2312" w:eastAsia="仿宋_GB2312"/>
          <w:sz w:val="28"/>
          <w:szCs w:val="28"/>
        </w:rPr>
        <w:t>19.城乡社区支出（类）城乡社区管理事务（款）工程建设管理（项）：反映调控建设市场运行、拟定建设市场法规、实施建筑工程质量、安全、工程勘察设计监管等方面的支出。</w:t>
      </w:r>
    </w:p>
    <w:p w14:paraId="16CAFC45">
      <w:pPr>
        <w:ind w:firstLine="420" w:firstLineChars="150"/>
        <w:rPr>
          <w:rFonts w:hint="eastAsia" w:ascii="仿宋_GB2312" w:eastAsia="仿宋_GB2312"/>
          <w:sz w:val="28"/>
          <w:szCs w:val="28"/>
        </w:rPr>
      </w:pPr>
      <w:r>
        <w:rPr>
          <w:rFonts w:hint="eastAsia" w:ascii="仿宋_GB2312" w:eastAsia="仿宋_GB2312"/>
          <w:sz w:val="28"/>
          <w:szCs w:val="28"/>
        </w:rPr>
        <w:t>20.城乡社区支出（类）城乡社区管理事务（款）住宅建设与房地产市场监管（项）：反映调控房地产市场运行、研究拟定城镇住房制度改革法规、对住房公积金和其他房改资金进行政策指导并监督使用等方面的支出。</w:t>
      </w:r>
    </w:p>
    <w:p w14:paraId="176819E1">
      <w:pPr>
        <w:ind w:firstLine="420" w:firstLineChars="150"/>
        <w:rPr>
          <w:rFonts w:hint="eastAsia" w:ascii="仿宋_GB2312" w:eastAsia="仿宋_GB2312"/>
          <w:sz w:val="28"/>
          <w:szCs w:val="28"/>
        </w:rPr>
      </w:pPr>
      <w:r>
        <w:rPr>
          <w:rFonts w:hint="eastAsia" w:ascii="仿宋_GB2312" w:eastAsia="仿宋_GB2312"/>
          <w:sz w:val="28"/>
          <w:szCs w:val="28"/>
        </w:rPr>
        <w:t>21.城乡社区支出（类）城乡社区管理事务（款）执业资格注册、资质审查（项）：反映执业资格注册和资质审查等行政事业性收费的成本性开支。</w:t>
      </w:r>
    </w:p>
    <w:p w14:paraId="79FF6B73">
      <w:pPr>
        <w:ind w:firstLine="420" w:firstLineChars="150"/>
        <w:rPr>
          <w:rFonts w:hint="eastAsia" w:ascii="仿宋_GB2312" w:eastAsia="仿宋_GB2312"/>
          <w:sz w:val="28"/>
          <w:szCs w:val="28"/>
        </w:rPr>
      </w:pPr>
      <w:r>
        <w:rPr>
          <w:rFonts w:hint="eastAsia" w:ascii="仿宋_GB2312" w:eastAsia="仿宋_GB2312"/>
          <w:sz w:val="28"/>
          <w:szCs w:val="28"/>
        </w:rPr>
        <w:t>22.城乡社区支出（类）城乡社区管理事务（款）其他城乡社区管理事务支出（项）：反映除上述项目以外其他用于城乡社区管理事务方面的支出。</w:t>
      </w:r>
    </w:p>
    <w:p w14:paraId="35C08B04">
      <w:pPr>
        <w:ind w:firstLine="420" w:firstLineChars="150"/>
        <w:rPr>
          <w:rFonts w:hint="eastAsia" w:ascii="仿宋_GB2312" w:eastAsia="仿宋_GB2312"/>
          <w:sz w:val="28"/>
          <w:szCs w:val="28"/>
        </w:rPr>
      </w:pPr>
      <w:r>
        <w:rPr>
          <w:rFonts w:hint="eastAsia" w:ascii="仿宋_GB2312" w:eastAsia="仿宋_GB2312"/>
          <w:sz w:val="28"/>
          <w:szCs w:val="28"/>
        </w:rPr>
        <w:t>23.城乡社区支出（类）建设市场管理与监督（款）建设市场管理与监督（项）：反映各类建筑工程强制性和推荐性标准及规范的制定与修改、建筑工程招投标等市场管理、建筑工程质量与安全监督等方面的支出。</w:t>
      </w:r>
    </w:p>
    <w:p w14:paraId="1FA45E6B">
      <w:pPr>
        <w:ind w:firstLine="420" w:firstLineChars="150"/>
        <w:rPr>
          <w:rFonts w:hint="eastAsia" w:ascii="仿宋_GB2312" w:eastAsia="仿宋_GB2312"/>
          <w:sz w:val="28"/>
          <w:szCs w:val="28"/>
        </w:rPr>
      </w:pPr>
      <w:r>
        <w:rPr>
          <w:rFonts w:hint="eastAsia" w:ascii="仿宋_GB2312" w:eastAsia="仿宋_GB2312"/>
          <w:sz w:val="28"/>
          <w:szCs w:val="28"/>
        </w:rPr>
        <w:t>24.住房保障支出（类）城乡社区住宅（款）其他城乡社区住宅支出（项）：反映除上述项目以外其他用于城乡社区住宅方面的支出。</w:t>
      </w:r>
    </w:p>
    <w:p w14:paraId="1C78868D">
      <w:pPr>
        <w:jc w:val="both"/>
        <w:rPr>
          <w:rFonts w:hint="eastAsia" w:ascii="黑体" w:eastAsia="黑体"/>
          <w:sz w:val="32"/>
          <w:szCs w:val="32"/>
        </w:rPr>
      </w:pPr>
    </w:p>
    <w:p w14:paraId="095B3DFE">
      <w:pPr>
        <w:tabs>
          <w:tab w:val="center" w:pos="6979"/>
        </w:tabs>
        <w:spacing w:line="380" w:lineRule="exact"/>
        <w:jc w:val="center"/>
        <w:rPr>
          <w:rFonts w:ascii="宋体" w:hAnsi="宋体" w:cs="宋体"/>
          <w:b/>
          <w:bCs/>
          <w:kern w:val="0"/>
          <w:sz w:val="28"/>
          <w:szCs w:val="28"/>
        </w:rPr>
      </w:pPr>
    </w:p>
    <w:p w14:paraId="2BFBECF3">
      <w:pPr>
        <w:tabs>
          <w:tab w:val="center" w:pos="6979"/>
        </w:tabs>
        <w:spacing w:line="380" w:lineRule="exact"/>
        <w:jc w:val="center"/>
        <w:rPr>
          <w:rFonts w:ascii="宋体" w:hAnsi="宋体" w:cs="宋体"/>
          <w:b/>
          <w:bCs/>
          <w:kern w:val="0"/>
          <w:sz w:val="28"/>
          <w:szCs w:val="28"/>
        </w:rPr>
      </w:pPr>
    </w:p>
    <w:p w14:paraId="6B930FAC">
      <w:pPr>
        <w:jc w:val="both"/>
        <w:rPr>
          <w:rFonts w:hint="eastAsia" w:ascii="黑体" w:eastAsia="黑体"/>
          <w:sz w:val="32"/>
          <w:szCs w:val="32"/>
        </w:rPr>
      </w:pPr>
    </w:p>
    <w:p w14:paraId="368EA341">
      <w:pPr>
        <w:jc w:val="both"/>
        <w:rPr>
          <w:rFonts w:hint="eastAsia" w:ascii="黑体" w:eastAsia="黑体"/>
          <w:sz w:val="32"/>
          <w:szCs w:val="32"/>
        </w:rPr>
      </w:pPr>
    </w:p>
    <w:p w14:paraId="28934C1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B6B5EC1">
      <w:pPr>
        <w:ind w:firstLine="560" w:firstLineChars="200"/>
        <w:rPr>
          <w:rFonts w:hint="eastAsia" w:ascii="黑体" w:eastAsia="黑体"/>
          <w:sz w:val="28"/>
          <w:szCs w:val="28"/>
          <w:highlight w:val="yellow"/>
        </w:rPr>
      </w:pPr>
    </w:p>
    <w:p w14:paraId="0FA56257">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14:paraId="1C9178E2">
      <w:pPr>
        <w:spacing w:line="480" w:lineRule="exact"/>
        <w:rPr>
          <w:rFonts w:hint="eastAsia" w:ascii="仿宋_GB2312" w:hAnsi="仿宋_GB2312" w:eastAsia="仿宋_GB2312" w:cs="仿宋_GB2312"/>
          <w:sz w:val="32"/>
          <w:szCs w:val="32"/>
        </w:rPr>
      </w:pPr>
    </w:p>
    <w:p w14:paraId="1915C8F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FC07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B5EAD8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45D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665EB7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351E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D473E2C">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042DAD"/>
    <w:rsid w:val="079004AC"/>
    <w:rsid w:val="0AA13068"/>
    <w:rsid w:val="0BA148CA"/>
    <w:rsid w:val="0C1165C4"/>
    <w:rsid w:val="0D6D544B"/>
    <w:rsid w:val="0DD136FE"/>
    <w:rsid w:val="0F726893"/>
    <w:rsid w:val="0F8E2C57"/>
    <w:rsid w:val="1059665E"/>
    <w:rsid w:val="10AC13BA"/>
    <w:rsid w:val="145A6C1B"/>
    <w:rsid w:val="14B73493"/>
    <w:rsid w:val="16137749"/>
    <w:rsid w:val="167A2FF9"/>
    <w:rsid w:val="17AE1010"/>
    <w:rsid w:val="18581C69"/>
    <w:rsid w:val="1AEC0734"/>
    <w:rsid w:val="1DEF20B0"/>
    <w:rsid w:val="214243FA"/>
    <w:rsid w:val="21AD613C"/>
    <w:rsid w:val="22467189"/>
    <w:rsid w:val="252510E2"/>
    <w:rsid w:val="257A14F5"/>
    <w:rsid w:val="25933963"/>
    <w:rsid w:val="27196C26"/>
    <w:rsid w:val="29EF086F"/>
    <w:rsid w:val="2D903A6D"/>
    <w:rsid w:val="2EFFE297"/>
    <w:rsid w:val="301437CA"/>
    <w:rsid w:val="30185B02"/>
    <w:rsid w:val="342C61EA"/>
    <w:rsid w:val="349D1F0A"/>
    <w:rsid w:val="34DD0473"/>
    <w:rsid w:val="371D0272"/>
    <w:rsid w:val="3C684897"/>
    <w:rsid w:val="433E495C"/>
    <w:rsid w:val="489F2FD7"/>
    <w:rsid w:val="4A123C5F"/>
    <w:rsid w:val="4AC27CB3"/>
    <w:rsid w:val="4BF72BEF"/>
    <w:rsid w:val="4F0C6007"/>
    <w:rsid w:val="4FA90297"/>
    <w:rsid w:val="4FC41A43"/>
    <w:rsid w:val="51DB3C59"/>
    <w:rsid w:val="550C0952"/>
    <w:rsid w:val="55762E42"/>
    <w:rsid w:val="55AF14F9"/>
    <w:rsid w:val="57A7B272"/>
    <w:rsid w:val="58470068"/>
    <w:rsid w:val="58747CAC"/>
    <w:rsid w:val="5A1720F9"/>
    <w:rsid w:val="5B9C37C2"/>
    <w:rsid w:val="5BA7C654"/>
    <w:rsid w:val="5D6D07E1"/>
    <w:rsid w:val="60A54109"/>
    <w:rsid w:val="61D01CDF"/>
    <w:rsid w:val="64C0607C"/>
    <w:rsid w:val="65756C86"/>
    <w:rsid w:val="661D1895"/>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600" b="1"/>
              <a:t>图</a:t>
            </a:r>
            <a:r>
              <a:rPr lang="en-US" altLang="zh-CN" sz="1600" b="1"/>
              <a:t>1:</a:t>
            </a:r>
            <a:r>
              <a:rPr lang="zh-CN" altLang="en-US" sz="1600" b="1"/>
              <a:t>收入决算</a:t>
            </a:r>
            <a:endParaRPr lang="zh-CN" altLang="en-US" sz="1600" b="1"/>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29818.76</c:v>
                </c:pt>
                <c:pt idx="1">
                  <c:v>20593.79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c39ad13-c61c-4839-8357-0a08bf5b32c1}"/>
      </c:ext>
    </c:extLst>
  </c:chart>
  <c:spPr>
    <a:solidFill>
      <a:schemeClr val="bg1"/>
    </a:solidFill>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图</a:t>
            </a:r>
            <a:r>
              <a:rPr lang="en-US" altLang="zh-CN"/>
              <a:t>2:</a:t>
            </a:r>
            <a:r>
              <a:rPr lang="zh-CN" altLang="en-US"/>
              <a:t>支出决算</a:t>
            </a:r>
            <a:endParaRPr lang="zh-CN" altLang="en-US"/>
          </a:p>
        </c:rich>
      </c:tx>
      <c:layout/>
      <c:overlay val="0"/>
    </c:title>
    <c:autoTitleDeleted val="0"/>
    <c:plotArea>
      <c:layout/>
      <c:pieChart>
        <c:varyColors val="1"/>
        <c:ser>
          <c:idx val="0"/>
          <c:order val="0"/>
          <c:tx>
            <c:strRef>
              <c:f>Sheet1!$B$1</c:f>
              <c:strCache>
                <c:ptCount val="1"/>
                <c:pt idx="0">
                  <c:v>支出决算</c:v>
                </c:pt>
              </c:strCache>
            </c:strRef>
          </c:tx>
          <c:explosion val="0"/>
          <c:dPt>
            <c:idx val="0"/>
            <c:bubble3D val="0"/>
          </c:dPt>
          <c:dPt>
            <c:idx val="1"/>
            <c:bubble3D val="0"/>
          </c:dPt>
          <c:dLbls>
            <c:dLbl>
              <c:idx val="1"/>
              <c:layout>
                <c:manualLayout>
                  <c:x val="-0.00933511737254695"/>
                  <c:y val="-0.25597833662581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General</c:formatCode>
                <c:ptCount val="2"/>
                <c:pt idx="0">
                  <c:v>2020.36</c:v>
                </c:pt>
                <c:pt idx="1">
                  <c:v>46867.02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f963832-8499-49c4-9859-85fbcb9cbbee}"/>
      </c:ext>
    </c:extLst>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4927</Words>
  <Characters>5646</Characters>
  <Lines>44</Lines>
  <Paragraphs>12</Paragraphs>
  <TotalTime>0</TotalTime>
  <ScaleCrop>false</ScaleCrop>
  <LinksUpToDate>false</LinksUpToDate>
  <CharactersWithSpaces>5664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王先生王先生王先生</cp:lastModifiedBy>
  <cp:lastPrinted>2020-08-07T11:39:00Z</cp:lastPrinted>
  <dcterms:modified xsi:type="dcterms:W3CDTF">2025-09-15T01:34:45Z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1DFFB766465A4DAE8A066C3AB88EEB04_13</vt:lpwstr>
  </property>
  <property fmtid="{D5CDD505-2E9C-101B-9397-08002B2CF9AE}" pid="4" name="KSOTemplateDocerSaveRecord">
    <vt:lpwstr>eyJoZGlkIjoiOTI0YmIyNThiOTVmZmUxMzI2NDJkMTUwZWI5OGI5M2EiLCJ1c2VySWQiOiIzNTI2NzIwMDkifQ==</vt:lpwstr>
  </property>
</Properties>
</file>