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pPr>
        <w:spacing w:line="480" w:lineRule="auto"/>
        <w:ind w:firstLine="560" w:firstLineChars="200"/>
        <w:rPr>
          <w:rFonts w:ascii="仿宋_GB2312" w:eastAsia="仿宋_GB2312"/>
          <w:sz w:val="28"/>
          <w:szCs w:val="28"/>
        </w:rPr>
      </w:pPr>
      <w:r>
        <w:rPr>
          <w:rFonts w:hint="eastAsia" w:ascii="仿宋_GB2312" w:eastAsia="仿宋_GB2312"/>
          <w:sz w:val="28"/>
          <w:szCs w:val="28"/>
        </w:rPr>
        <w:t>北京市城市道路养护管理中心是北京市交通委员会所属正处级公益一类事业单位，经费形式为财政补助。根据《中共北京市委机构编制委员会关于市交通委所属事业单位改革有关事项的批复》（京编委〔2021〕47 号）和《中共北京市交通委员会党组关于印发&lt;北京市城市道路养护管理中心机构职能编制方案&gt;的通知》（京交党发〔2022〕10 号），北京市城市道路养护管理中心内设科室12个,主要职责是：承担城市道路养护情况和占掘路情况的巡查工作;承担城市道路大中修工程计划、设计、预决算的技术审评工作;承担城市道路养护有关情况的收集、整理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135122.21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1647.15万元，增长1.23%。</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133186.48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1425.88万元，增长1.08%</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133186.4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129861.4</w:t>
      </w:r>
      <w:r>
        <w:rPr>
          <w:rFonts w:hint="eastAsia" w:ascii="仿宋_GB2312" w:eastAsia="仿宋_GB2312"/>
          <w:sz w:val="28"/>
          <w:szCs w:val="28"/>
        </w:rPr>
        <w:t>万元，占收入合计的</w:t>
      </w:r>
      <w:r>
        <w:rPr>
          <w:rFonts w:hint="eastAsia" w:ascii="仿宋_GB2312" w:eastAsia="仿宋_GB2312"/>
          <w:sz w:val="28"/>
          <w:szCs w:val="28"/>
          <w:lang w:eastAsia="zh-CN"/>
        </w:rPr>
        <w:t>97.5</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3325</w:t>
      </w:r>
      <w:r>
        <w:rPr>
          <w:rFonts w:hint="eastAsia" w:ascii="仿宋_GB2312" w:eastAsia="仿宋_GB2312"/>
          <w:sz w:val="28"/>
          <w:szCs w:val="28"/>
        </w:rPr>
        <w:t>万元，占收入合计的</w:t>
      </w:r>
      <w:r>
        <w:rPr>
          <w:rFonts w:hint="eastAsia" w:ascii="仿宋_GB2312" w:eastAsia="仿宋_GB2312"/>
          <w:sz w:val="28"/>
          <w:szCs w:val="28"/>
          <w:lang w:eastAsia="zh-CN"/>
        </w:rPr>
        <w:t>2.5</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0.07</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bookmarkStart w:id="0" w:name="_1811142444"/>
      <w:bookmarkEnd w:id="0"/>
      <w:bookmarkStart w:id="1" w:name="_1811142588"/>
      <w:bookmarkEnd w:id="1"/>
      <w:r>
        <w:object>
          <v:shape id="_x0000_i1025" o:spt="75" type="#_x0000_t75" style="height:192.2pt;width:406.65pt;" o:ole="t" filled="f" o:preferrelative="t" stroked="f" coordsize="21600,21600">
            <v:path/>
            <v:fill on="f" alignshape="1" focussize="0,0"/>
            <v:stroke on="f"/>
            <v:imagedata r:id="rId8" grayscale="f" bilevel="f" o:title=""/>
            <o:lock v:ext="edit" aspectratio="f"/>
            <w10:wrap type="none"/>
            <w10:anchorlock/>
          </v:shape>
          <o:OLEObject Type="Embed" ProgID="Excel.Chart.8" ShapeID="_x0000_i1025" DrawAspect="Content" ObjectID="_1468075725" r:id="rId7">
            <o:LockedField>false</o:LockedField>
          </o:OLEObject>
        </w:obje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131205.51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减少217.96万元，下降0.17%，其中：基本支出</w:t>
      </w:r>
      <w:r>
        <w:rPr>
          <w:rFonts w:ascii="仿宋_GB2312" w:eastAsia="仿宋_GB2312"/>
          <w:sz w:val="28"/>
          <w:szCs w:val="28"/>
        </w:rPr>
        <w:t>2641.15</w:t>
      </w:r>
      <w:r>
        <w:rPr>
          <w:rFonts w:hint="eastAsia" w:ascii="仿宋_GB2312" w:eastAsia="仿宋_GB2312"/>
          <w:sz w:val="28"/>
          <w:szCs w:val="28"/>
        </w:rPr>
        <w:t>万元，占支出合计的</w:t>
      </w:r>
      <w:r>
        <w:rPr>
          <w:rFonts w:hint="eastAsia" w:ascii="仿宋_GB2312" w:eastAsia="仿宋_GB2312"/>
          <w:sz w:val="28"/>
          <w:szCs w:val="28"/>
          <w:lang w:eastAsia="zh-CN"/>
        </w:rPr>
        <w:t>2.01</w:t>
      </w:r>
      <w:r>
        <w:rPr>
          <w:rFonts w:hint="eastAsia" w:ascii="仿宋_GB2312" w:eastAsia="仿宋_GB2312"/>
          <w:sz w:val="28"/>
          <w:szCs w:val="28"/>
        </w:rPr>
        <w:t>%；项目支出</w:t>
      </w:r>
      <w:r>
        <w:rPr>
          <w:rFonts w:ascii="仿宋_GB2312" w:eastAsia="仿宋_GB2312"/>
          <w:sz w:val="28"/>
          <w:szCs w:val="28"/>
        </w:rPr>
        <w:t>128564.36</w:t>
      </w:r>
      <w:r>
        <w:rPr>
          <w:rFonts w:hint="eastAsia" w:ascii="仿宋_GB2312" w:eastAsia="仿宋_GB2312"/>
          <w:sz w:val="28"/>
          <w:szCs w:val="28"/>
        </w:rPr>
        <w:t>万元，占支出合计的</w:t>
      </w:r>
      <w:r>
        <w:rPr>
          <w:rFonts w:hint="eastAsia" w:ascii="仿宋_GB2312" w:eastAsia="仿宋_GB2312"/>
          <w:sz w:val="28"/>
          <w:szCs w:val="28"/>
          <w:lang w:eastAsia="zh-CN"/>
        </w:rPr>
        <w:t>97.99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bookmarkStart w:id="2" w:name="_1811142814"/>
      <w:bookmarkEnd w:id="2"/>
      <w:r>
        <w:object>
          <v:shape id="_x0000_i1026" o:spt="75" type="#_x0000_t75" style="height:179.15pt;width:361.5pt;" o:ole="t" filled="f" o:preferrelative="t" stroked="f" coordsize="21600,21600">
            <v:path/>
            <v:fill on="f" alignshape="1" focussize="0,0"/>
            <v:stroke on="f"/>
            <v:imagedata r:id="rId10" grayscale="f" bilevel="f" o:title=""/>
            <o:lock v:ext="edit" aspectratio="f"/>
            <w10:wrap type="none"/>
            <w10:anchorlock/>
          </v:shape>
          <o:OLEObject Type="Embed" ProgID="Excel.Chart.8" ShapeID="_x0000_i1026" DrawAspect="Content" ObjectID="_1468075726" r:id="rId9">
            <o:LockedField>false</o:LockedField>
          </o:OLEObject>
        </w:obje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135122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1661.54万元，增长1.24%。主要原因：财政拨款增加。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130862.3</w:t>
      </w:r>
      <w:r>
        <w:rPr>
          <w:rFonts w:hint="eastAsia" w:ascii="仿宋_GB2312" w:eastAsia="仿宋_GB2312"/>
          <w:sz w:val="28"/>
          <w:szCs w:val="28"/>
        </w:rPr>
        <w:t>万元，主要用于以下方面（按大类）：教育支出3.53万元，占本年财政拨款支出</w:t>
      </w:r>
      <w:bookmarkStart w:id="3" w:name="OLE_LINK10"/>
      <w:bookmarkStart w:id="4" w:name="OLE_LINK9"/>
      <w:r>
        <w:rPr>
          <w:rFonts w:hint="eastAsia" w:ascii="仿宋_GB2312" w:eastAsia="仿宋_GB2312"/>
          <w:sz w:val="28"/>
          <w:szCs w:val="28"/>
        </w:rPr>
        <w:t>0</w:t>
      </w:r>
      <w:bookmarkEnd w:id="3"/>
      <w:bookmarkEnd w:id="4"/>
      <w:r>
        <w:rPr>
          <w:rFonts w:hint="eastAsia" w:ascii="仿宋_GB2312" w:eastAsia="仿宋_GB2312"/>
          <w:sz w:val="28"/>
          <w:szCs w:val="28"/>
        </w:rPr>
        <w:t>.00%；社会保障和就业支出281.34万元，占本年财政拨款支出0.21%；卫生健康支出192.83万元，占本年财政拨款支出0.15%；城乡社区支出126859.19万元，占本年财政拨款支出96.94%；交通运输支出2302.41万元，占本年财政拨款支出1.76%；灾害防治及应急管理支出1223万元，占本年财政拨款支出0</w:t>
      </w:r>
      <w:bookmarkStart w:id="5" w:name="OLE_LINK12"/>
      <w:r>
        <w:rPr>
          <w:rFonts w:hint="eastAsia" w:ascii="仿宋_GB2312" w:eastAsia="仿宋_GB2312"/>
          <w:sz w:val="28"/>
          <w:szCs w:val="28"/>
        </w:rPr>
        <w:t>.</w:t>
      </w:r>
      <w:bookmarkEnd w:id="5"/>
      <w:r>
        <w:rPr>
          <w:rFonts w:hint="eastAsia" w:ascii="仿宋_GB2312" w:eastAsia="仿宋_GB2312"/>
          <w:sz w:val="28"/>
          <w:szCs w:val="28"/>
        </w:rPr>
        <w:t>93%。</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w:t>
      </w:r>
      <w:r>
        <w:rPr>
          <w:rFonts w:hint="default" w:ascii="仿宋_GB2312" w:eastAsia="仿宋_GB2312"/>
          <w:sz w:val="28"/>
          <w:szCs w:val="28"/>
          <w:lang w:val="en"/>
        </w:rPr>
        <w:t>3.91</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决算3.53万元，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90.28%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“进修及培训”2024年度年初预算</w:t>
      </w:r>
      <w:r>
        <w:rPr>
          <w:rFonts w:hint="default" w:ascii="仿宋_GB2312" w:eastAsia="仿宋_GB2312"/>
          <w:sz w:val="28"/>
          <w:szCs w:val="28"/>
          <w:lang w:val="en"/>
        </w:rPr>
        <w:t>3.91</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决算3.53万元，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90.28%</w:t>
      </w:r>
      <w:r>
        <w:rPr>
          <w:rFonts w:hint="eastAsia" w:ascii="仿宋_GB2312" w:eastAsia="仿宋_GB2312"/>
          <w:sz w:val="28"/>
          <w:szCs w:val="28"/>
        </w:rPr>
        <w:t>。主要原因：我单位执行全市统一人员经费执行标准，在预算执行过程中根据实际人员变动情况安排支出。</w:t>
      </w:r>
    </w:p>
    <w:p>
      <w:pPr>
        <w:pStyle w:val="3"/>
        <w:ind w:firstLine="560"/>
        <w:rPr>
          <w:rFonts w:hint="eastAsia" w:ascii="仿宋_GB2312" w:eastAsia="仿宋_GB2312"/>
          <w:sz w:val="28"/>
          <w:szCs w:val="28"/>
        </w:rPr>
      </w:pPr>
      <w:r>
        <w:rPr>
          <w:rFonts w:hint="eastAsia" w:ascii="仿宋_GB2312" w:eastAsia="仿宋_GB2312"/>
          <w:sz w:val="28"/>
          <w:szCs w:val="28"/>
        </w:rPr>
        <w:t>2、“社会保障和就业支出”2024年度年初预算</w:t>
      </w:r>
      <w:r>
        <w:rPr>
          <w:rFonts w:hint="eastAsia" w:ascii="仿宋_GB2312" w:eastAsia="仿宋_GB2312"/>
          <w:sz w:val="28"/>
          <w:szCs w:val="28"/>
          <w:lang w:val="en-US" w:eastAsia="zh-CN"/>
        </w:rPr>
        <w:t>291.36</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281.34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96.56%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“行政事业单位养老支出”2024年度</w:t>
      </w:r>
      <w:bookmarkStart w:id="6" w:name="OLE_LINK22"/>
      <w:r>
        <w:rPr>
          <w:rFonts w:hint="eastAsia" w:ascii="仿宋_GB2312" w:eastAsia="仿宋_GB2312"/>
          <w:sz w:val="28"/>
          <w:szCs w:val="28"/>
        </w:rPr>
        <w:t>年初预算</w:t>
      </w:r>
      <w:r>
        <w:rPr>
          <w:rFonts w:hint="eastAsia" w:ascii="仿宋_GB2312" w:eastAsia="仿宋_GB2312"/>
          <w:sz w:val="28"/>
          <w:szCs w:val="28"/>
          <w:lang w:val="en-US" w:eastAsia="zh-CN"/>
        </w:rPr>
        <w:t>291.36</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281.34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96.56%</w:t>
      </w:r>
      <w:r>
        <w:rPr>
          <w:rFonts w:hint="eastAsia" w:ascii="仿宋_GB2312" w:eastAsia="仿宋_GB2312"/>
          <w:sz w:val="28"/>
          <w:szCs w:val="28"/>
        </w:rPr>
        <w:t>。主要原因：我单位执行全市统一养老保险和职业年金缴费政策，在预算执行过程中根据实际人员变动情况安排支出。</w:t>
      </w:r>
    </w:p>
    <w:bookmarkEnd w:id="6"/>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3、“卫生健康支出”2024年度年初预算</w:t>
      </w:r>
      <w:r>
        <w:rPr>
          <w:rFonts w:hint="eastAsia" w:ascii="仿宋_GB2312" w:eastAsia="仿宋_GB2312"/>
          <w:sz w:val="28"/>
          <w:szCs w:val="28"/>
          <w:lang w:val="en-US" w:eastAsia="zh-CN"/>
        </w:rPr>
        <w:t>200.79</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192.83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96.04%。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“行政事业单位医疗”2024年度年初预算</w:t>
      </w:r>
      <w:r>
        <w:rPr>
          <w:rFonts w:hint="eastAsia" w:ascii="仿宋_GB2312" w:eastAsia="仿宋_GB2312"/>
          <w:sz w:val="28"/>
          <w:szCs w:val="28"/>
          <w:lang w:val="en-US" w:eastAsia="zh-CN"/>
        </w:rPr>
        <w:t>200.79</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192.83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96.04%。</w:t>
      </w:r>
      <w:r>
        <w:rPr>
          <w:rFonts w:hint="eastAsia" w:ascii="仿宋_GB2312" w:eastAsia="仿宋_GB2312"/>
          <w:sz w:val="28"/>
          <w:szCs w:val="28"/>
        </w:rPr>
        <w:t>主要原因：我单位执行全市统一医疗保险缴费标准，在预算执行过程中根据实际人员变动情况安排支出。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4、“社城乡社区支出”2024年度年初预算</w:t>
      </w:r>
      <w:r>
        <w:rPr>
          <w:rFonts w:hint="eastAsia" w:ascii="仿宋_GB2312" w:eastAsia="仿宋_GB2312"/>
          <w:sz w:val="28"/>
          <w:szCs w:val="28"/>
          <w:lang w:val="en-US" w:eastAsia="zh-CN"/>
        </w:rPr>
        <w:t>123772.83</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126859.19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102.49%。</w:t>
      </w:r>
      <w:r>
        <w:rPr>
          <w:rFonts w:hint="eastAsia" w:ascii="仿宋_GB2312" w:eastAsia="仿宋_GB2312"/>
          <w:sz w:val="28"/>
          <w:szCs w:val="28"/>
        </w:rPr>
        <w:t>其中：</w:t>
      </w:r>
    </w:p>
    <w:p>
      <w:pPr>
        <w:pStyle w:val="3"/>
        <w:ind w:firstLine="560"/>
        <w:rPr>
          <w:rFonts w:hint="eastAsia" w:ascii="仿宋_GB2312" w:eastAsia="仿宋_GB2312"/>
          <w:sz w:val="28"/>
          <w:szCs w:val="28"/>
        </w:rPr>
      </w:pPr>
      <w:r>
        <w:rPr>
          <w:rFonts w:hint="eastAsia" w:ascii="仿宋_GB2312" w:eastAsia="仿宋_GB2312"/>
          <w:sz w:val="28"/>
          <w:szCs w:val="28"/>
        </w:rPr>
        <w:t>“城乡社区公共设施”2024年度年初预算</w:t>
      </w:r>
      <w:r>
        <w:rPr>
          <w:rFonts w:hint="eastAsia" w:ascii="仿宋_GB2312" w:eastAsia="仿宋_GB2312"/>
          <w:sz w:val="28"/>
          <w:szCs w:val="28"/>
          <w:lang w:val="en-US" w:eastAsia="zh-CN"/>
        </w:rPr>
        <w:t>123772.83</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126859.19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102.49%。</w:t>
      </w:r>
      <w:r>
        <w:rPr>
          <w:rFonts w:hint="eastAsia" w:ascii="仿宋_GB2312" w:eastAsia="仿宋_GB2312"/>
          <w:sz w:val="28"/>
          <w:szCs w:val="28"/>
        </w:rPr>
        <w:t>主要原因：京原漫水桥项目年中追加部分财政拨款支出。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5、“交通运输支出”2024年度年初预算</w:t>
      </w:r>
      <w:r>
        <w:rPr>
          <w:rFonts w:hint="eastAsia" w:ascii="仿宋_GB2312" w:eastAsia="仿宋_GB2312"/>
          <w:sz w:val="28"/>
          <w:szCs w:val="28"/>
          <w:lang w:val="en-US" w:eastAsia="zh-CN"/>
        </w:rPr>
        <w:t>2470.60</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2302.41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93.19%。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“公路水路运输”2024年度年初预算</w:t>
      </w:r>
      <w:r>
        <w:rPr>
          <w:rFonts w:hint="eastAsia" w:ascii="仿宋_GB2312" w:eastAsia="仿宋_GB2312"/>
          <w:sz w:val="28"/>
          <w:szCs w:val="28"/>
          <w:lang w:val="en-US" w:eastAsia="zh-CN"/>
        </w:rPr>
        <w:t>2470.60</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2302.41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93.19%。</w:t>
      </w:r>
      <w:r>
        <w:rPr>
          <w:rFonts w:hint="eastAsia" w:ascii="仿宋_GB2312" w:eastAsia="仿宋_GB2312"/>
          <w:sz w:val="28"/>
          <w:szCs w:val="28"/>
        </w:rPr>
        <w:t>主要原因：我单位执行全市统一人员经费执行标准，在预算执行过程中根据实际人员变动情况安排支出。</w:t>
      </w:r>
    </w:p>
    <w:p>
      <w:pPr>
        <w:pStyle w:val="3"/>
        <w:ind w:firstLine="560"/>
        <w:rPr>
          <w:rFonts w:hint="eastAsia" w:ascii="仿宋_GB2312" w:eastAsia="仿宋_GB2312"/>
          <w:sz w:val="28"/>
          <w:szCs w:val="28"/>
        </w:rPr>
      </w:pPr>
      <w:r>
        <w:rPr>
          <w:rFonts w:hint="eastAsia" w:ascii="仿宋_GB2312" w:eastAsia="仿宋_GB2312"/>
          <w:sz w:val="28"/>
          <w:szCs w:val="28"/>
        </w:rPr>
        <w:t>6. “灾害防治及应急管理支出” 2024年度年初预算</w:t>
      </w:r>
      <w:r>
        <w:rPr>
          <w:rFonts w:hint="eastAsia" w:ascii="仿宋_GB2312" w:eastAsia="仿宋_GB2312"/>
          <w:sz w:val="28"/>
          <w:szCs w:val="28"/>
          <w:lang w:val="en-US" w:eastAsia="zh-CN"/>
        </w:rPr>
        <w:t>1935.6</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1223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63.18%。</w:t>
      </w:r>
      <w:r>
        <w:rPr>
          <w:rFonts w:hint="eastAsia" w:ascii="仿宋_GB2312" w:eastAsia="仿宋_GB2312"/>
          <w:sz w:val="28"/>
          <w:szCs w:val="28"/>
        </w:rPr>
        <w:t>其中：</w:t>
      </w:r>
    </w:p>
    <w:p>
      <w:pPr>
        <w:pStyle w:val="3"/>
        <w:ind w:firstLine="560"/>
        <w:rPr>
          <w:rFonts w:hint="eastAsia" w:ascii="仿宋_GB2312" w:eastAsia="仿宋_GB2312"/>
          <w:sz w:val="28"/>
          <w:szCs w:val="28"/>
        </w:rPr>
      </w:pPr>
      <w:r>
        <w:rPr>
          <w:rFonts w:hint="eastAsia" w:ascii="仿宋_GB2312" w:eastAsia="仿宋_GB2312"/>
          <w:sz w:val="28"/>
          <w:szCs w:val="28"/>
        </w:rPr>
        <w:t>“自然灾害救灾及恢复重建支出” 2024年度年初预算</w:t>
      </w:r>
      <w:r>
        <w:rPr>
          <w:rFonts w:hint="eastAsia" w:ascii="仿宋_GB2312" w:eastAsia="仿宋_GB2312"/>
          <w:sz w:val="28"/>
          <w:szCs w:val="28"/>
          <w:lang w:val="en-US" w:eastAsia="zh-CN"/>
        </w:rPr>
        <w:t>1935.6</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1223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63.18%。</w:t>
      </w:r>
      <w:r>
        <w:rPr>
          <w:rFonts w:hint="eastAsia" w:ascii="仿宋_GB2312" w:eastAsia="仿宋_GB2312"/>
          <w:sz w:val="28"/>
          <w:szCs w:val="28"/>
        </w:rPr>
        <w:t>主要原因：减少</w:t>
      </w:r>
      <w:bookmarkStart w:id="7" w:name="OLE_LINK43"/>
      <w:bookmarkStart w:id="8" w:name="OLE_LINK45"/>
      <w:bookmarkStart w:id="9" w:name="OLE_LINK44"/>
      <w:r>
        <w:rPr>
          <w:rFonts w:hint="eastAsia" w:ascii="仿宋_GB2312" w:eastAsia="仿宋_GB2312"/>
          <w:sz w:val="28"/>
          <w:szCs w:val="28"/>
        </w:rPr>
        <w:t>灾后重建项目</w:t>
      </w:r>
      <w:bookmarkEnd w:id="7"/>
      <w:bookmarkEnd w:id="8"/>
      <w:bookmarkEnd w:id="9"/>
      <w:r>
        <w:rPr>
          <w:rFonts w:hint="eastAsia" w:ascii="仿宋_GB2312" w:eastAsia="仿宋_GB2312"/>
          <w:sz w:val="28"/>
          <w:szCs w:val="28"/>
        </w:rPr>
        <w:t>小清河桥救灾</w:t>
      </w:r>
      <w:bookmarkStart w:id="10" w:name="OLE_LINK46"/>
      <w:r>
        <w:rPr>
          <w:rFonts w:hint="eastAsia" w:ascii="仿宋_GB2312" w:eastAsia="仿宋_GB2312"/>
          <w:sz w:val="28"/>
          <w:szCs w:val="28"/>
        </w:rPr>
        <w:t>恢复重建工程</w:t>
      </w:r>
      <w:bookmarkEnd w:id="10"/>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343.2</w:t>
      </w:r>
      <w:r>
        <w:rPr>
          <w:rFonts w:hint="eastAsia" w:ascii="仿宋_GB2312" w:eastAsia="仿宋_GB2312"/>
          <w:sz w:val="28"/>
          <w:szCs w:val="28"/>
        </w:rPr>
        <w:t>万元，主要用于以下方面（按大类）：城乡社区支出343.20万元，占本年财政拨款支出100%。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1、“城乡社区支出”（类，下同）2024年度年初预算</w:t>
      </w:r>
      <w:r>
        <w:rPr>
          <w:rFonts w:hint="eastAsia" w:ascii="仿宋_GB2312" w:eastAsia="仿宋_GB2312"/>
          <w:sz w:val="28"/>
          <w:szCs w:val="28"/>
          <w:lang w:val="en-US" w:eastAsia="zh-CN"/>
        </w:rPr>
        <w:t>0</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343.20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“国有土地使用权出让收入安排的支出”（款，下同）2024年度年初预算</w:t>
      </w:r>
      <w:r>
        <w:rPr>
          <w:rFonts w:hint="eastAsia" w:ascii="仿宋_GB2312" w:eastAsia="仿宋_GB2312"/>
          <w:sz w:val="28"/>
          <w:szCs w:val="28"/>
          <w:lang w:val="en-US" w:eastAsia="zh-CN"/>
        </w:rPr>
        <w:t>0</w:t>
      </w:r>
      <w:r>
        <w:rPr>
          <w:rFonts w:hint="eastAsia" w:ascii="仿宋_GB2312" w:eastAsia="仿宋_GB2312"/>
          <w:sz w:val="28"/>
          <w:szCs w:val="28"/>
          <w:lang w:val="en"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343.20</w:t>
      </w:r>
      <w:r>
        <w:rPr>
          <w:rFonts w:hint="eastAsia" w:ascii="仿宋_GB2312" w:eastAsia="仿宋_GB2312"/>
          <w:sz w:val="28"/>
          <w:szCs w:val="28"/>
        </w:rPr>
        <w:t>万元</w:t>
      </w:r>
      <w:r>
        <w:rPr>
          <w:rFonts w:hint="eastAsia" w:ascii="仿宋_GB2312" w:eastAsia="仿宋_GB2312"/>
          <w:sz w:val="28"/>
          <w:szCs w:val="28"/>
          <w:lang w:val="en-US" w:eastAsia="zh-CN"/>
        </w:rPr>
        <w:t>。</w:t>
      </w:r>
      <w:bookmarkStart w:id="14" w:name="_GoBack"/>
      <w:bookmarkEnd w:id="14"/>
      <w:r>
        <w:rPr>
          <w:rFonts w:hint="eastAsia" w:ascii="仿宋_GB2312" w:eastAsia="仿宋_GB2312"/>
          <w:sz w:val="28"/>
          <w:szCs w:val="28"/>
        </w:rPr>
        <w:t>主要原因：2024年追加灾后重建项目京原漫水桥恢复重建工程。</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bookmarkStart w:id="11" w:name="OLE_LINK49"/>
      <w:r>
        <w:rPr>
          <w:rFonts w:hint="eastAsia" w:ascii="仿宋_GB2312" w:eastAsia="仿宋_GB2312"/>
          <w:sz w:val="28"/>
          <w:szCs w:val="28"/>
        </w:rPr>
        <w:t>本单位无此项支出。</w:t>
      </w:r>
      <w:bookmarkEnd w:id="11"/>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2641.15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2.52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0.18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bookmarkStart w:id="12" w:name="OLE_LINK56"/>
      <w:bookmarkStart w:id="13" w:name="OLE_LINK57"/>
    </w:p>
    <w:bookmarkEnd w:id="12"/>
    <w:bookmarkEnd w:id="13"/>
    <w:p>
      <w:pPr>
        <w:spacing w:line="560" w:lineRule="exact"/>
        <w:ind w:left="600"/>
        <w:rPr>
          <w:rFonts w:hint="eastAsia" w:ascii="仿宋_GB2312" w:eastAsia="仿宋_GB2312"/>
          <w:sz w:val="28"/>
          <w:szCs w:val="28"/>
        </w:rPr>
      </w:pPr>
      <w:r>
        <w:rPr>
          <w:rFonts w:hint="eastAsia" w:ascii="仿宋_GB2312" w:eastAsia="仿宋_GB2312"/>
          <w:sz w:val="28"/>
          <w:szCs w:val="28"/>
        </w:rPr>
        <w:t>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p>
    <w:p>
      <w:pPr>
        <w:spacing w:line="560" w:lineRule="exact"/>
        <w:ind w:left="600"/>
        <w:rPr>
          <w:rFonts w:ascii="仿宋_GB2312" w:eastAsia="仿宋_GB2312"/>
          <w:sz w:val="28"/>
          <w:szCs w:val="28"/>
        </w:rPr>
      </w:pPr>
      <w:r>
        <w:rPr>
          <w:rFonts w:hint="eastAsia" w:ascii="仿宋_GB2312" w:eastAsia="仿宋_GB2312"/>
          <w:sz w:val="28"/>
          <w:szCs w:val="28"/>
        </w:rPr>
        <w:t>本年度无此项支出。</w:t>
      </w:r>
    </w:p>
    <w:p>
      <w:pPr>
        <w:numPr>
          <w:ilvl w:val="0"/>
          <w:numId w:val="0"/>
        </w:numPr>
        <w:spacing w:line="560" w:lineRule="exact"/>
        <w:ind w:firstLine="560" w:firstLineChars="200"/>
        <w:rPr>
          <w:rFonts w:hint="eastAsia" w:ascii="仿宋_GB2312" w:eastAsia="仿宋_GB2312"/>
          <w:sz w:val="28"/>
          <w:szCs w:val="28"/>
        </w:rPr>
      </w:pPr>
      <w:r>
        <w:rPr>
          <w:rFonts w:hint="default" w:ascii="仿宋_GB2312" w:eastAsia="仿宋_GB2312"/>
          <w:sz w:val="28"/>
          <w:szCs w:val="28"/>
          <w:lang w:val="en"/>
        </w:rPr>
        <w:t>3.</w:t>
      </w:r>
      <w:r>
        <w:rPr>
          <w:rFonts w:hint="eastAsia" w:ascii="仿宋_GB2312" w:eastAsia="仿宋_GB2312"/>
          <w:sz w:val="28"/>
          <w:szCs w:val="28"/>
        </w:rPr>
        <w:t>公务用车购置及运行维护费。2024年度决算数</w:t>
      </w:r>
      <w:r>
        <w:rPr>
          <w:rFonts w:ascii="仿宋_GB2312" w:eastAsia="仿宋_GB2312"/>
          <w:sz w:val="28"/>
          <w:szCs w:val="28"/>
        </w:rPr>
        <w:t>2.52</w:t>
      </w:r>
      <w:r>
        <w:rPr>
          <w:rFonts w:hint="eastAsia" w:ascii="仿宋_GB2312" w:eastAsia="仿宋_GB2312"/>
          <w:sz w:val="28"/>
          <w:szCs w:val="28"/>
        </w:rPr>
        <w:t>万元，比2024年度年初预算数</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0.18</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2.52</w:t>
      </w:r>
      <w:r>
        <w:rPr>
          <w:rFonts w:hint="eastAsia" w:ascii="仿宋_GB2312" w:eastAsia="仿宋_GB2312"/>
          <w:sz w:val="28"/>
          <w:szCs w:val="28"/>
        </w:rPr>
        <w:t>万元，主要原因：加强公务用车管理，严格控制公务车辆运行费用支出。202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177.83</w:t>
      </w:r>
      <w:r>
        <w:rPr>
          <w:rFonts w:hint="eastAsia" w:ascii="仿宋_GB2312" w:eastAsia="仿宋_GB2312"/>
          <w:sz w:val="28"/>
          <w:szCs w:val="28"/>
        </w:rPr>
        <w:t>万元，其中：政府采购货物支出</w:t>
      </w:r>
      <w:r>
        <w:rPr>
          <w:rFonts w:ascii="仿宋_GB2312" w:eastAsia="仿宋_GB2312"/>
          <w:sz w:val="28"/>
          <w:szCs w:val="28"/>
        </w:rPr>
        <w:t>0.88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176.95</w:t>
      </w:r>
      <w:r>
        <w:rPr>
          <w:rFonts w:hint="eastAsia" w:ascii="仿宋_GB2312" w:eastAsia="仿宋_GB2312"/>
          <w:sz w:val="28"/>
          <w:szCs w:val="28"/>
        </w:rPr>
        <w:t>万元。授予中小企业合同金额</w:t>
      </w:r>
      <w:r>
        <w:rPr>
          <w:rFonts w:ascii="仿宋_GB2312" w:eastAsia="仿宋_GB2312"/>
          <w:sz w:val="28"/>
          <w:szCs w:val="28"/>
        </w:rPr>
        <w:t>109.4</w:t>
      </w:r>
      <w:r>
        <w:rPr>
          <w:rFonts w:hint="eastAsia" w:ascii="仿宋_GB2312" w:eastAsia="仿宋_GB2312"/>
          <w:sz w:val="28"/>
          <w:szCs w:val="28"/>
        </w:rPr>
        <w:t>万元，占政府采购支出总额的</w:t>
      </w:r>
      <w:r>
        <w:rPr>
          <w:rFonts w:hint="eastAsia" w:ascii="仿宋_GB2312" w:eastAsia="仿宋_GB2312"/>
          <w:sz w:val="28"/>
          <w:szCs w:val="28"/>
          <w:lang w:eastAsia="zh-CN"/>
        </w:rPr>
        <w:t>61.52</w:t>
      </w:r>
      <w:r>
        <w:rPr>
          <w:rFonts w:hint="eastAsia" w:ascii="仿宋_GB2312" w:eastAsia="仿宋_GB2312"/>
          <w:sz w:val="28"/>
          <w:szCs w:val="28"/>
        </w:rPr>
        <w:t>%，其中：授予小微企业合同金额</w:t>
      </w:r>
      <w:r>
        <w:rPr>
          <w:rFonts w:ascii="仿宋_GB2312" w:eastAsia="仿宋_GB2312"/>
          <w:sz w:val="28"/>
          <w:szCs w:val="28"/>
        </w:rPr>
        <w:t>75.23</w:t>
      </w:r>
      <w:r>
        <w:rPr>
          <w:rFonts w:hint="eastAsia" w:ascii="仿宋_GB2312" w:eastAsia="仿宋_GB2312"/>
          <w:sz w:val="28"/>
          <w:szCs w:val="28"/>
        </w:rPr>
        <w:t>万元，占政府采购支出总额的</w:t>
      </w:r>
      <w:r>
        <w:rPr>
          <w:rFonts w:ascii="仿宋_GB2312" w:eastAsia="仿宋_GB2312"/>
          <w:sz w:val="28"/>
          <w:szCs w:val="28"/>
        </w:rPr>
        <w:t>42.3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12月31日，北京市城市道路养护管理中心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社会保障和就业支出（类）行政事业单位养老支出（款）机关事业单位基本养老保险缴费支出（项）：反映机关事业单位实施养老保险制度由单位实际缴纳的基本养老保险支出。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rPr>
        <w:t>8. 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rPr>
        <w:t>9. 卫生健康支出（类）行政事业单位医疗（款）事业单位医疗（项）：反映财政部门安排的事业单位基本医疗保险缴费经费，未参加医疗保险的事业单位的公费医疗经费，按照国际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10. 城乡社区支出（类）城乡社区公共设施（款）其他城乡社区公共设施支出（项）：反映出上述项目以外其他用于城乡社区公共设施方面的支出。</w:t>
      </w:r>
    </w:p>
    <w:p>
      <w:pPr>
        <w:ind w:firstLine="420" w:firstLineChars="150"/>
        <w:rPr>
          <w:rFonts w:hint="eastAsia" w:ascii="仿宋_GB2312" w:eastAsia="仿宋_GB2312"/>
          <w:sz w:val="28"/>
          <w:szCs w:val="28"/>
        </w:rPr>
      </w:pPr>
      <w:r>
        <w:rPr>
          <w:rFonts w:hint="eastAsia" w:ascii="仿宋_GB2312" w:eastAsia="仿宋_GB2312"/>
          <w:sz w:val="28"/>
          <w:szCs w:val="28"/>
        </w:rPr>
        <w:t>11. 交通运输支出（类）公路水路运输（款）其他公路水路运输支出（项）：反映出上述项目以外其他用于公路水路运输方面的支出。</w:t>
      </w:r>
    </w:p>
    <w:p>
      <w:pPr>
        <w:rPr>
          <w:rFonts w:hint="eastAsia" w:ascii="仿宋_GB2312" w:eastAsia="仿宋_GB2312"/>
          <w:sz w:val="28"/>
          <w:szCs w:val="28"/>
        </w:rPr>
      </w:pPr>
      <w:r>
        <w:rPr>
          <w:rFonts w:hint="eastAsia" w:ascii="仿宋_GB2312" w:eastAsia="仿宋_GB2312"/>
          <w:sz w:val="28"/>
          <w:szCs w:val="28"/>
        </w:rPr>
        <w:t xml:space="preserve">   12.灾害防治及应急管理支出（类）自然灾害救灾及恢复重建支出（款）其他自然灾害救灾及恢复重建支出（项）：反映除上述项目以外其他用于自然灾害救灾、灾后恢复重建等方面的支出。</w:t>
      </w:r>
    </w:p>
    <w:p>
      <w:pPr>
        <w:numPr>
          <w:ilvl w:val="0"/>
          <w:numId w:val="0"/>
        </w:numPr>
        <w:ind w:firstLine="560" w:firstLineChars="200"/>
        <w:rPr>
          <w:rFonts w:hint="eastAsia" w:ascii="仿宋_GB2312" w:eastAsia="仿宋_GB2312"/>
          <w:sz w:val="28"/>
          <w:szCs w:val="28"/>
          <w:lang w:val="en-US" w:eastAsia="zh-CN"/>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7F126B"/>
    <w:rsid w:val="4BC7577B"/>
    <w:rsid w:val="4BF72BEF"/>
    <w:rsid w:val="4FA90297"/>
    <w:rsid w:val="4FC41A43"/>
    <w:rsid w:val="51DB3C59"/>
    <w:rsid w:val="550C0952"/>
    <w:rsid w:val="55762E42"/>
    <w:rsid w:val="57A7B272"/>
    <w:rsid w:val="58470068"/>
    <w:rsid w:val="58747CAC"/>
    <w:rsid w:val="5A1720F9"/>
    <w:rsid w:val="5B79621A"/>
    <w:rsid w:val="5B9C37C2"/>
    <w:rsid w:val="5BA7C654"/>
    <w:rsid w:val="5CEBC001"/>
    <w:rsid w:val="60A54109"/>
    <w:rsid w:val="61D01CDF"/>
    <w:rsid w:val="64C0607C"/>
    <w:rsid w:val="65756C86"/>
    <w:rsid w:val="674D385B"/>
    <w:rsid w:val="676F09E1"/>
    <w:rsid w:val="6DCB25DB"/>
    <w:rsid w:val="7357290B"/>
    <w:rsid w:val="765970D4"/>
    <w:rsid w:val="798524E4"/>
    <w:rsid w:val="79EF59B2"/>
    <w:rsid w:val="7A7F1C49"/>
    <w:rsid w:val="7B5B7AE6"/>
    <w:rsid w:val="7B7B6628"/>
    <w:rsid w:val="7BA7071E"/>
    <w:rsid w:val="7BDF6DA8"/>
    <w:rsid w:val="7BFD91C4"/>
    <w:rsid w:val="7C7EDC1A"/>
    <w:rsid w:val="7CCED98D"/>
    <w:rsid w:val="7D08410F"/>
    <w:rsid w:val="7D12340E"/>
    <w:rsid w:val="7DB96DED"/>
    <w:rsid w:val="7DD3AD81"/>
    <w:rsid w:val="7F7FE70F"/>
    <w:rsid w:val="7FFF772F"/>
    <w:rsid w:val="7FFFAA01"/>
    <w:rsid w:val="95F35EF6"/>
    <w:rsid w:val="9BFFD860"/>
    <w:rsid w:val="AC5F73DE"/>
    <w:rsid w:val="B5DDD2C8"/>
    <w:rsid w:val="B9DFABD9"/>
    <w:rsid w:val="BC0D83FC"/>
    <w:rsid w:val="BF3BDEFB"/>
    <w:rsid w:val="C75F6086"/>
    <w:rsid w:val="C7F7ED2D"/>
    <w:rsid w:val="CFAF854E"/>
    <w:rsid w:val="CFD6C342"/>
    <w:rsid w:val="D8D7928E"/>
    <w:rsid w:val="D8FE3136"/>
    <w:rsid w:val="DDDE60B7"/>
    <w:rsid w:val="DE9F6A22"/>
    <w:rsid w:val="DF4FCE6A"/>
    <w:rsid w:val="E4FED278"/>
    <w:rsid w:val="E6FB2370"/>
    <w:rsid w:val="EDAA365C"/>
    <w:rsid w:val="EDADFC12"/>
    <w:rsid w:val="EFF35DB1"/>
    <w:rsid w:val="F2FD229B"/>
    <w:rsid w:val="F7762918"/>
    <w:rsid w:val="F7F709E9"/>
    <w:rsid w:val="F7FF3690"/>
    <w:rsid w:val="F95B65A4"/>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3444</Words>
  <Characters>3964</Characters>
  <Lines>44</Lines>
  <Paragraphs>12</Paragraphs>
  <TotalTime>4</TotalTime>
  <ScaleCrop>false</ScaleCrop>
  <LinksUpToDate>false</LinksUpToDate>
  <CharactersWithSpaces>3985</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bmct-aktd</cp:lastModifiedBy>
  <cp:lastPrinted>2020-08-08T11:39:00Z</cp:lastPrinted>
  <dcterms:modified xsi:type="dcterms:W3CDTF">2025-08-22T16:49:34Z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435078ACFECC4A5A8A519EF4C3681114_13</vt:lpwstr>
  </property>
  <property fmtid="{D5CDD505-2E9C-101B-9397-08002B2CF9AE}" pid="4" name="KSOTemplateDocerSaveRecord">
    <vt:lpwstr>eyJoZGlkIjoiMGNlMTg4ZWJmMDVkNzMxNWU0ZDczNzYzMmQxODQ4MmIifQ==</vt:lpwstr>
  </property>
</Properties>
</file>