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bCs/>
          <w:sz w:val="28"/>
          <w:szCs w:val="28"/>
        </w:rPr>
        <w:t>北京市公路事业发展中心（北京市高速公路联网收费结算中心）（简称市公路发展中心）是市交通委所属公益一类事业单位，正处级，经费形式为财政补助。中心下设办公室、路网运行管理科等11个内设机构，其主要职责是承担本市公路建设管理的技术保障工作，承担高速公路联网收费结算的事务性工作。</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358922.7</w:t>
      </w:r>
      <w:r>
        <w:rPr>
          <w:rFonts w:hint="eastAsia" w:ascii="仿宋_GB2312" w:eastAsia="仿宋_GB2312"/>
          <w:sz w:val="28"/>
          <w:szCs w:val="28"/>
        </w:rPr>
        <w:t>万元，</w:t>
      </w:r>
      <w:r>
        <w:rPr>
          <w:rFonts w:ascii="仿宋_GB2312" w:eastAsia="仿宋_GB2312"/>
          <w:sz w:val="28"/>
          <w:szCs w:val="28"/>
        </w:rPr>
        <w:t>比上年增加328411.95</w:t>
      </w:r>
      <w:r>
        <w:rPr>
          <w:rFonts w:hint="eastAsia" w:ascii="仿宋_GB2312" w:eastAsia="仿宋_GB2312"/>
          <w:sz w:val="28"/>
          <w:szCs w:val="28"/>
        </w:rPr>
        <w:t>万元，增长</w:t>
      </w:r>
      <w:r>
        <w:rPr>
          <w:rFonts w:ascii="仿宋_GB2312" w:eastAsia="仿宋_GB2312"/>
          <w:sz w:val="28"/>
          <w:szCs w:val="28"/>
        </w:rPr>
        <w:t>1076.38</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358586.15</w:t>
      </w:r>
      <w:r>
        <w:rPr>
          <w:rFonts w:hint="eastAsia" w:ascii="仿宋_GB2312" w:eastAsia="仿宋_GB2312"/>
          <w:sz w:val="28"/>
          <w:szCs w:val="28"/>
        </w:rPr>
        <w:t>万元，</w:t>
      </w:r>
      <w:r>
        <w:rPr>
          <w:rFonts w:ascii="仿宋_GB2312" w:eastAsia="仿宋_GB2312"/>
          <w:sz w:val="28"/>
          <w:szCs w:val="28"/>
        </w:rPr>
        <w:t>比上年增加328225.23</w:t>
      </w:r>
      <w:r>
        <w:rPr>
          <w:rFonts w:hint="eastAsia" w:ascii="仿宋_GB2312" w:eastAsia="仿宋_GB2312"/>
          <w:sz w:val="28"/>
          <w:szCs w:val="28"/>
        </w:rPr>
        <w:t>万元，增长</w:t>
      </w:r>
      <w:r>
        <w:rPr>
          <w:rFonts w:ascii="仿宋_GB2312" w:eastAsia="仿宋_GB2312"/>
          <w:sz w:val="28"/>
          <w:szCs w:val="28"/>
        </w:rPr>
        <w:t>1081.08</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358585.11</w:t>
      </w:r>
      <w:r>
        <w:rPr>
          <w:rFonts w:hint="eastAsia" w:ascii="仿宋_GB2312" w:eastAsia="仿宋_GB2312"/>
          <w:sz w:val="28"/>
          <w:szCs w:val="28"/>
        </w:rPr>
        <w:t>万元，占收入合计的100%。其中：一般公共预算财政拨款收入</w:t>
      </w:r>
      <w:r>
        <w:rPr>
          <w:rFonts w:ascii="仿宋_GB2312" w:eastAsia="仿宋_GB2312"/>
          <w:sz w:val="28"/>
          <w:szCs w:val="28"/>
        </w:rPr>
        <w:t>15790.11</w:t>
      </w:r>
      <w:r>
        <w:rPr>
          <w:rFonts w:hint="eastAsia" w:ascii="仿宋_GB2312" w:eastAsia="仿宋_GB2312"/>
          <w:sz w:val="28"/>
          <w:szCs w:val="28"/>
        </w:rPr>
        <w:t>万元，占收入合计的4.4%；政府性基金预算财政拨款收入</w:t>
      </w:r>
      <w:r>
        <w:rPr>
          <w:rFonts w:ascii="仿宋_GB2312" w:eastAsia="仿宋_GB2312"/>
          <w:sz w:val="28"/>
          <w:szCs w:val="28"/>
        </w:rPr>
        <w:t>342795</w:t>
      </w:r>
      <w:r>
        <w:rPr>
          <w:rFonts w:hint="eastAsia" w:ascii="仿宋_GB2312" w:eastAsia="仿宋_GB2312"/>
          <w:sz w:val="28"/>
          <w:szCs w:val="28"/>
        </w:rPr>
        <w:t>万元，占收入合计的95.6%；国有资本经营预算财政拨款收入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1.04</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图1：收入预算</w:t>
      </w:r>
    </w:p>
    <w:p>
      <w:pPr>
        <w:pStyle w:val="3"/>
        <w:ind w:firstLine="420"/>
        <w:jc w:val="center"/>
      </w:pPr>
      <w:r>
        <w:drawing>
          <wp:inline distT="0" distB="0" distL="0" distR="0">
            <wp:extent cx="4036695" cy="2328545"/>
            <wp:effectExtent l="4445" t="4445" r="16510" b="1016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226286.17</w:t>
      </w:r>
      <w:r>
        <w:rPr>
          <w:rFonts w:hint="eastAsia" w:ascii="仿宋_GB2312" w:eastAsia="仿宋_GB2312"/>
          <w:sz w:val="28"/>
          <w:szCs w:val="28"/>
        </w:rPr>
        <w:t>万元，</w:t>
      </w:r>
      <w:r>
        <w:rPr>
          <w:rFonts w:ascii="仿宋_GB2312" w:eastAsia="仿宋_GB2312"/>
          <w:sz w:val="28"/>
          <w:szCs w:val="28"/>
        </w:rPr>
        <w:t>比上年增加19625.14</w:t>
      </w:r>
      <w:r>
        <w:rPr>
          <w:rFonts w:hint="eastAsia" w:ascii="仿宋_GB2312" w:eastAsia="仿宋_GB2312"/>
          <w:sz w:val="28"/>
          <w:szCs w:val="28"/>
        </w:rPr>
        <w:t>万元，增长</w:t>
      </w:r>
      <w:r>
        <w:rPr>
          <w:rFonts w:ascii="仿宋_GB2312" w:eastAsia="仿宋_GB2312"/>
          <w:sz w:val="28"/>
          <w:szCs w:val="28"/>
        </w:rPr>
        <w:t>653.41</w:t>
      </w:r>
      <w:r>
        <w:rPr>
          <w:rFonts w:hint="eastAsia" w:ascii="仿宋_GB2312" w:eastAsia="仿宋_GB2312"/>
          <w:sz w:val="28"/>
          <w:szCs w:val="28"/>
        </w:rPr>
        <w:t>%，其中：基本支出</w:t>
      </w:r>
      <w:r>
        <w:rPr>
          <w:rFonts w:ascii="仿宋_GB2312" w:eastAsia="仿宋_GB2312"/>
          <w:sz w:val="28"/>
          <w:szCs w:val="28"/>
        </w:rPr>
        <w:t>2679.42</w:t>
      </w:r>
      <w:r>
        <w:rPr>
          <w:rFonts w:hint="eastAsia" w:ascii="仿宋_GB2312" w:eastAsia="仿宋_GB2312"/>
          <w:sz w:val="28"/>
          <w:szCs w:val="28"/>
        </w:rPr>
        <w:t>万元，占支出合计的1.18%；项目支出</w:t>
      </w:r>
      <w:r>
        <w:rPr>
          <w:rFonts w:ascii="仿宋_GB2312" w:eastAsia="仿宋_GB2312"/>
          <w:sz w:val="28"/>
          <w:szCs w:val="28"/>
        </w:rPr>
        <w:t>223606.75</w:t>
      </w:r>
      <w:r>
        <w:rPr>
          <w:rFonts w:hint="eastAsia" w:ascii="仿宋_GB2312" w:eastAsia="仿宋_GB2312"/>
          <w:sz w:val="28"/>
          <w:szCs w:val="28"/>
        </w:rPr>
        <w:t>万元，占支出合计的98.82%;上缴上级支出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spacing w:line="560" w:lineRule="exact"/>
        <w:ind w:firstLine="640"/>
        <w:rPr>
          <w:rFonts w:ascii="仿宋_GB2312" w:eastAsia="仿宋_GB2312" w:cs="Droid Sans"/>
          <w:color w:val="000000"/>
          <w:sz w:val="32"/>
          <w:szCs w:val="32"/>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3"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358917.66</w:t>
      </w:r>
      <w:r>
        <w:rPr>
          <w:rFonts w:hint="eastAsia" w:ascii="仿宋_GB2312" w:eastAsia="仿宋_GB2312"/>
          <w:sz w:val="28"/>
          <w:szCs w:val="28"/>
        </w:rPr>
        <w:t>万元，比上年</w:t>
      </w:r>
      <w:r>
        <w:rPr>
          <w:rFonts w:ascii="仿宋_GB2312" w:eastAsia="仿宋_GB2312"/>
          <w:sz w:val="28"/>
          <w:szCs w:val="28"/>
        </w:rPr>
        <w:t>增加328410.90</w:t>
      </w:r>
      <w:r>
        <w:rPr>
          <w:rFonts w:hint="eastAsia" w:ascii="仿宋_GB2312" w:eastAsia="仿宋_GB2312"/>
          <w:sz w:val="28"/>
          <w:szCs w:val="28"/>
        </w:rPr>
        <w:t>万元，增长</w:t>
      </w:r>
      <w:r>
        <w:rPr>
          <w:rFonts w:ascii="仿宋_GB2312" w:eastAsia="仿宋_GB2312"/>
          <w:sz w:val="28"/>
          <w:szCs w:val="28"/>
        </w:rPr>
        <w:t>1076.52</w:t>
      </w:r>
      <w:r>
        <w:rPr>
          <w:rFonts w:hint="eastAsia" w:ascii="仿宋_GB2312" w:eastAsia="仿宋_GB2312"/>
          <w:sz w:val="28"/>
          <w:szCs w:val="28"/>
        </w:rPr>
        <w:t>%。主要原因：2024年中新增超长期国债108新线高速公路工程项目，故本年预算收支大幅增多。</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14820.48</w:t>
      </w:r>
      <w:r>
        <w:rPr>
          <w:rFonts w:hint="eastAsia" w:ascii="仿宋_GB2312" w:eastAsia="仿宋_GB2312"/>
          <w:sz w:val="28"/>
          <w:szCs w:val="28"/>
        </w:rPr>
        <w:t>万元，主要用于以下方面：教育支出3.93万元，占本年财政拨款支出0.03%；社会保障和就业支出320.17万元，占本年财政拨款支出2.16%；卫生健康支出184.60万元，占本年财政拨款支出1.24%；交通运输支出10607.78万元，占本年财政拨款支出71.58%；灾害防治及应急管理支出3704.00万元，占本年财政拨款支出24.99%。。</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 2024年度年初预算4.00万元，2024年度决算3.93万元，完成年初预算的98.25%。其中：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“进修及培训”2024年度年初预算4.00万元，2024年度决算3.93万元，完成年初预算的98.25%。主要原因：本年培训课时压缩，支出略有减少。</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2、“社会保障和就业支出” 2024年度年初预算326.90万元，2024年度决算320.17万元，完成年初预算的97.94%。其中：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“行政事业单位养老支出”2024年度年初预算326.90万元，2024年度决算320.17万元，完成年初预算的97.94%。主要原因：执行全市统一医疗保险缴费标准，在预算执行过程中根据实际人员变动情况安排支出。</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3、“卫生健康支出” 2024年度年初预算187.37万元，2024年度决算184.60万元，完成年初预算的98.52%。其中：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“行政事业单位医疗”2024年度年初预算187.37万元，2024年度决算184.60万元，完成年初预算的98.52%。主要原因：执行全市统一医疗保险缴费标准，在预算执行过程中根据实际人员变动情况安排支出。</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4、“交通运输支出”2024年度年初预算10471.5万元，2024年度决算10607.78万元，完成年初预算的101.30%。其中：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“公路水路运输”2024年度年初预算10471.5万元，2024年度决算10607.78万元，完成年初预算的101.30%。主要原因：按当年养护工作计划追加养护项目预算。</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5、“灾害防治及应急管理支出”2024年度年初预算0.00万元，2024年度决算3704万元。其中：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“自然灾害救灾及恢复重建支出”2024年度年初预算0.00万元，2024年度决算3704万元。主要原因：按当年工作安排追加阎村等四处高速公路水毁修复工程项目预算。</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211461.69</w:t>
      </w:r>
      <w:r>
        <w:rPr>
          <w:rFonts w:hint="eastAsia" w:ascii="仿宋_GB2312" w:eastAsia="仿宋_GB2312"/>
          <w:sz w:val="28"/>
          <w:szCs w:val="28"/>
        </w:rPr>
        <w:t>万元，主要用于以下方面：交通运输支出211461.69万元，占本年财政拨款支出100%。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“交通运输支出”2024年度年初预算1700.00万元，2024年度决算211461.69万元，完成年初预算的12438.92%。其中：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“车辆通行费安排的支出”2024年度年初预算1700.00万元，2024年度决算1699.95万元，完成年初预算的100.00%。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“超长期特别国债安排的支出”2024年度年初预算0.00万元，2024年度决算209761.74万元。主要原因：按当年工作安排追加108新线高速公路工程项目预算。</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2675.42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rPr>
          <w:rFonts w:ascii="仿宋_GB2312" w:eastAsia="仿宋_GB2312"/>
          <w:sz w:val="28"/>
          <w:szCs w:val="28"/>
        </w:rPr>
      </w:pPr>
    </w:p>
    <w:p>
      <w:pPr>
        <w:pStyle w:val="2"/>
        <w:rPr>
          <w:rFonts w:ascii="仿宋_GB2312" w:eastAsia="仿宋_GB2312"/>
          <w:sz w:val="28"/>
          <w:szCs w:val="28"/>
        </w:rPr>
      </w:pPr>
    </w:p>
    <w:p>
      <w:pPr>
        <w:rPr>
          <w:rFonts w:ascii="仿宋_GB2312" w:eastAsia="仿宋_GB2312"/>
          <w:sz w:val="28"/>
          <w:szCs w:val="28"/>
        </w:rPr>
      </w:pPr>
    </w:p>
    <w:p>
      <w:pPr>
        <w:pStyle w:val="2"/>
      </w:pP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3.3</w:t>
      </w:r>
      <w:r>
        <w:rPr>
          <w:rFonts w:hint="eastAsia" w:ascii="仿宋_GB2312" w:eastAsia="仿宋_GB2312"/>
          <w:sz w:val="28"/>
          <w:szCs w:val="28"/>
        </w:rPr>
        <w:t>万元，比2024年度“三公”经费财政拨款年初预算</w:t>
      </w:r>
      <w:r>
        <w:rPr>
          <w:rFonts w:ascii="仿宋_GB2312" w:eastAsia="仿宋_GB2312"/>
          <w:sz w:val="28"/>
          <w:szCs w:val="28"/>
        </w:rPr>
        <w:t>4.6</w:t>
      </w:r>
      <w:r>
        <w:rPr>
          <w:rFonts w:hint="eastAsia" w:ascii="仿宋_GB2312" w:eastAsia="仿宋_GB2312"/>
          <w:sz w:val="28"/>
          <w:szCs w:val="28"/>
        </w:rPr>
        <w:t>万元减少</w:t>
      </w:r>
      <w:r>
        <w:rPr>
          <w:rFonts w:ascii="仿宋_GB2312" w:eastAsia="仿宋_GB2312"/>
          <w:sz w:val="28"/>
          <w:szCs w:val="28"/>
        </w:rPr>
        <w:t>1.3</w:t>
      </w:r>
      <w:r>
        <w:rPr>
          <w:rFonts w:hint="eastAsia" w:ascii="仿宋_GB2312" w:eastAsia="仿宋_GB2312"/>
          <w:sz w:val="28"/>
          <w:szCs w:val="28"/>
        </w:rPr>
        <w:t>万元。其中：</w:t>
      </w:r>
    </w:p>
    <w:p>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rPr>
        <w:t>1.因公出国（境）费用。</w:t>
      </w:r>
      <w:r>
        <w:rPr>
          <w:rFonts w:hint="eastAsia"/>
          <w:highlight w:val="none"/>
        </w:rPr>
        <w:t xml:space="preserve"> </w:t>
      </w:r>
      <w:r>
        <w:rPr>
          <w:rFonts w:hint="eastAsia" w:ascii="仿宋_GB2312" w:eastAsia="仿宋_GB2312"/>
          <w:sz w:val="28"/>
          <w:szCs w:val="28"/>
          <w:highlight w:val="none"/>
        </w:rPr>
        <w:t>本单位本年无此项支出。</w:t>
      </w:r>
    </w:p>
    <w:p>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rPr>
        <w:t>2.公务接待费。本单位本年无此项支出。</w:t>
      </w:r>
    </w:p>
    <w:p>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3.3</w:t>
      </w:r>
      <w:r>
        <w:rPr>
          <w:rFonts w:hint="eastAsia" w:ascii="仿宋_GB2312" w:eastAsia="仿宋_GB2312"/>
          <w:sz w:val="28"/>
          <w:szCs w:val="28"/>
        </w:rPr>
        <w:t>万元，比2024年度年初预算数</w:t>
      </w:r>
      <w:r>
        <w:rPr>
          <w:rFonts w:ascii="仿宋_GB2312" w:eastAsia="仿宋_GB2312"/>
          <w:sz w:val="28"/>
          <w:szCs w:val="28"/>
        </w:rPr>
        <w:t>4.6</w:t>
      </w:r>
      <w:r>
        <w:rPr>
          <w:rFonts w:hint="eastAsia" w:ascii="仿宋_GB2312" w:eastAsia="仿宋_GB2312"/>
          <w:sz w:val="28"/>
          <w:szCs w:val="28"/>
        </w:rPr>
        <w:t>万元减少</w:t>
      </w:r>
      <w:r>
        <w:rPr>
          <w:rFonts w:ascii="仿宋_GB2312" w:eastAsia="仿宋_GB2312"/>
          <w:sz w:val="28"/>
          <w:szCs w:val="28"/>
        </w:rPr>
        <w:t>1.3</w:t>
      </w:r>
      <w:r>
        <w:rPr>
          <w:rFonts w:hint="eastAsia" w:ascii="仿宋_GB2312" w:eastAsia="仿宋_GB2312"/>
          <w:sz w:val="28"/>
          <w:szCs w:val="28"/>
        </w:rPr>
        <w:t>万元。其中，公务用车购置费2024年度决算数0万元。公务用车运行维护费2024年度决算数3.3万元，主要原因：新能源车辆保险费用降低，充电费用降低。2024年度公务用车保有量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highlight w:val="none"/>
        </w:rPr>
      </w:pPr>
      <w:r>
        <w:rPr>
          <w:rFonts w:hint="eastAsia" w:ascii="仿宋_GB2312" w:eastAsia="仿宋_GB2312"/>
          <w:sz w:val="28"/>
          <w:szCs w:val="28"/>
          <w:highlight w:val="none"/>
        </w:rPr>
        <w:t>本单位无此项支出。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1932.54</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1932.54</w:t>
      </w:r>
      <w:r>
        <w:rPr>
          <w:rFonts w:hint="eastAsia" w:ascii="仿宋_GB2312" w:eastAsia="仿宋_GB2312"/>
          <w:sz w:val="28"/>
          <w:szCs w:val="28"/>
        </w:rPr>
        <w:t>万元。授予中小企业合同金额</w:t>
      </w:r>
      <w:r>
        <w:rPr>
          <w:rFonts w:ascii="仿宋_GB2312" w:eastAsia="仿宋_GB2312"/>
          <w:sz w:val="28"/>
          <w:szCs w:val="28"/>
        </w:rPr>
        <w:t>1688.38</w:t>
      </w:r>
      <w:r>
        <w:rPr>
          <w:rFonts w:hint="eastAsia" w:ascii="仿宋_GB2312" w:eastAsia="仿宋_GB2312"/>
          <w:sz w:val="28"/>
          <w:szCs w:val="28"/>
        </w:rPr>
        <w:t>万元，占政府采购支出总额的87.37%，其中：授予小微企业合同金额</w:t>
      </w:r>
      <w:r>
        <w:rPr>
          <w:rFonts w:ascii="仿宋_GB2312" w:eastAsia="仿宋_GB2312"/>
          <w:sz w:val="28"/>
          <w:szCs w:val="28"/>
        </w:rPr>
        <w:t>1550.31</w:t>
      </w:r>
      <w:r>
        <w:rPr>
          <w:rFonts w:hint="eastAsia" w:ascii="仿宋_GB2312" w:eastAsia="仿宋_GB2312"/>
          <w:sz w:val="28"/>
          <w:szCs w:val="28"/>
        </w:rPr>
        <w:t>万元，占政府采购支出总额的</w:t>
      </w:r>
      <w:r>
        <w:rPr>
          <w:rFonts w:ascii="仿宋_GB2312" w:eastAsia="仿宋_GB2312"/>
          <w:sz w:val="28"/>
          <w:szCs w:val="28"/>
        </w:rPr>
        <w:t>80.22</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截至12月31日，北京市公路事业发展中心（北京市高速公路联网收费结算中心）共有车辆4台；单位价值100万元（含）以上的设备3台（套）。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51" w:firstLineChars="197"/>
        <w:rPr>
          <w:rFonts w:ascii="仿宋_GB2312" w:eastAsia="仿宋_GB2312"/>
          <w:sz w:val="28"/>
          <w:szCs w:val="28"/>
        </w:rPr>
      </w:pPr>
      <w:r>
        <w:rPr>
          <w:rFonts w:hint="eastAsia" w:ascii="仿宋_GB2312" w:eastAsia="仿宋_GB2312"/>
          <w:sz w:val="28"/>
          <w:szCs w:val="28"/>
        </w:rPr>
        <w:t>7.教育支出（类）进修及培训（款）培训支出（项）：反映各部门安排用于培训的支出。</w:t>
      </w:r>
    </w:p>
    <w:p>
      <w:pPr>
        <w:ind w:firstLine="560" w:firstLineChars="200"/>
        <w:rPr>
          <w:rFonts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9.社会保障和就业支出（类）行政事业单位养老支出（款）机关事业单位基本养老保险缴费支出（项）：反映机关事业单位实施养老保险制度由单位实际缴纳的基本养老保险支出。</w:t>
      </w:r>
    </w:p>
    <w:p>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r>
        <w:rPr>
          <w:rFonts w:hint="eastAsia" w:ascii="仿宋_GB2312" w:hAnsi="宋体" w:eastAsia="仿宋_GB2312"/>
          <w:sz w:val="28"/>
          <w:szCs w:val="28"/>
          <w:lang w:val="en"/>
        </w:rPr>
        <w:t>（含职业年金补记支出）</w:t>
      </w:r>
      <w:r>
        <w:rPr>
          <w:rFonts w:hint="eastAsia" w:ascii="仿宋_GB2312" w:eastAsia="仿宋_GB2312"/>
          <w:sz w:val="28"/>
          <w:szCs w:val="28"/>
        </w:rPr>
        <w:t>。</w:t>
      </w:r>
    </w:p>
    <w:p>
      <w:pPr>
        <w:ind w:firstLine="560" w:firstLineChars="20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照国际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12.交通运输支出（类）公路水路运输（款）公路养护（项）：反映公路养护支出。</w:t>
      </w:r>
    </w:p>
    <w:p>
      <w:pPr>
        <w:ind w:firstLine="560" w:firstLineChars="200"/>
        <w:rPr>
          <w:rFonts w:ascii="仿宋_GB2312" w:eastAsia="仿宋_GB2312"/>
          <w:sz w:val="28"/>
          <w:szCs w:val="28"/>
        </w:rPr>
      </w:pPr>
      <w:r>
        <w:rPr>
          <w:rFonts w:hint="eastAsia" w:ascii="仿宋_GB2312" w:eastAsia="仿宋_GB2312"/>
          <w:sz w:val="28"/>
          <w:szCs w:val="28"/>
        </w:rPr>
        <w:t>13.交通运输支出（类）公路水路运输（款）公路运输管理（项）：反映公路运输管理支出和公路路政管理支出。</w:t>
      </w:r>
    </w:p>
    <w:p>
      <w:pPr>
        <w:ind w:firstLine="560" w:firstLineChars="200"/>
        <w:rPr>
          <w:rFonts w:ascii="仿宋_GB2312" w:eastAsia="仿宋_GB2312"/>
          <w:sz w:val="28"/>
          <w:szCs w:val="28"/>
        </w:rPr>
      </w:pPr>
      <w:r>
        <w:rPr>
          <w:rFonts w:hint="eastAsia" w:ascii="仿宋_GB2312" w:eastAsia="仿宋_GB2312"/>
          <w:sz w:val="28"/>
          <w:szCs w:val="28"/>
        </w:rPr>
        <w:t>14.交通运输支出（类）公路水路运输（款）其他公路水路运输支出（项）：反映出上述项目以外其他用于公路水路运输方面的支出。</w:t>
      </w:r>
    </w:p>
    <w:p>
      <w:pPr>
        <w:ind w:firstLine="560" w:firstLineChars="200"/>
        <w:rPr>
          <w:rFonts w:ascii="仿宋_GB2312" w:eastAsia="仿宋_GB2312"/>
          <w:sz w:val="28"/>
          <w:szCs w:val="28"/>
        </w:rPr>
      </w:pPr>
      <w:r>
        <w:rPr>
          <w:rFonts w:hint="eastAsia" w:ascii="仿宋_GB2312" w:eastAsia="仿宋_GB2312"/>
          <w:sz w:val="28"/>
          <w:szCs w:val="28"/>
        </w:rPr>
        <w:t>15.交通运输支出（类）车辆通行费安排的支出（款）政府还贷公路管理（项）：反映出车辆通行费安排用于政府还贷公路运行和管理工作的支出。</w:t>
      </w:r>
    </w:p>
    <w:p>
      <w:pPr>
        <w:ind w:firstLine="560" w:firstLineChars="200"/>
        <w:rPr>
          <w:rFonts w:ascii="仿宋_GB2312" w:eastAsia="仿宋_GB2312"/>
          <w:sz w:val="28"/>
          <w:szCs w:val="28"/>
        </w:rPr>
      </w:pPr>
      <w:r>
        <w:rPr>
          <w:rFonts w:hint="eastAsia" w:ascii="仿宋_GB2312" w:eastAsia="仿宋_GB2312"/>
          <w:sz w:val="28"/>
          <w:szCs w:val="28"/>
        </w:rPr>
        <w:t>16.交通运输支出（类）超长期特别国债安排的支出（款）公路水路运输（项）： 反映使用超长期特别国债收入安排的公路、水路运输方面的支出。</w:t>
      </w:r>
    </w:p>
    <w:p>
      <w:pPr>
        <w:ind w:firstLine="560" w:firstLineChars="200"/>
        <w:rPr>
          <w:rFonts w:ascii="仿宋_GB2312" w:eastAsia="仿宋_GB2312"/>
          <w:sz w:val="28"/>
          <w:szCs w:val="28"/>
        </w:rPr>
      </w:pPr>
      <w:r>
        <w:rPr>
          <w:rFonts w:hint="eastAsia" w:ascii="仿宋_GB2312" w:eastAsia="仿宋_GB2312"/>
          <w:sz w:val="28"/>
          <w:szCs w:val="28"/>
        </w:rPr>
        <w:t>17.灾害防治及应急管理支出（类）自然灾害救灾及恢复重建支出（款）自然灾害灾后重建补助（项）：反映政府预算安排用于自然灾害恢复重建的补助支出。</w:t>
      </w: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pStyle w:val="2"/>
      </w:pPr>
    </w:p>
    <w:p/>
    <w:p>
      <w:pPr>
        <w:pStyle w:val="2"/>
      </w:pPr>
    </w:p>
    <w:p>
      <w:pPr>
        <w:ind w:firstLine="640" w:firstLineChars="200"/>
        <w:jc w:val="center"/>
        <w:rPr>
          <w:rFonts w:ascii="黑体" w:eastAsia="黑体"/>
          <w:sz w:val="32"/>
          <w:szCs w:val="32"/>
        </w:rPr>
      </w:pPr>
      <w:bookmarkStart w:id="0" w:name="_GoBack"/>
      <w:bookmarkEnd w:id="0"/>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（详见附件）</w:t>
      </w:r>
    </w:p>
    <w:p>
      <w:pPr>
        <w:spacing w:line="480" w:lineRule="exact"/>
        <w:rPr>
          <w:rFonts w:ascii="仿宋_GB2312" w:hAnsi="仿宋_GB2312" w:eastAsia="仿宋_GB2312" w:cs="仿宋_GB2312"/>
          <w:sz w:val="32"/>
          <w:szCs w:val="32"/>
          <w:highlight w:val="yellow"/>
        </w:rPr>
      </w:pPr>
    </w:p>
    <w:p>
      <w:pPr>
        <w:spacing w:line="480" w:lineRule="exact"/>
        <w:rPr>
          <w:highlight w:val="yellow"/>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9</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37"/>
    <w:rsid w:val="00095948"/>
    <w:rsid w:val="00095C26"/>
    <w:rsid w:val="00096504"/>
    <w:rsid w:val="00096B86"/>
    <w:rsid w:val="000A1770"/>
    <w:rsid w:val="000A283C"/>
    <w:rsid w:val="000B15B7"/>
    <w:rsid w:val="000B70F1"/>
    <w:rsid w:val="000C4611"/>
    <w:rsid w:val="000D1B61"/>
    <w:rsid w:val="000D6854"/>
    <w:rsid w:val="000E0B26"/>
    <w:rsid w:val="000E0E09"/>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3C65"/>
    <w:rsid w:val="001D78D9"/>
    <w:rsid w:val="001E0556"/>
    <w:rsid w:val="001E2355"/>
    <w:rsid w:val="001E2379"/>
    <w:rsid w:val="001E29A9"/>
    <w:rsid w:val="001F5857"/>
    <w:rsid w:val="00206EC3"/>
    <w:rsid w:val="0021047C"/>
    <w:rsid w:val="00211E4E"/>
    <w:rsid w:val="00213D1C"/>
    <w:rsid w:val="00214C3A"/>
    <w:rsid w:val="00217517"/>
    <w:rsid w:val="00222628"/>
    <w:rsid w:val="002234F0"/>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94932"/>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350CE"/>
    <w:rsid w:val="0054051C"/>
    <w:rsid w:val="00541A5A"/>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C7E5C"/>
    <w:rsid w:val="005D10B9"/>
    <w:rsid w:val="005D18DA"/>
    <w:rsid w:val="005E00DC"/>
    <w:rsid w:val="005E3BBC"/>
    <w:rsid w:val="005E3EC6"/>
    <w:rsid w:val="005E4E07"/>
    <w:rsid w:val="005E4E46"/>
    <w:rsid w:val="005E5275"/>
    <w:rsid w:val="005E7DC8"/>
    <w:rsid w:val="005E7EC9"/>
    <w:rsid w:val="005F7087"/>
    <w:rsid w:val="0060651F"/>
    <w:rsid w:val="00611BE4"/>
    <w:rsid w:val="0061219B"/>
    <w:rsid w:val="00621419"/>
    <w:rsid w:val="00626446"/>
    <w:rsid w:val="00626BE8"/>
    <w:rsid w:val="00631827"/>
    <w:rsid w:val="00632804"/>
    <w:rsid w:val="006376DA"/>
    <w:rsid w:val="006459DA"/>
    <w:rsid w:val="006502E8"/>
    <w:rsid w:val="00654A2B"/>
    <w:rsid w:val="0065675C"/>
    <w:rsid w:val="00657206"/>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56B"/>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6989"/>
    <w:rsid w:val="0081760B"/>
    <w:rsid w:val="00817C05"/>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180"/>
    <w:rsid w:val="009B1F9A"/>
    <w:rsid w:val="009B1FA9"/>
    <w:rsid w:val="009B349F"/>
    <w:rsid w:val="009B4293"/>
    <w:rsid w:val="009B6715"/>
    <w:rsid w:val="009C2653"/>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4019"/>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0FEFC7D7"/>
    <w:rsid w:val="1059665E"/>
    <w:rsid w:val="10AC13BA"/>
    <w:rsid w:val="145A6C1B"/>
    <w:rsid w:val="14B73493"/>
    <w:rsid w:val="167A2FF9"/>
    <w:rsid w:val="18581C69"/>
    <w:rsid w:val="1AEC0734"/>
    <w:rsid w:val="1DEF20B0"/>
    <w:rsid w:val="214243FA"/>
    <w:rsid w:val="21AD613C"/>
    <w:rsid w:val="22467189"/>
    <w:rsid w:val="227B49F3"/>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FFF1595"/>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CF7BF92"/>
    <w:rsid w:val="BF3BDEFB"/>
    <w:rsid w:val="C75F6086"/>
    <w:rsid w:val="C7F7ED2D"/>
    <w:rsid w:val="CFAF854E"/>
    <w:rsid w:val="D8D7928E"/>
    <w:rsid w:val="D8FE3136"/>
    <w:rsid w:val="DDDE60B7"/>
    <w:rsid w:val="DE9F6A22"/>
    <w:rsid w:val="DF4FCE6A"/>
    <w:rsid w:val="DFF9751B"/>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layout>
                <c:manualLayout>
                  <c:x val="-0.0309053736263246"/>
                  <c:y val="-0.016160526754172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2"/>
              <c:layout>
                <c:manualLayout>
                  <c:x val="0.155481746831066"/>
                  <c:y val="0.0560874179737344"/>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129210816905539"/>
                  <c:y val="0.000197498467240156"/>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0652562369307945"/>
                  <c:y val="-0.103403327935042"/>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5"/>
              <c:layout>
                <c:manualLayout>
                  <c:x val="0.112223884005646"/>
                  <c:y val="0.00156066723569124"/>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358585.11</c:v>
                </c:pt>
                <c:pt idx="1">
                  <c:v>0</c:v>
                </c:pt>
                <c:pt idx="2">
                  <c:v>0</c:v>
                </c:pt>
                <c:pt idx="3">
                  <c:v>0</c:v>
                </c:pt>
                <c:pt idx="4">
                  <c:v>0</c:v>
                </c:pt>
                <c:pt idx="5">
                  <c:v>1.04</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102892825896763"/>
                  <c:y val="0.05597477398658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0861120953630796"/>
                  <c:y val="-0.010979512977544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25262579836761"/>
                  <c:y val="0.015155194191124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2679.42</c:v>
                </c:pt>
                <c:pt idx="1">
                  <c:v>223606.75</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743</Words>
  <Characters>4238</Characters>
  <Lines>35</Lines>
  <Paragraphs>9</Paragraphs>
  <TotalTime>1</TotalTime>
  <ScaleCrop>false</ScaleCrop>
  <LinksUpToDate>false</LinksUpToDate>
  <CharactersWithSpaces>4972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2025-09-11T10:14:00Z</dcterms:created>
  <dc:creator>常程</dc:creator>
  <cp:lastModifiedBy>bmct-aktd</cp:lastModifiedBy>
  <cp:lastPrinted>2025-09-11T09:17:00Z</cp:lastPrinted>
  <dcterms:modified xsi:type="dcterms:W3CDTF">2025-09-11T10:56:33Z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