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color w:val="auto"/>
          <w:sz w:val="32"/>
          <w:szCs w:val="32"/>
          <w:highlight w:val="none"/>
        </w:rPr>
      </w:pPr>
    </w:p>
    <w:p>
      <w:pPr>
        <w:jc w:val="center"/>
        <w:rPr>
          <w:rFonts w:hint="default" w:ascii="黑体" w:eastAsia="黑体"/>
          <w:color w:val="auto"/>
          <w:sz w:val="72"/>
          <w:szCs w:val="72"/>
          <w:highlight w:val="none"/>
          <w:lang w:val="en"/>
        </w:rPr>
      </w:pPr>
      <w:bookmarkStart w:id="0" w:name="_GoBack"/>
      <w:bookmarkEnd w:id="0"/>
    </w:p>
    <w:p>
      <w:pPr>
        <w:jc w:val="center"/>
        <w:rPr>
          <w:rFonts w:ascii="黑体" w:eastAsia="黑体"/>
          <w:color w:val="auto"/>
          <w:sz w:val="72"/>
          <w:szCs w:val="72"/>
          <w:highlight w:val="none"/>
        </w:rPr>
      </w:pPr>
    </w:p>
    <w:p>
      <w:pPr>
        <w:jc w:val="center"/>
        <w:rPr>
          <w:rFonts w:ascii="黑体" w:eastAsia="黑体"/>
          <w:color w:val="auto"/>
          <w:sz w:val="72"/>
          <w:szCs w:val="72"/>
          <w:highlight w:val="none"/>
        </w:rPr>
      </w:pPr>
    </w:p>
    <w:p>
      <w:pPr>
        <w:jc w:val="center"/>
        <w:rPr>
          <w:rFonts w:ascii="黑体" w:eastAsia="黑体"/>
          <w:color w:val="auto"/>
          <w:sz w:val="72"/>
          <w:szCs w:val="72"/>
          <w:highlight w:val="none"/>
        </w:rPr>
      </w:pPr>
    </w:p>
    <w:p>
      <w:pPr>
        <w:jc w:val="center"/>
        <w:rPr>
          <w:rFonts w:ascii="黑体" w:eastAsia="黑体"/>
          <w:color w:val="auto"/>
          <w:sz w:val="72"/>
          <w:szCs w:val="72"/>
          <w:highlight w:val="none"/>
        </w:rPr>
      </w:pPr>
      <w:r>
        <w:rPr>
          <w:rFonts w:hint="eastAsia" w:ascii="黑体" w:eastAsia="黑体"/>
          <w:color w:val="auto"/>
          <w:sz w:val="72"/>
          <w:szCs w:val="72"/>
          <w:highlight w:val="none"/>
        </w:rPr>
        <w:t>202</w:t>
      </w:r>
      <w:r>
        <w:rPr>
          <w:rFonts w:hint="eastAsia" w:ascii="黑体" w:eastAsia="黑体"/>
          <w:color w:val="auto"/>
          <w:sz w:val="72"/>
          <w:szCs w:val="72"/>
          <w:highlight w:val="none"/>
          <w:lang w:val="en-US" w:eastAsia="zh-CN"/>
        </w:rPr>
        <w:t>4</w:t>
      </w:r>
      <w:r>
        <w:rPr>
          <w:rFonts w:hint="eastAsia" w:ascii="黑体" w:eastAsia="黑体"/>
          <w:color w:val="auto"/>
          <w:sz w:val="72"/>
          <w:szCs w:val="72"/>
          <w:highlight w:val="none"/>
        </w:rPr>
        <w:t>年度部门决算</w:t>
      </w:r>
    </w:p>
    <w:p>
      <w:pPr>
        <w:jc w:val="center"/>
        <w:rPr>
          <w:rFonts w:ascii="黑体" w:eastAsia="黑体"/>
          <w:color w:val="auto"/>
          <w:sz w:val="52"/>
          <w:szCs w:val="52"/>
          <w:highlight w:val="none"/>
        </w:rPr>
      </w:pPr>
    </w:p>
    <w:p>
      <w:pPr>
        <w:jc w:val="center"/>
        <w:rPr>
          <w:rFonts w:ascii="黑体" w:eastAsia="黑体"/>
          <w:color w:val="auto"/>
          <w:sz w:val="52"/>
          <w:szCs w:val="52"/>
          <w:highlight w:val="none"/>
        </w:rPr>
      </w:pPr>
    </w:p>
    <w:p>
      <w:pPr>
        <w:jc w:val="center"/>
        <w:rPr>
          <w:rFonts w:ascii="黑体" w:eastAsia="黑体"/>
          <w:color w:val="auto"/>
          <w:sz w:val="52"/>
          <w:szCs w:val="52"/>
          <w:highlight w:val="none"/>
        </w:rPr>
      </w:pPr>
    </w:p>
    <w:p>
      <w:pPr>
        <w:jc w:val="center"/>
        <w:rPr>
          <w:rFonts w:ascii="黑体" w:eastAsia="黑体"/>
          <w:color w:val="auto"/>
          <w:sz w:val="52"/>
          <w:szCs w:val="52"/>
          <w:highlight w:val="none"/>
        </w:rPr>
      </w:pPr>
    </w:p>
    <w:p>
      <w:pPr>
        <w:jc w:val="center"/>
        <w:rPr>
          <w:rFonts w:ascii="黑体" w:eastAsia="黑体"/>
          <w:color w:val="auto"/>
          <w:sz w:val="32"/>
          <w:szCs w:val="32"/>
          <w:highlight w:val="none"/>
        </w:rPr>
      </w:pPr>
    </w:p>
    <w:p>
      <w:pPr>
        <w:spacing w:line="500" w:lineRule="exact"/>
        <w:ind w:firstLine="645"/>
        <w:jc w:val="center"/>
        <w:rPr>
          <w:rFonts w:ascii="宋体" w:hAnsi="宋体" w:cs="宋体"/>
          <w:b/>
          <w:bCs/>
          <w:color w:val="auto"/>
          <w:kern w:val="0"/>
          <w:sz w:val="44"/>
          <w:szCs w:val="36"/>
          <w:highlight w:val="none"/>
        </w:rPr>
      </w:pPr>
      <w:r>
        <w:rPr>
          <w:rFonts w:hint="eastAsia" w:ascii="宋体" w:hAnsi="宋体" w:cs="宋体"/>
          <w:b/>
          <w:bCs/>
          <w:color w:val="auto"/>
          <w:kern w:val="0"/>
          <w:sz w:val="44"/>
          <w:szCs w:val="36"/>
          <w:highlight w:val="none"/>
        </w:rPr>
        <w:t>目    录</w:t>
      </w:r>
    </w:p>
    <w:p>
      <w:pPr>
        <w:spacing w:line="500" w:lineRule="exact"/>
        <w:ind w:firstLine="645"/>
        <w:jc w:val="center"/>
        <w:rPr>
          <w:rFonts w:hint="eastAsia" w:ascii="宋体" w:hAnsi="宋体" w:cs="宋体"/>
          <w:b/>
          <w:bCs/>
          <w:color w:val="auto"/>
          <w:kern w:val="0"/>
          <w:sz w:val="36"/>
          <w:szCs w:val="36"/>
          <w:highlight w:val="none"/>
        </w:rPr>
      </w:pPr>
    </w:p>
    <w:p>
      <w:pPr>
        <w:tabs>
          <w:tab w:val="center" w:pos="6979"/>
        </w:tabs>
        <w:spacing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第一部分 202</w:t>
      </w:r>
      <w:r>
        <w:rPr>
          <w:rFonts w:hint="eastAsia" w:ascii="宋体" w:hAnsi="宋体" w:cs="宋体"/>
          <w:bCs/>
          <w:color w:val="auto"/>
          <w:spacing w:val="40"/>
          <w:kern w:val="0"/>
          <w:sz w:val="32"/>
          <w:szCs w:val="32"/>
          <w:highlight w:val="none"/>
          <w:lang w:val="en-US" w:eastAsia="zh-CN"/>
        </w:rPr>
        <w:t>4</w:t>
      </w:r>
      <w:r>
        <w:rPr>
          <w:rFonts w:hint="eastAsia" w:ascii="宋体" w:hAnsi="宋体" w:cs="宋体"/>
          <w:bCs/>
          <w:color w:val="auto"/>
          <w:spacing w:val="40"/>
          <w:kern w:val="0"/>
          <w:sz w:val="32"/>
          <w:szCs w:val="32"/>
          <w:highlight w:val="none"/>
        </w:rPr>
        <w:t>年度部门决算报表</w:t>
      </w:r>
    </w:p>
    <w:p>
      <w:pPr>
        <w:tabs>
          <w:tab w:val="center" w:pos="6979"/>
        </w:tabs>
        <w:spacing w:line="500" w:lineRule="exact"/>
        <w:ind w:firstLine="2400" w:firstLineChars="600"/>
        <w:jc w:val="left"/>
        <w:rPr>
          <w:rFonts w:hint="eastAsia" w:ascii="仿宋_GB2312" w:hAnsi="仿宋" w:eastAsia="仿宋_GB2312"/>
          <w:color w:val="auto"/>
          <w:spacing w:val="40"/>
          <w:sz w:val="32"/>
          <w:szCs w:val="32"/>
          <w:highlight w:val="none"/>
        </w:rPr>
      </w:pPr>
      <w:r>
        <w:rPr>
          <w:rFonts w:hint="eastAsia" w:ascii="仿宋_GB2312" w:hAnsi="仿宋" w:eastAsia="仿宋_GB2312" w:cs="宋体"/>
          <w:bCs/>
          <w:color w:val="auto"/>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三、支出决算表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四、财政拨款收入支出决算总表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六、一般公共预算财政拨款</w:t>
      </w:r>
      <w:r>
        <w:rPr>
          <w:rFonts w:ascii="仿宋_GB2312" w:hAnsi="仿宋" w:eastAsia="仿宋_GB2312" w:cs="宋体"/>
          <w:bCs/>
          <w:color w:val="auto"/>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七</w:t>
      </w:r>
      <w:r>
        <w:rPr>
          <w:rFonts w:ascii="仿宋_GB2312" w:hAnsi="仿宋" w:eastAsia="仿宋_GB2312" w:cs="宋体"/>
          <w:bCs/>
          <w:color w:val="auto"/>
          <w:spacing w:val="40"/>
          <w:kern w:val="0"/>
          <w:sz w:val="32"/>
          <w:szCs w:val="32"/>
          <w:highlight w:val="none"/>
        </w:rPr>
        <w:t>、</w:t>
      </w:r>
      <w:r>
        <w:rPr>
          <w:rFonts w:hint="eastAsia" w:ascii="仿宋_GB2312" w:hAnsi="仿宋" w:eastAsia="仿宋_GB2312" w:cs="宋体"/>
          <w:bCs/>
          <w:color w:val="auto"/>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八</w:t>
      </w:r>
      <w:r>
        <w:rPr>
          <w:rFonts w:hint="eastAsia" w:ascii="仿宋_GB2312" w:hAnsi="仿宋" w:eastAsia="仿宋_GB2312" w:cs="宋体"/>
          <w:bCs/>
          <w:color w:val="auto"/>
          <w:spacing w:val="40"/>
          <w:kern w:val="0"/>
          <w:sz w:val="32"/>
          <w:szCs w:val="32"/>
          <w:highlight w:val="none"/>
        </w:rPr>
        <w:t>、</w:t>
      </w:r>
      <w:r>
        <w:rPr>
          <w:rFonts w:ascii="仿宋_GB2312" w:hAnsi="仿宋" w:eastAsia="仿宋_GB2312" w:cs="宋体"/>
          <w:bCs/>
          <w:color w:val="auto"/>
          <w:spacing w:val="40"/>
          <w:kern w:val="0"/>
          <w:sz w:val="32"/>
          <w:szCs w:val="32"/>
          <w:highlight w:val="none"/>
        </w:rPr>
        <w:t>政府性基金</w:t>
      </w:r>
      <w:r>
        <w:rPr>
          <w:rFonts w:hint="eastAsia" w:ascii="仿宋_GB2312" w:hAnsi="仿宋" w:eastAsia="仿宋_GB2312" w:cs="宋体"/>
          <w:bCs/>
          <w:color w:val="auto"/>
          <w:spacing w:val="40"/>
          <w:kern w:val="0"/>
          <w:sz w:val="32"/>
          <w:szCs w:val="32"/>
          <w:highlight w:val="none"/>
        </w:rPr>
        <w:t>预算</w:t>
      </w:r>
      <w:r>
        <w:rPr>
          <w:rFonts w:ascii="仿宋_GB2312" w:hAnsi="仿宋" w:eastAsia="仿宋_GB2312" w:cs="宋体"/>
          <w:bCs/>
          <w:color w:val="auto"/>
          <w:spacing w:val="40"/>
          <w:kern w:val="0"/>
          <w:sz w:val="32"/>
          <w:szCs w:val="32"/>
          <w:highlight w:val="none"/>
        </w:rPr>
        <w:t>财政拨款基本支出决算表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九</w:t>
      </w:r>
      <w:r>
        <w:rPr>
          <w:rFonts w:hint="eastAsia" w:ascii="仿宋_GB2312" w:hAnsi="仿宋" w:eastAsia="仿宋_GB2312" w:cs="宋体"/>
          <w:bCs/>
          <w:color w:val="auto"/>
          <w:spacing w:val="40"/>
          <w:kern w:val="0"/>
          <w:sz w:val="32"/>
          <w:szCs w:val="32"/>
          <w:highlight w:val="none"/>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十、财政拨款“三公”经费支出决算表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十一、政府采购情况表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w:t>
      </w:r>
      <w:r>
        <w:rPr>
          <w:rFonts w:hint="eastAsia" w:ascii="仿宋_GB2312" w:hAnsi="仿宋" w:eastAsia="仿宋_GB2312" w:cs="宋体"/>
          <w:bCs/>
          <w:color w:val="auto"/>
          <w:spacing w:val="40"/>
          <w:kern w:val="0"/>
          <w:sz w:val="32"/>
          <w:szCs w:val="32"/>
          <w:highlight w:val="none"/>
          <w:lang w:eastAsia="zh-CN"/>
        </w:rPr>
        <w:t>二</w:t>
      </w:r>
      <w:r>
        <w:rPr>
          <w:rFonts w:hint="eastAsia" w:ascii="仿宋_GB2312" w:hAnsi="仿宋" w:eastAsia="仿宋_GB2312" w:cs="宋体"/>
          <w:bCs/>
          <w:color w:val="auto"/>
          <w:spacing w:val="40"/>
          <w:kern w:val="0"/>
          <w:sz w:val="32"/>
          <w:szCs w:val="32"/>
          <w:highlight w:val="none"/>
        </w:rPr>
        <w:t>、政府购买服务决算公开情况表</w:t>
      </w:r>
    </w:p>
    <w:p>
      <w:pPr>
        <w:tabs>
          <w:tab w:val="center" w:pos="6979"/>
        </w:tabs>
        <w:spacing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第二部分 </w:t>
      </w:r>
      <w:r>
        <w:rPr>
          <w:rFonts w:hint="eastAsia" w:ascii="宋体" w:hAnsi="宋体"/>
          <w:color w:val="auto"/>
          <w:spacing w:val="40"/>
          <w:sz w:val="32"/>
          <w:szCs w:val="32"/>
          <w:highlight w:val="none"/>
        </w:rPr>
        <w:t>202</w:t>
      </w:r>
      <w:r>
        <w:rPr>
          <w:rFonts w:hint="eastAsia" w:ascii="宋体" w:hAnsi="宋体"/>
          <w:color w:val="auto"/>
          <w:spacing w:val="40"/>
          <w:sz w:val="32"/>
          <w:szCs w:val="32"/>
          <w:highlight w:val="none"/>
          <w:lang w:val="en-US" w:eastAsia="zh-CN"/>
        </w:rPr>
        <w:t>4</w:t>
      </w:r>
      <w:r>
        <w:rPr>
          <w:rFonts w:hint="eastAsia" w:ascii="宋体" w:hAnsi="宋体"/>
          <w:color w:val="auto"/>
          <w:spacing w:val="40"/>
          <w:sz w:val="32"/>
          <w:szCs w:val="32"/>
          <w:highlight w:val="none"/>
        </w:rPr>
        <w:t>年度部门决算说明</w:t>
      </w:r>
    </w:p>
    <w:p>
      <w:pPr>
        <w:tabs>
          <w:tab w:val="center" w:pos="6979"/>
        </w:tabs>
        <w:spacing w:line="500" w:lineRule="exact"/>
        <w:ind w:firstLine="1600" w:firstLineChars="400"/>
        <w:jc w:val="left"/>
        <w:rPr>
          <w:rFonts w:hint="eastAsia" w:ascii="宋体" w:hAnsi="宋体" w:cs="宋体"/>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第三部分 </w:t>
      </w:r>
      <w:r>
        <w:rPr>
          <w:rFonts w:hint="eastAsia" w:ascii="宋体" w:hAnsi="宋体"/>
          <w:color w:val="auto"/>
          <w:spacing w:val="40"/>
          <w:sz w:val="32"/>
          <w:szCs w:val="32"/>
          <w:highlight w:val="none"/>
        </w:rPr>
        <w:t>202</w:t>
      </w:r>
      <w:r>
        <w:rPr>
          <w:rFonts w:hint="eastAsia" w:ascii="宋体" w:hAnsi="宋体"/>
          <w:color w:val="auto"/>
          <w:spacing w:val="40"/>
          <w:sz w:val="32"/>
          <w:szCs w:val="32"/>
          <w:highlight w:val="none"/>
          <w:lang w:val="en-US" w:eastAsia="zh-CN"/>
        </w:rPr>
        <w:t>4</w:t>
      </w:r>
      <w:r>
        <w:rPr>
          <w:rFonts w:hint="eastAsia" w:ascii="宋体" w:hAnsi="宋体"/>
          <w:color w:val="auto"/>
          <w:spacing w:val="40"/>
          <w:sz w:val="32"/>
          <w:szCs w:val="32"/>
          <w:highlight w:val="none"/>
        </w:rPr>
        <w:t>年度</w:t>
      </w:r>
      <w:r>
        <w:rPr>
          <w:rFonts w:hint="eastAsia" w:ascii="宋体" w:hAnsi="宋体" w:cs="宋体"/>
          <w:color w:val="auto"/>
          <w:spacing w:val="40"/>
          <w:kern w:val="0"/>
          <w:sz w:val="32"/>
          <w:szCs w:val="32"/>
          <w:highlight w:val="none"/>
        </w:rPr>
        <w:t>其他重要事项的情况说明</w:t>
      </w:r>
    </w:p>
    <w:p>
      <w:pPr>
        <w:tabs>
          <w:tab w:val="center" w:pos="6979"/>
        </w:tabs>
        <w:spacing w:line="500" w:lineRule="exact"/>
        <w:ind w:firstLine="1600" w:firstLineChars="400"/>
        <w:jc w:val="left"/>
        <w:rPr>
          <w:rFonts w:hint="eastAsia" w:ascii="宋体" w:hAnsi="宋体" w:cs="宋体"/>
          <w:color w:val="auto"/>
          <w:spacing w:val="40"/>
          <w:kern w:val="0"/>
          <w:sz w:val="36"/>
          <w:szCs w:val="32"/>
          <w:highlight w:val="none"/>
        </w:rPr>
      </w:pPr>
      <w:r>
        <w:rPr>
          <w:rFonts w:hint="eastAsia" w:ascii="宋体" w:hAnsi="宋体" w:cs="宋体"/>
          <w:color w:val="auto"/>
          <w:spacing w:val="40"/>
          <w:kern w:val="0"/>
          <w:sz w:val="32"/>
          <w:szCs w:val="32"/>
          <w:highlight w:val="none"/>
        </w:rPr>
        <w:t>第四部分 202</w:t>
      </w:r>
      <w:r>
        <w:rPr>
          <w:rFonts w:hint="eastAsia" w:ascii="宋体" w:hAnsi="宋体" w:cs="宋体"/>
          <w:color w:val="auto"/>
          <w:spacing w:val="40"/>
          <w:kern w:val="0"/>
          <w:sz w:val="32"/>
          <w:szCs w:val="32"/>
          <w:highlight w:val="none"/>
          <w:lang w:val="en-US" w:eastAsia="zh-CN"/>
        </w:rPr>
        <w:t>4</w:t>
      </w:r>
      <w:r>
        <w:rPr>
          <w:rFonts w:hint="eastAsia" w:ascii="宋体" w:hAnsi="宋体" w:cs="宋体"/>
          <w:color w:val="auto"/>
          <w:spacing w:val="40"/>
          <w:kern w:val="0"/>
          <w:sz w:val="32"/>
          <w:szCs w:val="32"/>
          <w:highlight w:val="none"/>
        </w:rPr>
        <w:t>年度部门绩效评价情况</w:t>
      </w: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r>
        <w:rPr>
          <w:rFonts w:hint="eastAsia" w:ascii="宋体" w:hAnsi="宋体" w:cs="宋体"/>
          <w:b/>
          <w:bCs/>
          <w:color w:val="auto"/>
          <w:spacing w:val="40"/>
          <w:kern w:val="0"/>
          <w:sz w:val="44"/>
          <w:szCs w:val="44"/>
          <w:highlight w:val="none"/>
        </w:rPr>
        <w:t xml:space="preserve">第一部分 </w:t>
      </w:r>
      <w:r>
        <w:rPr>
          <w:rFonts w:hint="eastAsia" w:ascii="宋体" w:hAnsi="宋体" w:cs="宋体"/>
          <w:b/>
          <w:bCs/>
          <w:color w:val="auto"/>
          <w:spacing w:val="40"/>
          <w:kern w:val="0"/>
          <w:sz w:val="44"/>
          <w:szCs w:val="44"/>
          <w:highlight w:val="none"/>
          <w:lang w:eastAsia="zh-CN"/>
        </w:rPr>
        <w:t>2024</w:t>
      </w:r>
      <w:r>
        <w:rPr>
          <w:rFonts w:hint="eastAsia" w:ascii="宋体" w:hAnsi="宋体" w:cs="宋体"/>
          <w:b/>
          <w:bCs/>
          <w:color w:val="auto"/>
          <w:spacing w:val="40"/>
          <w:kern w:val="0"/>
          <w:sz w:val="44"/>
          <w:szCs w:val="44"/>
          <w:highlight w:val="none"/>
        </w:rPr>
        <w:t>年度部门决算报表</w:t>
      </w:r>
    </w:p>
    <w:p>
      <w:pPr>
        <w:pStyle w:val="2"/>
        <w:rPr>
          <w:b w:val="0"/>
          <w:bCs w:val="0"/>
          <w:color w:val="auto"/>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highlight w:val="none"/>
        </w:rPr>
        <w:t xml:space="preserve">   </w:t>
      </w:r>
      <w:r>
        <w:rPr>
          <w:rFonts w:hint="eastAsia" w:ascii="仿宋_GB2312" w:eastAsia="仿宋_GB2312"/>
          <w:b w:val="0"/>
          <w:bCs w:val="0"/>
          <w:color w:val="auto"/>
          <w:sz w:val="28"/>
          <w:szCs w:val="28"/>
          <w:highlight w:val="none"/>
        </w:rPr>
        <w:t>报表详见附件。</w:t>
      </w:r>
    </w:p>
    <w:p>
      <w:pPr>
        <w:tabs>
          <w:tab w:val="center" w:pos="6979"/>
        </w:tabs>
        <w:spacing w:before="156" w:beforeLines="50" w:after="156" w:afterLines="50"/>
        <w:jc w:val="center"/>
        <w:rPr>
          <w:rFonts w:hint="eastAsia" w:ascii="宋体" w:hAnsi="宋体"/>
          <w:b/>
          <w:color w:val="auto"/>
          <w:sz w:val="32"/>
          <w:szCs w:val="32"/>
          <w:highlight w:val="none"/>
        </w:rPr>
      </w:pPr>
      <w:r>
        <w:rPr>
          <w:rFonts w:hint="eastAsia" w:ascii="宋体" w:hAnsi="宋体" w:cs="宋体"/>
          <w:b/>
          <w:bCs/>
          <w:color w:val="auto"/>
          <w:spacing w:val="40"/>
          <w:kern w:val="0"/>
          <w:sz w:val="32"/>
          <w:szCs w:val="32"/>
          <w:highlight w:val="none"/>
        </w:rPr>
        <w:t xml:space="preserve">第二部分 </w:t>
      </w:r>
      <w:r>
        <w:rPr>
          <w:rFonts w:hint="eastAsia" w:ascii="宋体" w:hAnsi="宋体"/>
          <w:b/>
          <w:color w:val="auto"/>
          <w:spacing w:val="40"/>
          <w:sz w:val="32"/>
          <w:szCs w:val="32"/>
          <w:highlight w:val="none"/>
        </w:rPr>
        <w:t>202</w:t>
      </w:r>
      <w:r>
        <w:rPr>
          <w:rFonts w:hint="eastAsia" w:ascii="宋体" w:hAnsi="宋体"/>
          <w:b/>
          <w:color w:val="auto"/>
          <w:spacing w:val="40"/>
          <w:sz w:val="32"/>
          <w:szCs w:val="32"/>
          <w:highlight w:val="none"/>
          <w:lang w:val="en-US" w:eastAsia="zh-CN"/>
        </w:rPr>
        <w:t>4</w:t>
      </w:r>
      <w:r>
        <w:rPr>
          <w:rFonts w:hint="eastAsia" w:ascii="宋体" w:hAnsi="宋体"/>
          <w:b/>
          <w:color w:val="auto"/>
          <w:spacing w:val="40"/>
          <w:sz w:val="32"/>
          <w:szCs w:val="32"/>
          <w:highlight w:val="none"/>
        </w:rPr>
        <w:t>年度部门决算说明</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一、单位基本情况</w:t>
      </w:r>
    </w:p>
    <w:p>
      <w:pPr>
        <w:tabs>
          <w:tab w:val="center" w:pos="6979"/>
        </w:tabs>
        <w:spacing w:line="58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（一）单位机构设置</w:t>
      </w:r>
    </w:p>
    <w:p>
      <w:pPr>
        <w:tabs>
          <w:tab w:val="center" w:pos="6979"/>
        </w:tabs>
        <w:spacing w:line="580" w:lineRule="exact"/>
        <w:ind w:firstLine="560" w:firstLineChars="200"/>
        <w:rPr>
          <w:rFonts w:hint="eastAsia" w:ascii="仿宋_GB2312" w:hAnsi="Times New Roman" w:eastAsia="仿宋_GB2312" w:cs="Times New Roman"/>
          <w:color w:val="auto"/>
          <w:kern w:val="0"/>
          <w:sz w:val="28"/>
          <w:szCs w:val="28"/>
          <w:highlight w:val="none"/>
        </w:rPr>
      </w:pPr>
      <w:r>
        <w:rPr>
          <w:rFonts w:hint="eastAsia" w:ascii="仿宋_GB2312" w:hAnsi="Times New Roman" w:eastAsia="仿宋_GB2312" w:cs="Times New Roman"/>
          <w:color w:val="auto"/>
          <w:kern w:val="0"/>
          <w:sz w:val="28"/>
          <w:szCs w:val="28"/>
          <w:highlight w:val="none"/>
        </w:rPr>
        <w:t>根据《中共北京市委机构编制委员会关于市交通委所属事业单位改革有关事项的批复》（京编委〔2021〕47号），北京市交通基础设施项目储备中心、北京市道路工程造价定额管理站、北京市道路建设工程项目管理中心组建北京市交通基础设施建设项目管理中心。内设部室15个，分别为：办公室、规划储备部、投资发展部、前期工作一部、前期工作二部、工程管理一部、工程管理二部、技术信息部、技术审查部、交评审查部、造价审查部、定额管理部、档案管理部、财务部和政工人事部。</w:t>
      </w:r>
    </w:p>
    <w:p>
      <w:pPr>
        <w:tabs>
          <w:tab w:val="center" w:pos="6979"/>
        </w:tabs>
        <w:spacing w:line="58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（二）单位主要职责</w:t>
      </w:r>
    </w:p>
    <w:p>
      <w:pPr>
        <w:tabs>
          <w:tab w:val="center" w:pos="6979"/>
        </w:tabs>
        <w:spacing w:line="580" w:lineRule="exact"/>
        <w:ind w:firstLine="560" w:firstLineChars="200"/>
        <w:rPr>
          <w:rFonts w:hint="eastAsia" w:ascii="仿宋_GB2312" w:hAnsi="Times New Roman" w:eastAsia="仿宋_GB2312" w:cs="Times New Roman"/>
          <w:color w:val="auto"/>
          <w:kern w:val="0"/>
          <w:sz w:val="28"/>
          <w:szCs w:val="28"/>
          <w:highlight w:val="none"/>
        </w:rPr>
      </w:pPr>
      <w:r>
        <w:rPr>
          <w:rFonts w:hint="default" w:ascii="仿宋_GB2312" w:eastAsia="仿宋_GB2312" w:cs="Times New Roman"/>
          <w:color w:val="auto"/>
          <w:kern w:val="0"/>
          <w:sz w:val="28"/>
          <w:szCs w:val="28"/>
          <w:highlight w:val="none"/>
          <w:lang w:val="en"/>
        </w:rPr>
        <w:t>1</w:t>
      </w:r>
      <w:r>
        <w:rPr>
          <w:rFonts w:hint="eastAsia" w:ascii="仿宋_GB2312" w:eastAsia="仿宋_GB2312" w:cs="Times New Roman"/>
          <w:color w:val="auto"/>
          <w:kern w:val="0"/>
          <w:sz w:val="28"/>
          <w:szCs w:val="28"/>
          <w:highlight w:val="none"/>
          <w:lang w:val="en" w:eastAsia="zh-CN"/>
        </w:rPr>
        <w:t>.</w:t>
      </w:r>
      <w:r>
        <w:rPr>
          <w:rFonts w:hint="eastAsia" w:ascii="仿宋_GB2312" w:hAnsi="Times New Roman" w:eastAsia="仿宋_GB2312" w:cs="Times New Roman"/>
          <w:color w:val="auto"/>
          <w:kern w:val="0"/>
          <w:sz w:val="28"/>
          <w:szCs w:val="28"/>
          <w:highlight w:val="none"/>
        </w:rPr>
        <w:t>负责全市统一的交通基础设施建设项目储备库（以下简称“储备库”）管理工作。承担储备库项目规划谋划、前期研究、投融资等相关工作，并承担储备库信息平台的建设、日常管理工作。</w:t>
      </w:r>
    </w:p>
    <w:p>
      <w:pPr>
        <w:tabs>
          <w:tab w:val="center" w:pos="6979"/>
        </w:tabs>
        <w:spacing w:line="580" w:lineRule="exact"/>
        <w:ind w:firstLine="560" w:firstLineChars="200"/>
        <w:rPr>
          <w:rFonts w:hint="eastAsia" w:ascii="仿宋_GB2312" w:hAnsi="Times New Roman" w:eastAsia="仿宋_GB2312" w:cs="Times New Roman"/>
          <w:color w:val="auto"/>
          <w:kern w:val="0"/>
          <w:sz w:val="28"/>
          <w:szCs w:val="28"/>
          <w:highlight w:val="none"/>
        </w:rPr>
      </w:pPr>
      <w:r>
        <w:rPr>
          <w:rFonts w:hint="eastAsia" w:ascii="仿宋_GB2312" w:eastAsia="仿宋_GB2312" w:cs="Times New Roman"/>
          <w:color w:val="auto"/>
          <w:kern w:val="0"/>
          <w:sz w:val="28"/>
          <w:szCs w:val="28"/>
          <w:highlight w:val="none"/>
          <w:lang w:val="en-US" w:eastAsia="zh-CN"/>
        </w:rPr>
        <w:t>2.</w:t>
      </w:r>
      <w:r>
        <w:rPr>
          <w:rFonts w:hint="eastAsia" w:ascii="仿宋_GB2312" w:hAnsi="Times New Roman" w:eastAsia="仿宋_GB2312" w:cs="Times New Roman"/>
          <w:color w:val="auto"/>
          <w:kern w:val="0"/>
          <w:sz w:val="28"/>
          <w:szCs w:val="28"/>
          <w:highlight w:val="none"/>
        </w:rPr>
        <w:t>承担储备库项目前期工作。承担储备库项目勘察设计、咨询等前期工作；协助开展市级交通项目储备计划、前期工作计划和年度建设计划编制工作。</w:t>
      </w:r>
    </w:p>
    <w:p>
      <w:pPr>
        <w:tabs>
          <w:tab w:val="center" w:pos="6979"/>
        </w:tabs>
        <w:spacing w:line="580" w:lineRule="exact"/>
        <w:ind w:firstLine="560" w:firstLineChars="200"/>
        <w:rPr>
          <w:rFonts w:hint="eastAsia" w:ascii="仿宋_GB2312" w:hAnsi="Times New Roman" w:eastAsia="仿宋_GB2312" w:cs="Times New Roman"/>
          <w:color w:val="auto"/>
          <w:kern w:val="0"/>
          <w:sz w:val="28"/>
          <w:szCs w:val="28"/>
          <w:highlight w:val="none"/>
        </w:rPr>
      </w:pPr>
      <w:r>
        <w:rPr>
          <w:rFonts w:hint="eastAsia" w:ascii="仿宋_GB2312" w:eastAsia="仿宋_GB2312" w:cs="Times New Roman"/>
          <w:color w:val="auto"/>
          <w:kern w:val="0"/>
          <w:sz w:val="28"/>
          <w:szCs w:val="28"/>
          <w:highlight w:val="none"/>
          <w:lang w:val="en-US" w:eastAsia="zh-CN"/>
        </w:rPr>
        <w:t>3.</w:t>
      </w:r>
      <w:r>
        <w:rPr>
          <w:rFonts w:hint="eastAsia" w:ascii="仿宋_GB2312" w:hAnsi="Times New Roman" w:eastAsia="仿宋_GB2312" w:cs="Times New Roman"/>
          <w:color w:val="auto"/>
          <w:kern w:val="0"/>
          <w:sz w:val="28"/>
          <w:szCs w:val="28"/>
          <w:highlight w:val="none"/>
        </w:rPr>
        <w:t>承担交通项目技术审查工作。承担市级交通项目各阶段技术审查工作；协助开展行业标准、设计规范、各类规划等技术文件的研究和落实工作。</w:t>
      </w:r>
    </w:p>
    <w:p>
      <w:pPr>
        <w:tabs>
          <w:tab w:val="center" w:pos="6979"/>
        </w:tabs>
        <w:spacing w:line="580" w:lineRule="exact"/>
        <w:ind w:firstLine="560" w:firstLineChars="200"/>
        <w:rPr>
          <w:rFonts w:hint="eastAsia" w:ascii="仿宋_GB2312" w:hAnsi="Times New Roman" w:eastAsia="仿宋_GB2312" w:cs="Times New Roman"/>
          <w:color w:val="auto"/>
          <w:kern w:val="0"/>
          <w:sz w:val="28"/>
          <w:szCs w:val="28"/>
          <w:highlight w:val="none"/>
        </w:rPr>
      </w:pPr>
      <w:r>
        <w:rPr>
          <w:rFonts w:hint="eastAsia" w:ascii="仿宋_GB2312" w:eastAsia="仿宋_GB2312" w:cs="Times New Roman"/>
          <w:color w:val="auto"/>
          <w:kern w:val="0"/>
          <w:sz w:val="28"/>
          <w:szCs w:val="28"/>
          <w:highlight w:val="none"/>
          <w:lang w:val="en-US" w:eastAsia="zh-CN"/>
        </w:rPr>
        <w:t>4.</w:t>
      </w:r>
      <w:r>
        <w:rPr>
          <w:rFonts w:hint="eastAsia" w:ascii="仿宋_GB2312" w:hAnsi="Times New Roman" w:eastAsia="仿宋_GB2312" w:cs="Times New Roman"/>
          <w:color w:val="auto"/>
          <w:kern w:val="0"/>
          <w:sz w:val="28"/>
          <w:szCs w:val="28"/>
          <w:highlight w:val="none"/>
        </w:rPr>
        <w:t>协助推进交通项目建设工作。协助开展市级交通项目协调推进和建设政策措施研究；协助开展公路建设工程招投标、行业资质和企业信用等管理工作。</w:t>
      </w:r>
    </w:p>
    <w:p>
      <w:pPr>
        <w:tabs>
          <w:tab w:val="center" w:pos="6979"/>
        </w:tabs>
        <w:spacing w:line="580" w:lineRule="exact"/>
        <w:ind w:firstLine="560" w:firstLineChars="200"/>
        <w:rPr>
          <w:rFonts w:hint="eastAsia" w:ascii="仿宋_GB2312" w:hAnsi="Times New Roman" w:eastAsia="仿宋_GB2312" w:cs="Times New Roman"/>
          <w:color w:val="auto"/>
          <w:kern w:val="0"/>
          <w:sz w:val="28"/>
          <w:szCs w:val="28"/>
          <w:highlight w:val="none"/>
        </w:rPr>
      </w:pPr>
      <w:r>
        <w:rPr>
          <w:rFonts w:hint="eastAsia" w:ascii="仿宋_GB2312" w:eastAsia="仿宋_GB2312" w:cs="Times New Roman"/>
          <w:color w:val="auto"/>
          <w:kern w:val="0"/>
          <w:sz w:val="28"/>
          <w:szCs w:val="28"/>
          <w:highlight w:val="none"/>
          <w:lang w:val="en-US" w:eastAsia="zh-CN"/>
        </w:rPr>
        <w:t>5.</w:t>
      </w:r>
      <w:r>
        <w:rPr>
          <w:rFonts w:hint="eastAsia" w:ascii="仿宋_GB2312" w:hAnsi="Times New Roman" w:eastAsia="仿宋_GB2312" w:cs="Times New Roman"/>
          <w:color w:val="auto"/>
          <w:kern w:val="0"/>
          <w:sz w:val="28"/>
          <w:szCs w:val="28"/>
          <w:highlight w:val="none"/>
        </w:rPr>
        <w:t>承担交通影响评价技术审查工作。承担大型城建项目交通影响评价的技术审查和相关研究工作。</w:t>
      </w:r>
    </w:p>
    <w:p>
      <w:pPr>
        <w:spacing w:line="480" w:lineRule="auto"/>
        <w:ind w:firstLine="560" w:firstLineChars="200"/>
        <w:rPr>
          <w:rFonts w:hint="eastAsia"/>
          <w:color w:val="auto"/>
          <w:highlight w:val="none"/>
        </w:rPr>
      </w:pPr>
      <w:r>
        <w:rPr>
          <w:rFonts w:hint="eastAsia" w:ascii="仿宋_GB2312" w:eastAsia="仿宋_GB2312" w:cs="Times New Roman"/>
          <w:color w:val="auto"/>
          <w:kern w:val="0"/>
          <w:sz w:val="28"/>
          <w:szCs w:val="28"/>
          <w:highlight w:val="none"/>
          <w:lang w:val="en-US" w:eastAsia="zh-CN"/>
        </w:rPr>
        <w:t>6.</w:t>
      </w:r>
      <w:r>
        <w:rPr>
          <w:rFonts w:hint="eastAsia" w:ascii="仿宋_GB2312" w:hAnsi="Times New Roman" w:eastAsia="仿宋_GB2312" w:cs="Times New Roman"/>
          <w:color w:val="auto"/>
          <w:kern w:val="0"/>
          <w:sz w:val="28"/>
          <w:szCs w:val="28"/>
          <w:highlight w:val="none"/>
        </w:rPr>
        <w:t>负责道路工程造价定额管理工作。承担道路工程、铁路道口、城市道路和轨道交通养护工程定额管理及造价审查等工作。负责本市交通基础设施项目的储备研究；建立全市统一的交通基础设施建设项目库（不含轨道交通）；承担有关项目的技术审查、协调推进、投融资方面的辅助性、事务性工作。</w:t>
      </w:r>
    </w:p>
    <w:p>
      <w:pPr>
        <w:tabs>
          <w:tab w:val="center" w:pos="6979"/>
        </w:tabs>
        <w:spacing w:line="580" w:lineRule="exact"/>
        <w:rPr>
          <w:rFonts w:hint="eastAsia" w:ascii="黑体" w:eastAsia="黑体"/>
          <w:b/>
          <w:color w:val="auto"/>
          <w:sz w:val="28"/>
          <w:szCs w:val="28"/>
          <w:highlight w:val="none"/>
        </w:rPr>
      </w:pPr>
      <w:r>
        <w:rPr>
          <w:rFonts w:hint="eastAsia" w:ascii="仿宋_GB2312" w:eastAsia="仿宋_GB2312"/>
          <w:b/>
          <w:color w:val="auto"/>
          <w:sz w:val="32"/>
          <w:szCs w:val="32"/>
          <w:highlight w:val="none"/>
        </w:rPr>
        <w:t xml:space="preserve">   </w:t>
      </w:r>
      <w:r>
        <w:rPr>
          <w:rFonts w:hint="eastAsia" w:ascii="黑体" w:eastAsia="黑体"/>
          <w:b/>
          <w:color w:val="auto"/>
          <w:sz w:val="28"/>
          <w:szCs w:val="28"/>
          <w:highlight w:val="none"/>
        </w:rPr>
        <w:t>二、收入支出决算总体情况说明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年度收、</w:t>
      </w:r>
      <w:r>
        <w:rPr>
          <w:rFonts w:ascii="仿宋_GB2312" w:eastAsia="仿宋_GB2312"/>
          <w:color w:val="auto"/>
          <w:sz w:val="28"/>
          <w:szCs w:val="28"/>
          <w:highlight w:val="none"/>
        </w:rPr>
        <w:t>支</w:t>
      </w:r>
      <w:r>
        <w:rPr>
          <w:rFonts w:hint="eastAsia" w:ascii="仿宋_GB2312" w:eastAsia="仿宋_GB2312"/>
          <w:color w:val="auto"/>
          <w:sz w:val="28"/>
          <w:szCs w:val="28"/>
          <w:highlight w:val="none"/>
        </w:rPr>
        <w:t>总计</w:t>
      </w:r>
      <w:r>
        <w:rPr>
          <w:rFonts w:ascii="仿宋_GB2312" w:eastAsia="仿宋_GB2312"/>
          <w:color w:val="auto"/>
          <w:sz w:val="28"/>
          <w:szCs w:val="28"/>
          <w:highlight w:val="none"/>
        </w:rPr>
        <w:t>46230.34</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5089.61</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9.92</w:t>
      </w:r>
      <w:r>
        <w:rPr>
          <w:rFonts w:hint="eastAsia" w:ascii="仿宋_GB2312" w:eastAsia="仿宋_GB2312"/>
          <w:color w:val="auto"/>
          <w:sz w:val="28"/>
          <w:szCs w:val="28"/>
          <w:highlight w:val="none"/>
        </w:rPr>
        <w:t>%。</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收入决算</w:t>
      </w:r>
      <w:r>
        <w:rPr>
          <w:rFonts w:ascii="仿宋_GB2312" w:eastAsia="仿宋_GB2312"/>
          <w:color w:val="auto"/>
          <w:sz w:val="28"/>
          <w:szCs w:val="28"/>
          <w:highlight w:val="none"/>
        </w:rPr>
        <w:t>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年度本年收入合计</w:t>
      </w:r>
      <w:r>
        <w:rPr>
          <w:rFonts w:ascii="仿宋_GB2312" w:eastAsia="仿宋_GB2312"/>
          <w:color w:val="auto"/>
          <w:sz w:val="28"/>
          <w:szCs w:val="28"/>
          <w:highlight w:val="none"/>
        </w:rPr>
        <w:t>9969.65</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41307.3</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80.56</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rPr>
        <w:t>财政拨款收入</w:t>
      </w:r>
      <w:r>
        <w:rPr>
          <w:rFonts w:ascii="仿宋_GB2312" w:eastAsia="仿宋_GB2312"/>
          <w:color w:val="auto"/>
          <w:sz w:val="28"/>
          <w:szCs w:val="28"/>
          <w:highlight w:val="none"/>
        </w:rPr>
        <w:t>9924.65</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99.55%。</w:t>
      </w:r>
      <w:r>
        <w:rPr>
          <w:rFonts w:hint="eastAsia" w:ascii="仿宋_GB2312" w:eastAsia="仿宋_GB2312"/>
          <w:color w:val="auto"/>
          <w:sz w:val="28"/>
          <w:szCs w:val="28"/>
          <w:highlight w:val="none"/>
        </w:rPr>
        <w:t>其中：</w:t>
      </w:r>
      <w:r>
        <w:rPr>
          <w:rFonts w:hint="eastAsia" w:ascii="仿宋_GB2312" w:eastAsia="仿宋_GB2312"/>
          <w:color w:val="auto"/>
          <w:sz w:val="28"/>
          <w:szCs w:val="28"/>
          <w:highlight w:val="none"/>
          <w:lang w:eastAsia="zh-CN"/>
        </w:rPr>
        <w:t>一般公共预算财政拨款收入</w:t>
      </w:r>
      <w:r>
        <w:rPr>
          <w:rFonts w:ascii="仿宋_GB2312" w:eastAsia="仿宋_GB2312"/>
          <w:color w:val="auto"/>
          <w:sz w:val="28"/>
          <w:szCs w:val="28"/>
          <w:highlight w:val="none"/>
        </w:rPr>
        <w:t>9924.65</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99.55</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政府性基金预算财政拨款收入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国有资本经营预算财政拨款收入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上级补助收入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事业收入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4.经营收入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5.附属单位上缴收入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6.其他收入</w:t>
      </w:r>
      <w:r>
        <w:rPr>
          <w:rFonts w:ascii="仿宋_GB2312" w:eastAsia="仿宋_GB2312"/>
          <w:color w:val="auto"/>
          <w:sz w:val="28"/>
          <w:szCs w:val="28"/>
          <w:highlight w:val="none"/>
        </w:rPr>
        <w:t>45</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0.45</w:t>
      </w:r>
      <w:r>
        <w:rPr>
          <w:rFonts w:hint="eastAsia" w:ascii="仿宋_GB2312" w:eastAsia="仿宋_GB2312"/>
          <w:color w:val="auto"/>
          <w:sz w:val="28"/>
          <w:szCs w:val="28"/>
          <w:highlight w:val="none"/>
        </w:rPr>
        <w:t>%。</w:t>
      </w:r>
    </w:p>
    <w:p>
      <w:pPr>
        <w:pStyle w:val="2"/>
        <w:ind w:firstLine="0"/>
        <w:jc w:val="center"/>
        <w:rPr>
          <w:color w:val="auto"/>
          <w:highlight w:val="none"/>
        </w:rPr>
      </w:pPr>
      <w:r>
        <w:rPr>
          <w:rFonts w:hint="eastAsia" w:ascii="仿宋_GB2312" w:eastAsia="仿宋_GB2312"/>
          <w:color w:val="auto"/>
          <w:sz w:val="32"/>
          <w:szCs w:val="32"/>
          <w:highlight w:val="none"/>
          <w:lang w:val="en-US" w:eastAsia="zh-CN"/>
        </w:rPr>
        <w:t>图1：收入预算</w:t>
      </w:r>
    </w:p>
    <w:p>
      <w:pPr>
        <w:pStyle w:val="3"/>
        <w:ind w:firstLine="420"/>
        <w:jc w:val="center"/>
        <w:rPr>
          <w:color w:val="auto"/>
          <w:highlight w:val="none"/>
        </w:rPr>
      </w:pPr>
      <w:r>
        <w:rPr>
          <w:color w:val="auto"/>
          <w:highlight w:val="none"/>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支出决算</w:t>
      </w:r>
      <w:r>
        <w:rPr>
          <w:rFonts w:ascii="仿宋_GB2312" w:eastAsia="仿宋_GB2312"/>
          <w:color w:val="auto"/>
          <w:sz w:val="28"/>
          <w:szCs w:val="28"/>
          <w:highlight w:val="none"/>
        </w:rPr>
        <w:t>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年度本年支出合计</w:t>
      </w:r>
      <w:r>
        <w:rPr>
          <w:rFonts w:ascii="仿宋_GB2312" w:eastAsia="仿宋_GB2312"/>
          <w:color w:val="auto"/>
          <w:sz w:val="28"/>
          <w:szCs w:val="28"/>
          <w:highlight w:val="none"/>
        </w:rPr>
        <w:t>45538.49</w:t>
      </w:r>
      <w:r>
        <w:rPr>
          <w:rFonts w:hint="eastAsia" w:ascii="仿宋_GB2312" w:eastAsia="仿宋_GB2312"/>
          <w:color w:val="auto"/>
          <w:sz w:val="28"/>
          <w:szCs w:val="28"/>
          <w:highlight w:val="none"/>
        </w:rPr>
        <w:t>万元，比上年增加35549.26万元，增长355.88%，其中：基本支出</w:t>
      </w:r>
      <w:r>
        <w:rPr>
          <w:rFonts w:ascii="仿宋_GB2312" w:eastAsia="仿宋_GB2312"/>
          <w:color w:val="auto"/>
          <w:sz w:val="28"/>
          <w:szCs w:val="28"/>
          <w:highlight w:val="none"/>
        </w:rPr>
        <w:t>3529.22</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7.75</w:t>
      </w:r>
      <w:r>
        <w:rPr>
          <w:rFonts w:hint="eastAsia" w:ascii="仿宋_GB2312" w:eastAsia="仿宋_GB2312"/>
          <w:color w:val="auto"/>
          <w:sz w:val="28"/>
          <w:szCs w:val="28"/>
          <w:highlight w:val="none"/>
        </w:rPr>
        <w:t>%；项目支出</w:t>
      </w:r>
      <w:r>
        <w:rPr>
          <w:rFonts w:ascii="仿宋_GB2312" w:eastAsia="仿宋_GB2312"/>
          <w:color w:val="auto"/>
          <w:sz w:val="28"/>
          <w:szCs w:val="28"/>
          <w:highlight w:val="none"/>
        </w:rPr>
        <w:t>42009.27</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92.25</w:t>
      </w:r>
      <w:r>
        <w:rPr>
          <w:rFonts w:hint="eastAsia" w:ascii="仿宋_GB2312" w:eastAsia="仿宋_GB2312"/>
          <w:color w:val="auto"/>
          <w:sz w:val="28"/>
          <w:szCs w:val="28"/>
          <w:highlight w:val="none"/>
        </w:rPr>
        <w:t>%;上缴上级支出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%；经营支出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%；对附属单位补助支出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pStyle w:val="2"/>
        <w:ind w:firstLine="642"/>
        <w:jc w:val="center"/>
        <w:rPr>
          <w:rFonts w:ascii="仿宋_GB2312" w:eastAsia="仿宋_GB2312"/>
          <w:color w:val="auto"/>
          <w:sz w:val="32"/>
          <w:highlight w:val="none"/>
        </w:rPr>
      </w:pPr>
      <w:r>
        <w:rPr>
          <w:rFonts w:hint="eastAsia" w:ascii="仿宋_GB2312" w:eastAsia="仿宋_GB2312"/>
          <w:color w:val="auto"/>
          <w:sz w:val="32"/>
          <w:highlight w:val="none"/>
        </w:rPr>
        <w:t>图2：基本支出和项目支出情况</w:t>
      </w:r>
    </w:p>
    <w:p>
      <w:pPr>
        <w:jc w:val="center"/>
        <w:rPr>
          <w:rFonts w:ascii="黑体" w:eastAsia="黑体"/>
          <w:b/>
          <w:color w:val="auto"/>
          <w:sz w:val="28"/>
          <w:szCs w:val="28"/>
          <w:highlight w:val="none"/>
        </w:rPr>
      </w:pPr>
      <w:r>
        <w:rPr>
          <w:color w:val="auto"/>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三</w:t>
      </w:r>
      <w:r>
        <w:rPr>
          <w:rFonts w:ascii="黑体" w:eastAsia="黑体"/>
          <w:b/>
          <w:color w:val="auto"/>
          <w:sz w:val="28"/>
          <w:szCs w:val="28"/>
          <w:highlight w:val="none"/>
        </w:rPr>
        <w:t>、财政拨款</w:t>
      </w:r>
      <w:r>
        <w:rPr>
          <w:rFonts w:hint="eastAsia" w:ascii="黑体" w:eastAsia="黑体"/>
          <w:b/>
          <w:color w:val="auto"/>
          <w:sz w:val="28"/>
          <w:szCs w:val="28"/>
          <w:highlight w:val="none"/>
        </w:rPr>
        <w:t>收入支出决算</w:t>
      </w:r>
      <w:r>
        <w:rPr>
          <w:rFonts w:ascii="黑体" w:eastAsia="黑体"/>
          <w:b/>
          <w:color w:val="auto"/>
          <w:sz w:val="28"/>
          <w:szCs w:val="28"/>
          <w:highlight w:val="none"/>
        </w:rPr>
        <w:t>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年度财政拨款收、</w:t>
      </w:r>
      <w:r>
        <w:rPr>
          <w:rFonts w:ascii="仿宋_GB2312" w:eastAsia="仿宋_GB2312"/>
          <w:color w:val="auto"/>
          <w:sz w:val="28"/>
          <w:szCs w:val="28"/>
          <w:highlight w:val="none"/>
        </w:rPr>
        <w:t>支</w:t>
      </w:r>
      <w:r>
        <w:rPr>
          <w:rFonts w:hint="eastAsia" w:ascii="仿宋_GB2312" w:eastAsia="仿宋_GB2312"/>
          <w:color w:val="auto"/>
          <w:sz w:val="28"/>
          <w:szCs w:val="28"/>
          <w:highlight w:val="none"/>
        </w:rPr>
        <w:t>总计</w:t>
      </w:r>
      <w:r>
        <w:rPr>
          <w:rFonts w:ascii="仿宋_GB2312" w:eastAsia="仿宋_GB2312"/>
          <w:color w:val="auto"/>
          <w:sz w:val="28"/>
          <w:szCs w:val="28"/>
          <w:highlight w:val="none"/>
        </w:rPr>
        <w:t>46185.34</w:t>
      </w:r>
      <w:r>
        <w:rPr>
          <w:rFonts w:hint="eastAsia" w:ascii="仿宋_GB2312" w:eastAsia="仿宋_GB2312"/>
          <w:color w:val="auto"/>
          <w:sz w:val="28"/>
          <w:szCs w:val="28"/>
          <w:highlight w:val="none"/>
        </w:rPr>
        <w:t>万元，比上年减少</w:t>
      </w:r>
      <w:r>
        <w:rPr>
          <w:rFonts w:hint="eastAsia" w:ascii="仿宋_GB2312" w:eastAsia="仿宋_GB2312"/>
          <w:color w:val="auto"/>
          <w:sz w:val="28"/>
          <w:szCs w:val="28"/>
          <w:highlight w:val="none"/>
          <w:lang w:val="en-US" w:eastAsia="zh-CN"/>
        </w:rPr>
        <w:t>5134.61</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10.01%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根据相关建设计划调整，减少</w:t>
      </w:r>
      <w:r>
        <w:rPr>
          <w:rFonts w:hint="eastAsia" w:ascii="仿宋_GB2312" w:eastAsia="仿宋_GB2312"/>
          <w:color w:val="auto"/>
          <w:sz w:val="28"/>
          <w:szCs w:val="28"/>
          <w:highlight w:val="none"/>
        </w:rPr>
        <w:t>三年提升项目前期工作费（固投）项目资金。</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年度一般公共预算财政拨款支出</w:t>
      </w:r>
      <w:r>
        <w:rPr>
          <w:rFonts w:ascii="仿宋_GB2312" w:eastAsia="仿宋_GB2312"/>
          <w:color w:val="auto"/>
          <w:sz w:val="28"/>
          <w:szCs w:val="28"/>
          <w:highlight w:val="none"/>
        </w:rPr>
        <w:t>45538.49</w:t>
      </w:r>
      <w:r>
        <w:rPr>
          <w:rFonts w:hint="eastAsia" w:ascii="仿宋_GB2312" w:eastAsia="仿宋_GB2312"/>
          <w:color w:val="auto"/>
          <w:sz w:val="28"/>
          <w:szCs w:val="28"/>
          <w:highlight w:val="none"/>
        </w:rPr>
        <w:t>万元，主要用于以下方面（按大类）：</w:t>
      </w:r>
      <w:r>
        <w:rPr>
          <w:rFonts w:hint="eastAsia" w:ascii="仿宋_GB2312" w:hAnsi="Times New Roman" w:eastAsia="仿宋_GB2312" w:cs="Times New Roman"/>
          <w:color w:val="auto"/>
          <w:sz w:val="28"/>
          <w:szCs w:val="28"/>
          <w:highlight w:val="none"/>
        </w:rPr>
        <w:t>教育支出</w:t>
      </w:r>
      <w:r>
        <w:rPr>
          <w:rFonts w:hint="eastAsia" w:ascii="仿宋_GB2312" w:eastAsia="仿宋_GB2312" w:cs="Times New Roman"/>
          <w:color w:val="auto"/>
          <w:sz w:val="28"/>
          <w:szCs w:val="28"/>
          <w:highlight w:val="none"/>
          <w:lang w:val="en-US" w:eastAsia="zh-CN"/>
        </w:rPr>
        <w:t>0.35</w:t>
      </w:r>
      <w:r>
        <w:rPr>
          <w:rFonts w:hint="eastAsia" w:ascii="仿宋_GB2312" w:eastAsia="仿宋_GB2312" w:cs="Times New Roman"/>
          <w:color w:val="auto"/>
          <w:sz w:val="28"/>
          <w:szCs w:val="28"/>
          <w:highlight w:val="none"/>
          <w:lang w:eastAsia="zh-CN"/>
        </w:rPr>
        <w:t>万元，</w:t>
      </w:r>
      <w:r>
        <w:rPr>
          <w:rFonts w:hint="eastAsia" w:ascii="仿宋_GB2312" w:eastAsia="仿宋_GB2312"/>
          <w:color w:val="auto"/>
          <w:sz w:val="28"/>
          <w:szCs w:val="28"/>
          <w:highlight w:val="none"/>
        </w:rPr>
        <w:t>占本年财政拨款支出</w:t>
      </w:r>
      <w:r>
        <w:rPr>
          <w:rFonts w:hint="eastAsia" w:ascii="仿宋_GB2312" w:eastAsia="仿宋_GB2312"/>
          <w:color w:val="auto"/>
          <w:sz w:val="28"/>
          <w:szCs w:val="28"/>
          <w:highlight w:val="none"/>
          <w:lang w:val="en-US" w:eastAsia="zh-CN"/>
        </w:rPr>
        <w:t>0.00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r>
        <w:rPr>
          <w:rFonts w:hint="eastAsia" w:ascii="仿宋_GB2312" w:hAnsi="Times New Roman" w:eastAsia="仿宋_GB2312" w:cs="Times New Roman"/>
          <w:color w:val="auto"/>
          <w:sz w:val="28"/>
          <w:szCs w:val="28"/>
          <w:highlight w:val="none"/>
        </w:rPr>
        <w:t>社会保障和就业支出</w:t>
      </w:r>
      <w:r>
        <w:rPr>
          <w:rFonts w:hint="eastAsia" w:ascii="仿宋_GB2312" w:eastAsia="仿宋_GB2312" w:cs="Times New Roman"/>
          <w:color w:val="auto"/>
          <w:sz w:val="28"/>
          <w:szCs w:val="28"/>
          <w:highlight w:val="none"/>
          <w:lang w:val="en-US" w:eastAsia="zh-CN"/>
        </w:rPr>
        <w:t>379.37</w:t>
      </w:r>
      <w:r>
        <w:rPr>
          <w:rFonts w:hint="eastAsia" w:ascii="仿宋_GB2312" w:hAnsi="Times New Roman" w:eastAsia="仿宋_GB2312" w:cs="Times New Roman"/>
          <w:color w:val="auto"/>
          <w:sz w:val="28"/>
          <w:szCs w:val="28"/>
          <w:highlight w:val="none"/>
        </w:rPr>
        <w:t>万元，占本年财政拨款支出</w:t>
      </w:r>
      <w:r>
        <w:rPr>
          <w:rFonts w:hint="eastAsia" w:ascii="仿宋_GB2312" w:eastAsia="仿宋_GB2312" w:cs="Times New Roman"/>
          <w:color w:val="auto"/>
          <w:sz w:val="28"/>
          <w:szCs w:val="28"/>
          <w:highlight w:val="none"/>
          <w:lang w:val="en-US" w:eastAsia="zh-CN"/>
        </w:rPr>
        <w:t>0.83</w:t>
      </w:r>
      <w:r>
        <w:rPr>
          <w:rFonts w:hint="eastAsia" w:ascii="仿宋_GB2312" w:hAnsi="Times New Roman" w:eastAsia="仿宋_GB2312" w:cs="Times New Roman"/>
          <w:color w:val="auto"/>
          <w:sz w:val="28"/>
          <w:szCs w:val="28"/>
          <w:highlight w:val="none"/>
        </w:rPr>
        <w:t>%；卫生健康支出</w:t>
      </w:r>
      <w:r>
        <w:rPr>
          <w:rFonts w:hint="eastAsia" w:ascii="仿宋_GB2312" w:eastAsia="仿宋_GB2312" w:cs="Times New Roman"/>
          <w:color w:val="auto"/>
          <w:sz w:val="28"/>
          <w:szCs w:val="28"/>
          <w:highlight w:val="none"/>
          <w:lang w:val="en-US" w:eastAsia="zh-CN"/>
        </w:rPr>
        <w:t>231.08</w:t>
      </w:r>
      <w:r>
        <w:rPr>
          <w:rFonts w:hint="eastAsia" w:ascii="仿宋_GB2312" w:hAnsi="Times New Roman" w:eastAsia="仿宋_GB2312" w:cs="Times New Roman"/>
          <w:color w:val="auto"/>
          <w:sz w:val="28"/>
          <w:szCs w:val="28"/>
          <w:highlight w:val="none"/>
        </w:rPr>
        <w:t>万元，占本年财政拨款支出</w:t>
      </w:r>
      <w:r>
        <w:rPr>
          <w:rFonts w:hint="eastAsia" w:ascii="仿宋_GB2312" w:eastAsia="仿宋_GB2312" w:cs="Times New Roman"/>
          <w:color w:val="auto"/>
          <w:sz w:val="28"/>
          <w:szCs w:val="28"/>
          <w:highlight w:val="none"/>
          <w:lang w:val="en-US" w:eastAsia="zh-CN"/>
        </w:rPr>
        <w:t>0.51</w:t>
      </w:r>
      <w:r>
        <w:rPr>
          <w:rFonts w:hint="eastAsia" w:ascii="仿宋_GB2312" w:hAnsi="Times New Roman" w:eastAsia="仿宋_GB2312" w:cs="Times New Roman"/>
          <w:color w:val="auto"/>
          <w:sz w:val="28"/>
          <w:szCs w:val="28"/>
          <w:highlight w:val="none"/>
        </w:rPr>
        <w:t>%；交通运输支出</w:t>
      </w:r>
      <w:r>
        <w:rPr>
          <w:rFonts w:hint="eastAsia" w:ascii="仿宋_GB2312" w:eastAsia="仿宋_GB2312" w:cs="Times New Roman"/>
          <w:color w:val="auto"/>
          <w:sz w:val="28"/>
          <w:szCs w:val="28"/>
          <w:highlight w:val="none"/>
          <w:lang w:val="en-US" w:eastAsia="zh-CN"/>
        </w:rPr>
        <w:t>9217.96</w:t>
      </w:r>
      <w:r>
        <w:rPr>
          <w:rFonts w:hint="eastAsia" w:ascii="仿宋_GB2312" w:hAnsi="Times New Roman" w:eastAsia="仿宋_GB2312" w:cs="Times New Roman"/>
          <w:color w:val="auto"/>
          <w:sz w:val="28"/>
          <w:szCs w:val="28"/>
          <w:highlight w:val="none"/>
        </w:rPr>
        <w:t>万元，占本年财政拨款支出</w:t>
      </w:r>
      <w:r>
        <w:rPr>
          <w:rFonts w:hint="eastAsia" w:ascii="仿宋_GB2312" w:eastAsia="仿宋_GB2312" w:cs="Times New Roman"/>
          <w:color w:val="auto"/>
          <w:sz w:val="28"/>
          <w:szCs w:val="28"/>
          <w:highlight w:val="none"/>
          <w:lang w:val="en-US" w:eastAsia="zh-CN"/>
        </w:rPr>
        <w:t>20.24</w:t>
      </w:r>
      <w:r>
        <w:rPr>
          <w:rFonts w:hint="eastAsia" w:ascii="仿宋_GB2312" w:hAnsi="Times New Roman" w:eastAsia="仿宋_GB2312" w:cs="Times New Roman"/>
          <w:color w:val="auto"/>
          <w:sz w:val="28"/>
          <w:szCs w:val="28"/>
          <w:highlight w:val="none"/>
        </w:rPr>
        <w:t>%</w:t>
      </w:r>
      <w:r>
        <w:rPr>
          <w:rFonts w:hint="eastAsia" w:ascii="仿宋_GB2312" w:eastAsia="仿宋_GB2312" w:cs="Times New Roman"/>
          <w:color w:val="auto"/>
          <w:sz w:val="28"/>
          <w:szCs w:val="28"/>
          <w:highlight w:val="none"/>
          <w:lang w:val="en-US" w:eastAsia="zh-CN"/>
        </w:rPr>
        <w:t>;灾害防治及应急管理支出35709.73万元，占本年财政拨款支出78.42%。</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eastAsia="zh-CN"/>
        </w:rPr>
        <w:t>.</w:t>
      </w:r>
      <w:r>
        <w:rPr>
          <w:rFonts w:hint="eastAsia" w:ascii="仿宋_GB2312" w:hAnsi="Times New Roman" w:eastAsia="仿宋_GB2312" w:cs="Times New Roman"/>
          <w:color w:val="auto"/>
          <w:sz w:val="28"/>
          <w:szCs w:val="28"/>
          <w:highlight w:val="none"/>
        </w:rPr>
        <w:t>“教育支出”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0.35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11.67</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lang w:eastAsia="zh-CN"/>
        </w:rPr>
      </w:pPr>
      <w:r>
        <w:rPr>
          <w:rFonts w:hint="eastAsia" w:ascii="仿宋_GB2312" w:hAnsi="Times New Roman" w:eastAsia="仿宋_GB2312" w:cs="Times New Roman"/>
          <w:color w:val="auto"/>
          <w:sz w:val="28"/>
          <w:szCs w:val="28"/>
          <w:highlight w:val="none"/>
        </w:rPr>
        <w:t>“进修及培训”</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0.35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11.67</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主要原因：落实“过紧日子”要求，进一步压减一般性支出</w:t>
      </w:r>
      <w:r>
        <w:rPr>
          <w:rFonts w:hint="eastAsia" w:ascii="仿宋_GB2312" w:eastAsia="仿宋_GB2312" w:cs="Times New Roman"/>
          <w:color w:val="auto"/>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rPr>
      </w:pPr>
      <w:r>
        <w:rPr>
          <w:rFonts w:hint="eastAsia" w:ascii="仿宋_GB2312" w:eastAsia="仿宋_GB2312"/>
          <w:color w:val="auto"/>
          <w:sz w:val="28"/>
          <w:szCs w:val="28"/>
          <w:highlight w:val="none"/>
          <w:lang w:val="en-US" w:eastAsia="zh-CN"/>
        </w:rPr>
        <w:t>2.</w:t>
      </w:r>
      <w:r>
        <w:rPr>
          <w:rFonts w:hint="eastAsia" w:ascii="仿宋_GB2312" w:hAnsi="Times New Roman" w:eastAsia="仿宋_GB2312" w:cs="Times New Roman"/>
          <w:color w:val="auto"/>
          <w:sz w:val="28"/>
          <w:szCs w:val="28"/>
          <w:highlight w:val="none"/>
        </w:rPr>
        <w:t>“社会保障和就业支出”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389.69</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379.37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97.35</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lang w:eastAsia="zh-CN"/>
        </w:rPr>
      </w:pPr>
      <w:r>
        <w:rPr>
          <w:rFonts w:hint="eastAsia" w:ascii="仿宋_GB2312" w:hAnsi="Times New Roman" w:eastAsia="仿宋_GB2312" w:cs="Times New Roman"/>
          <w:color w:val="auto"/>
          <w:sz w:val="28"/>
          <w:szCs w:val="28"/>
          <w:highlight w:val="none"/>
        </w:rPr>
        <w:t>“行政事业单位养老支出”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389.69</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379.37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97.35</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主要原因：执行全市统一养老保险和职业年金缴费政策，在预算执行过程中根据实际人员情况安排支出</w:t>
      </w:r>
      <w:r>
        <w:rPr>
          <w:rFonts w:hint="eastAsia" w:ascii="仿宋_GB2312" w:hAnsi="Times New Roman" w:eastAsia="仿宋_GB2312" w:cs="Times New Roman"/>
          <w:color w:val="auto"/>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hAnsi="Times New Roman" w:eastAsia="仿宋_GB2312" w:cs="Times New Roman"/>
          <w:color w:val="auto"/>
          <w:sz w:val="28"/>
          <w:szCs w:val="28"/>
          <w:highlight w:val="none"/>
        </w:rPr>
        <w:t>“卫生健康支出”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237.4</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231.08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97.34</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rPr>
      </w:pPr>
      <w:r>
        <w:rPr>
          <w:rFonts w:hint="eastAsia" w:ascii="仿宋_GB2312" w:hAnsi="Times New Roman" w:eastAsia="仿宋_GB2312" w:cs="Times New Roman"/>
          <w:color w:val="auto"/>
          <w:sz w:val="28"/>
          <w:szCs w:val="28"/>
          <w:highlight w:val="none"/>
        </w:rPr>
        <w:t>“行政事业单位医疗”</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237.4</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231.08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97.34</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主要原因：执行全市统一医疗保险缴费标准，在预算执行过程中根据实际人员情况安排支出。</w:t>
      </w:r>
    </w:p>
    <w:p>
      <w:p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rPr>
      </w:pPr>
      <w:r>
        <w:rPr>
          <w:rFonts w:hint="eastAsia" w:ascii="仿宋_GB2312" w:eastAsia="仿宋_GB2312"/>
          <w:color w:val="auto"/>
          <w:sz w:val="28"/>
          <w:szCs w:val="28"/>
          <w:highlight w:val="none"/>
          <w:lang w:val="en-US" w:eastAsia="zh-CN"/>
        </w:rPr>
        <w:t>4.</w:t>
      </w:r>
      <w:r>
        <w:rPr>
          <w:rFonts w:hint="eastAsia" w:ascii="仿宋_GB2312" w:hAnsi="Times New Roman" w:eastAsia="仿宋_GB2312" w:cs="Times New Roman"/>
          <w:color w:val="auto"/>
          <w:sz w:val="28"/>
          <w:szCs w:val="28"/>
          <w:highlight w:val="none"/>
        </w:rPr>
        <w:t>“交通运输支出”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8874.68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9217.96</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103.87</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cs="Times New Roman"/>
          <w:color w:val="auto"/>
          <w:sz w:val="28"/>
          <w:szCs w:val="28"/>
          <w:highlight w:val="none"/>
          <w:lang w:eastAsia="zh-CN"/>
        </w:rPr>
      </w:pPr>
      <w:r>
        <w:rPr>
          <w:rFonts w:hint="eastAsia" w:ascii="仿宋_GB2312" w:hAnsi="Times New Roman" w:eastAsia="仿宋_GB2312" w:cs="Times New Roman"/>
          <w:color w:val="auto"/>
          <w:sz w:val="28"/>
          <w:szCs w:val="28"/>
          <w:highlight w:val="none"/>
        </w:rPr>
        <w:t>“公路水路运输”</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8874.68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9217.96</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103.87</w:t>
      </w:r>
      <w:r>
        <w:rPr>
          <w:rFonts w:hint="eastAsia" w:ascii="仿宋_GB2312" w:eastAsia="仿宋_GB2312"/>
          <w:color w:val="auto"/>
          <w:sz w:val="28"/>
          <w:szCs w:val="28"/>
          <w:highlight w:val="none"/>
        </w:rPr>
        <w:t>%。</w:t>
      </w:r>
      <w:r>
        <w:rPr>
          <w:rFonts w:hint="eastAsia" w:ascii="仿宋_GB2312" w:eastAsia="仿宋_GB2312" w:cs="Times New Roman"/>
          <w:color w:val="auto"/>
          <w:sz w:val="28"/>
          <w:szCs w:val="28"/>
          <w:highlight w:val="none"/>
          <w:lang w:eastAsia="zh-CN"/>
        </w:rPr>
        <w:t>主要原因：根据工程进展及项目完成情况，依据各类交通投资计划及施工进度安排，追加工程项目预算。</w:t>
      </w:r>
    </w:p>
    <w:p>
      <w:pPr>
        <w:numPr>
          <w:ilvl w:val="0"/>
          <w:numId w:val="0"/>
        </w:numPr>
        <w:autoSpaceDE w:val="0"/>
        <w:autoSpaceDN w:val="0"/>
        <w:adjustRightInd w:val="0"/>
        <w:spacing w:line="580" w:lineRule="exact"/>
        <w:ind w:firstLine="560" w:firstLineChars="200"/>
        <w:jc w:val="left"/>
        <w:rPr>
          <w:rFonts w:hint="eastAsia" w:ascii="仿宋_GB2312" w:hAnsi="Times New Roman" w:eastAsia="仿宋_GB2312" w:cs="Times New Roman"/>
          <w:color w:val="auto"/>
          <w:sz w:val="28"/>
          <w:szCs w:val="28"/>
          <w:highlight w:val="none"/>
        </w:rPr>
      </w:pPr>
      <w:r>
        <w:rPr>
          <w:rFonts w:hint="eastAsia" w:ascii="仿宋_GB2312" w:eastAsia="仿宋_GB2312" w:cs="Times New Roman"/>
          <w:color w:val="auto"/>
          <w:sz w:val="28"/>
          <w:szCs w:val="28"/>
          <w:highlight w:val="none"/>
          <w:lang w:val="en-US" w:eastAsia="zh-CN"/>
        </w:rPr>
        <w:t>5.</w:t>
      </w:r>
      <w:r>
        <w:rPr>
          <w:rFonts w:hint="eastAsia" w:ascii="仿宋_GB2312" w:hAnsi="Times New Roman" w:eastAsia="仿宋_GB2312" w:cs="Times New Roman"/>
          <w:color w:val="auto"/>
          <w:sz w:val="28"/>
          <w:szCs w:val="28"/>
          <w:highlight w:val="none"/>
        </w:rPr>
        <w:t>“</w:t>
      </w:r>
      <w:r>
        <w:rPr>
          <w:rFonts w:hint="eastAsia" w:ascii="仿宋_GB2312" w:eastAsia="仿宋_GB2312" w:cs="Times New Roman"/>
          <w:color w:val="auto"/>
          <w:sz w:val="28"/>
          <w:szCs w:val="28"/>
          <w:highlight w:val="none"/>
          <w:lang w:val="en-US" w:eastAsia="zh-CN"/>
        </w:rPr>
        <w:t>灾害防治及应急管理支出</w:t>
      </w:r>
      <w:r>
        <w:rPr>
          <w:rFonts w:hint="eastAsia" w:ascii="仿宋_GB2312" w:hAnsi="Times New Roman" w:eastAsia="仿宋_GB2312" w:cs="Times New Roman"/>
          <w:color w:val="auto"/>
          <w:sz w:val="28"/>
          <w:szCs w:val="28"/>
          <w:highlight w:val="none"/>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41244.53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35709.73</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86.58</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其中：</w:t>
      </w:r>
    </w:p>
    <w:p>
      <w:pPr>
        <w:autoSpaceDE w:val="0"/>
        <w:autoSpaceDN w:val="0"/>
        <w:adjustRightInd w:val="0"/>
        <w:spacing w:line="580" w:lineRule="exact"/>
        <w:ind w:firstLine="560" w:firstLineChars="200"/>
        <w:jc w:val="left"/>
        <w:rPr>
          <w:rFonts w:ascii="仿宋_GB2312" w:eastAsia="仿宋_GB2312"/>
          <w:color w:val="auto"/>
          <w:sz w:val="28"/>
          <w:szCs w:val="28"/>
          <w:highlight w:val="none"/>
        </w:rPr>
      </w:pPr>
      <w:r>
        <w:rPr>
          <w:rFonts w:hint="eastAsia" w:ascii="仿宋_GB2312" w:hAnsi="Times New Roman" w:eastAsia="仿宋_GB2312" w:cs="Times New Roman"/>
          <w:color w:val="auto"/>
          <w:sz w:val="28"/>
          <w:szCs w:val="28"/>
          <w:highlight w:val="none"/>
          <w:lang w:val="en-US" w:eastAsia="zh-CN"/>
        </w:rPr>
        <w:t>“</w:t>
      </w:r>
      <w:r>
        <w:rPr>
          <w:rFonts w:hint="eastAsia" w:ascii="仿宋_GB2312" w:eastAsia="仿宋_GB2312" w:cs="Times New Roman"/>
          <w:color w:val="auto"/>
          <w:sz w:val="28"/>
          <w:szCs w:val="28"/>
          <w:highlight w:val="none"/>
          <w:lang w:val="en-US" w:eastAsia="zh-CN"/>
        </w:rPr>
        <w:t>自然灾害救灾及恢复重建支出</w:t>
      </w:r>
      <w:r>
        <w:rPr>
          <w:rFonts w:hint="eastAsia" w:ascii="仿宋_GB2312" w:hAnsi="Times New Roman" w:eastAsia="仿宋_GB2312" w:cs="Times New Roman"/>
          <w:color w:val="auto"/>
          <w:sz w:val="28"/>
          <w:szCs w:val="28"/>
          <w:highlight w:val="none"/>
          <w:lang w:val="en-US" w:eastAsia="zh-CN"/>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41244.53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s="Times New Roman"/>
          <w:color w:val="auto"/>
          <w:sz w:val="28"/>
          <w:szCs w:val="28"/>
          <w:highlight w:val="none"/>
          <w:lang w:val="en-US" w:eastAsia="zh-CN"/>
        </w:rPr>
        <w:t>35709.73</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86.58</w:t>
      </w:r>
      <w:r>
        <w:rPr>
          <w:rFonts w:hint="eastAsia" w:ascii="仿宋_GB2312" w:eastAsia="仿宋_GB2312"/>
          <w:color w:val="auto"/>
          <w:sz w:val="28"/>
          <w:szCs w:val="28"/>
          <w:highlight w:val="none"/>
        </w:rPr>
        <w:t>%。</w:t>
      </w:r>
      <w:r>
        <w:rPr>
          <w:rFonts w:hint="eastAsia" w:ascii="仿宋_GB2312" w:hAnsi="Times New Roman" w:eastAsia="仿宋_GB2312" w:cs="Times New Roman"/>
          <w:color w:val="auto"/>
          <w:sz w:val="28"/>
          <w:szCs w:val="28"/>
          <w:highlight w:val="none"/>
        </w:rPr>
        <w:t>主要原因</w:t>
      </w:r>
      <w:r>
        <w:rPr>
          <w:rFonts w:hint="eastAsia" w:ascii="仿宋_GB2312" w:hAnsi="Times New Roman" w:eastAsia="仿宋_GB2312" w:cs="Times New Roman"/>
          <w:color w:val="auto"/>
          <w:sz w:val="28"/>
          <w:szCs w:val="28"/>
          <w:highlight w:val="none"/>
          <w:lang w:eastAsia="zh-CN"/>
        </w:rPr>
        <w:t>：</w:t>
      </w:r>
      <w:r>
        <w:rPr>
          <w:rFonts w:hint="eastAsia" w:ascii="仿宋_GB2312" w:eastAsia="仿宋_GB2312"/>
          <w:color w:val="auto"/>
          <w:sz w:val="28"/>
          <w:szCs w:val="28"/>
          <w:highlight w:val="none"/>
          <w:lang w:eastAsia="zh-CN"/>
        </w:rPr>
        <w:t>根据相关建设计划调整，减少</w:t>
      </w:r>
      <w:r>
        <w:rPr>
          <w:rFonts w:hint="eastAsia" w:ascii="仿宋_GB2312" w:eastAsia="仿宋_GB2312"/>
          <w:color w:val="auto"/>
          <w:sz w:val="28"/>
          <w:szCs w:val="28"/>
          <w:highlight w:val="none"/>
        </w:rPr>
        <w:t>三年提升项目前期工作费（固投）项目资金</w:t>
      </w:r>
      <w:r>
        <w:rPr>
          <w:rFonts w:hint="eastAsia" w:ascii="仿宋_GB2312" w:hAnsi="Times New Roman" w:eastAsia="仿宋_GB2312" w:cs="Times New Roman"/>
          <w:color w:val="auto"/>
          <w:sz w:val="28"/>
          <w:szCs w:val="28"/>
          <w:highlight w:val="none"/>
          <w:lang w:eastAsia="zh-CN"/>
        </w:rPr>
        <w:t>。</w:t>
      </w:r>
    </w:p>
    <w:p>
      <w:pPr>
        <w:spacing w:line="580" w:lineRule="exact"/>
        <w:ind w:firstLine="560" w:firstLineChars="200"/>
        <w:rPr>
          <w:rFonts w:hint="eastAsia" w:ascii="仿宋_GB2312" w:eastAsia="仿宋_GB2312"/>
          <w:color w:val="auto"/>
          <w:sz w:val="28"/>
          <w:szCs w:val="28"/>
          <w:highlight w:val="none"/>
        </w:rPr>
      </w:pPr>
      <w:r>
        <w:rPr>
          <w:rFonts w:hint="eastAsia" w:ascii="黑体" w:eastAsia="黑体"/>
          <w:b/>
          <w:color w:val="auto"/>
          <w:sz w:val="28"/>
          <w:szCs w:val="28"/>
          <w:highlight w:val="none"/>
        </w:rPr>
        <w:t>五、政府性基金预算财政拨款支出决算情况说明</w:t>
      </w:r>
    </w:p>
    <w:p>
      <w:p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本年度无此项支出。</w:t>
      </w:r>
    </w:p>
    <w:p>
      <w:pPr>
        <w:spacing w:line="580" w:lineRule="exact"/>
        <w:ind w:firstLine="560" w:firstLineChars="200"/>
        <w:rPr>
          <w:rFonts w:hint="eastAsia" w:ascii="黑体" w:eastAsia="黑体"/>
          <w:b/>
          <w:color w:val="auto"/>
          <w:sz w:val="28"/>
          <w:szCs w:val="28"/>
          <w:highlight w:val="none"/>
        </w:rPr>
      </w:pPr>
      <w:r>
        <w:rPr>
          <w:rFonts w:hint="eastAsia" w:ascii="黑体" w:eastAsia="黑体"/>
          <w:b/>
          <w:color w:val="auto"/>
          <w:sz w:val="28"/>
          <w:szCs w:val="28"/>
          <w:highlight w:val="none"/>
        </w:rPr>
        <w:t>六、国有资本经营预算财</w:t>
      </w:r>
      <w:r>
        <w:rPr>
          <w:rFonts w:ascii="黑体" w:eastAsia="黑体"/>
          <w:b/>
          <w:color w:val="auto"/>
          <w:sz w:val="28"/>
          <w:szCs w:val="28"/>
          <w:highlight w:val="none"/>
        </w:rPr>
        <w:t>政拨款</w:t>
      </w:r>
      <w:r>
        <w:rPr>
          <w:rFonts w:hint="eastAsia" w:ascii="黑体" w:eastAsia="黑体"/>
          <w:b/>
          <w:color w:val="auto"/>
          <w:sz w:val="28"/>
          <w:szCs w:val="28"/>
          <w:highlight w:val="none"/>
        </w:rPr>
        <w:t>收支情况</w:t>
      </w:r>
    </w:p>
    <w:p>
      <w:p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本年度无此项支出。</w:t>
      </w:r>
    </w:p>
    <w:p>
      <w:pPr>
        <w:spacing w:line="580" w:lineRule="exact"/>
        <w:ind w:firstLine="548" w:firstLineChars="196"/>
        <w:rPr>
          <w:rFonts w:hint="eastAsia" w:ascii="黑体" w:eastAsia="黑体"/>
          <w:color w:val="auto"/>
          <w:sz w:val="28"/>
          <w:szCs w:val="28"/>
          <w:highlight w:val="none"/>
        </w:rPr>
      </w:pPr>
      <w:r>
        <w:rPr>
          <w:rFonts w:hint="eastAsia" w:ascii="黑体" w:eastAsia="黑体"/>
          <w:b/>
          <w:color w:val="auto"/>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年度使用一般公共预算财政拨款安排基本支出</w:t>
      </w:r>
      <w:r>
        <w:rPr>
          <w:rFonts w:ascii="仿宋_GB2312" w:eastAsia="仿宋_GB2312"/>
          <w:color w:val="auto"/>
          <w:sz w:val="28"/>
          <w:szCs w:val="28"/>
          <w:highlight w:val="none"/>
        </w:rPr>
        <w:t>3529.22</w:t>
      </w:r>
      <w:r>
        <w:rPr>
          <w:rFonts w:hint="eastAsia" w:ascii="仿宋_GB2312" w:eastAsia="仿宋_GB2312"/>
          <w:color w:val="auto"/>
          <w:sz w:val="28"/>
          <w:szCs w:val="28"/>
          <w:highlight w:val="none"/>
        </w:rPr>
        <w:t>万元，使用政府性基金财政拨款安排基本支出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万元，（1）工资福利支出包括基本工资</w:t>
      </w:r>
      <w:r>
        <w:rPr>
          <w:rFonts w:ascii="仿宋_GB2312" w:eastAsia="仿宋_GB2312"/>
          <w:color w:val="auto"/>
          <w:sz w:val="28"/>
          <w:szCs w:val="28"/>
          <w:highlight w:val="none"/>
        </w:rPr>
        <w:t>、津贴补贴、奖金、伙食补助费、绩效工资、</w:t>
      </w:r>
      <w:r>
        <w:rPr>
          <w:rFonts w:hint="eastAsia" w:ascii="仿宋_GB2312" w:eastAsia="仿宋_GB2312"/>
          <w:color w:val="auto"/>
          <w:sz w:val="28"/>
          <w:szCs w:val="28"/>
          <w:highlight w:val="none"/>
        </w:rPr>
        <w:t>其他</w:t>
      </w:r>
      <w:r>
        <w:rPr>
          <w:rFonts w:ascii="仿宋_GB2312" w:eastAsia="仿宋_GB2312"/>
          <w:color w:val="auto"/>
          <w:sz w:val="28"/>
          <w:szCs w:val="28"/>
          <w:highlight w:val="none"/>
        </w:rPr>
        <w:t>社会保障缴费、其他工资福利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；（2）商品和服务支出包括</w:t>
      </w:r>
      <w:r>
        <w:rPr>
          <w:rFonts w:ascii="仿宋_GB2312" w:eastAsia="仿宋_GB2312"/>
          <w:color w:val="auto"/>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；（3）对个人和家庭补助支出包括</w:t>
      </w:r>
      <w:r>
        <w:rPr>
          <w:rFonts w:ascii="仿宋_GB2312" w:eastAsia="仿宋_GB2312"/>
          <w:color w:val="auto"/>
          <w:sz w:val="28"/>
          <w:szCs w:val="28"/>
          <w:highlight w:val="none"/>
        </w:rPr>
        <w:t>离休费、退休费、抚恤金、生活补助、</w:t>
      </w:r>
      <w:r>
        <w:rPr>
          <w:rFonts w:hint="eastAsia" w:ascii="仿宋_GB2312" w:eastAsia="仿宋_GB2312"/>
          <w:color w:val="auto"/>
          <w:sz w:val="28"/>
          <w:szCs w:val="28"/>
          <w:highlight w:val="none"/>
        </w:rPr>
        <w:t>救济费</w:t>
      </w:r>
      <w:r>
        <w:rPr>
          <w:rFonts w:ascii="仿宋_GB2312" w:eastAsia="仿宋_GB2312"/>
          <w:color w:val="auto"/>
          <w:sz w:val="28"/>
          <w:szCs w:val="28"/>
          <w:highlight w:val="none"/>
        </w:rPr>
        <w:t>、医疗费</w:t>
      </w:r>
      <w:r>
        <w:rPr>
          <w:rFonts w:hint="eastAsia" w:ascii="仿宋_GB2312" w:eastAsia="仿宋_GB2312"/>
          <w:color w:val="auto"/>
          <w:sz w:val="28"/>
          <w:szCs w:val="28"/>
          <w:highlight w:val="none"/>
        </w:rPr>
        <w:t>补助</w:t>
      </w:r>
      <w:r>
        <w:rPr>
          <w:rFonts w:ascii="仿宋_GB2312" w:eastAsia="仿宋_GB2312"/>
          <w:color w:val="auto"/>
          <w:sz w:val="28"/>
          <w:szCs w:val="28"/>
          <w:highlight w:val="none"/>
        </w:rPr>
        <w:t>、助学金、奖励金</w:t>
      </w:r>
      <w:r>
        <w:rPr>
          <w:rFonts w:hint="eastAsia" w:ascii="仿宋_GB2312" w:eastAsia="仿宋_GB2312"/>
          <w:color w:val="auto"/>
          <w:sz w:val="28"/>
          <w:szCs w:val="28"/>
          <w:highlight w:val="none"/>
        </w:rPr>
        <w:t>、</w:t>
      </w:r>
      <w:r>
        <w:rPr>
          <w:rFonts w:ascii="仿宋_GB2312" w:eastAsia="仿宋_GB2312"/>
          <w:color w:val="auto"/>
          <w:sz w:val="28"/>
          <w:szCs w:val="28"/>
          <w:highlight w:val="none"/>
        </w:rPr>
        <w:t>其他对个人和家庭的补助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。（4）其他资本性支出包括</w:t>
      </w:r>
      <w:r>
        <w:rPr>
          <w:rFonts w:ascii="仿宋_GB2312" w:eastAsia="仿宋_GB2312"/>
          <w:color w:val="auto"/>
          <w:sz w:val="28"/>
          <w:szCs w:val="28"/>
          <w:highlight w:val="none"/>
        </w:rPr>
        <w:t>办公设备购置、专用设备购置</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w:t>
      </w:r>
    </w:p>
    <w:p>
      <w:pPr>
        <w:autoSpaceDE w:val="0"/>
        <w:autoSpaceDN w:val="0"/>
        <w:adjustRightInd w:val="0"/>
        <w:spacing w:line="580" w:lineRule="exact"/>
        <w:jc w:val="both"/>
        <w:rPr>
          <w:rFonts w:hint="eastAsia" w:ascii="宋体" w:hAnsi="宋体"/>
          <w:b/>
          <w:color w:val="auto"/>
          <w:spacing w:val="40"/>
          <w:sz w:val="32"/>
          <w:szCs w:val="32"/>
          <w:highlight w:val="none"/>
        </w:rPr>
      </w:pPr>
      <w:r>
        <w:rPr>
          <w:rFonts w:ascii="仿宋_GB2312" w:eastAsia="仿宋_GB2312"/>
          <w:b/>
          <w:color w:val="auto"/>
          <w:sz w:val="32"/>
          <w:szCs w:val="32"/>
          <w:highlight w:val="none"/>
        </w:rPr>
        <w:tab/>
      </w:r>
    </w:p>
    <w:p>
      <w:pPr>
        <w:tabs>
          <w:tab w:val="center" w:pos="6979"/>
        </w:tabs>
        <w:jc w:val="center"/>
        <w:rPr>
          <w:rFonts w:hint="eastAsia" w:ascii="宋体" w:hAnsi="宋体" w:cs="宋体"/>
          <w:b/>
          <w:color w:val="auto"/>
          <w:spacing w:val="40"/>
          <w:kern w:val="0"/>
          <w:sz w:val="32"/>
          <w:szCs w:val="32"/>
          <w:highlight w:val="none"/>
        </w:rPr>
      </w:pPr>
      <w:r>
        <w:rPr>
          <w:rFonts w:hint="eastAsia" w:ascii="宋体" w:hAnsi="宋体" w:cs="宋体"/>
          <w:b/>
          <w:bCs/>
          <w:color w:val="auto"/>
          <w:spacing w:val="40"/>
          <w:kern w:val="0"/>
          <w:sz w:val="32"/>
          <w:szCs w:val="32"/>
          <w:highlight w:val="none"/>
        </w:rPr>
        <w:t>第三部分</w:t>
      </w:r>
      <w:r>
        <w:rPr>
          <w:rFonts w:hint="eastAsia" w:ascii="宋体" w:hAnsi="宋体"/>
          <w:b/>
          <w:color w:val="auto"/>
          <w:spacing w:val="40"/>
          <w:sz w:val="32"/>
          <w:szCs w:val="32"/>
          <w:highlight w:val="none"/>
        </w:rPr>
        <w:t>202</w:t>
      </w:r>
      <w:r>
        <w:rPr>
          <w:rFonts w:hint="eastAsia" w:ascii="宋体" w:hAnsi="宋体"/>
          <w:b/>
          <w:color w:val="auto"/>
          <w:spacing w:val="40"/>
          <w:sz w:val="32"/>
          <w:szCs w:val="32"/>
          <w:highlight w:val="none"/>
          <w:lang w:val="en-US" w:eastAsia="zh-CN"/>
        </w:rPr>
        <w:t>4</w:t>
      </w:r>
      <w:r>
        <w:rPr>
          <w:rFonts w:hint="eastAsia" w:ascii="宋体" w:hAnsi="宋体"/>
          <w:b/>
          <w:color w:val="auto"/>
          <w:spacing w:val="40"/>
          <w:sz w:val="32"/>
          <w:szCs w:val="32"/>
          <w:highlight w:val="none"/>
        </w:rPr>
        <w:t>年度</w:t>
      </w:r>
      <w:r>
        <w:rPr>
          <w:rFonts w:hint="eastAsia" w:ascii="宋体" w:hAnsi="宋体" w:cs="宋体"/>
          <w:b/>
          <w:color w:val="auto"/>
          <w:spacing w:val="40"/>
          <w:kern w:val="0"/>
          <w:sz w:val="32"/>
          <w:szCs w:val="32"/>
          <w:highlight w:val="none"/>
        </w:rPr>
        <w:t>其他重要事项的情况说明</w:t>
      </w:r>
    </w:p>
    <w:p>
      <w:pPr>
        <w:spacing w:line="560" w:lineRule="exact"/>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一、“三公”经费财政拨款决算情况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不属于“三公”经费统计范围。</w:t>
      </w:r>
    </w:p>
    <w:p>
      <w:pPr>
        <w:tabs>
          <w:tab w:val="center" w:pos="6979"/>
        </w:tabs>
        <w:ind w:firstLine="554" w:firstLineChars="198"/>
        <w:rPr>
          <w:rFonts w:hint="eastAsia" w:ascii="黑体" w:eastAsia="黑体"/>
          <w:color w:val="auto"/>
          <w:sz w:val="28"/>
          <w:szCs w:val="28"/>
          <w:highlight w:val="none"/>
        </w:rPr>
      </w:pPr>
      <w:r>
        <w:rPr>
          <w:rFonts w:hint="eastAsia" w:ascii="黑体" w:eastAsia="黑体"/>
          <w:color w:val="auto"/>
          <w:sz w:val="28"/>
          <w:szCs w:val="28"/>
          <w:highlight w:val="none"/>
        </w:rPr>
        <w:t>二、机关运行经费支出情况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不属于机关运行经费统计范围。</w:t>
      </w:r>
    </w:p>
    <w:p>
      <w:pPr>
        <w:ind w:left="540"/>
        <w:rPr>
          <w:rFonts w:hint="eastAsia" w:ascii="黑体" w:eastAsia="黑体"/>
          <w:color w:val="auto"/>
          <w:sz w:val="28"/>
          <w:szCs w:val="28"/>
          <w:highlight w:val="none"/>
        </w:rPr>
      </w:pPr>
      <w:r>
        <w:rPr>
          <w:rFonts w:hint="eastAsia" w:ascii="黑体" w:eastAsia="黑体"/>
          <w:color w:val="auto"/>
          <w:sz w:val="28"/>
          <w:szCs w:val="28"/>
          <w:highlight w:val="none"/>
        </w:rPr>
        <w:t>三、政府采购支出情况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年度政府采购支出总额</w:t>
      </w:r>
      <w:r>
        <w:rPr>
          <w:rFonts w:ascii="仿宋_GB2312" w:eastAsia="仿宋_GB2312"/>
          <w:color w:val="auto"/>
          <w:sz w:val="28"/>
          <w:szCs w:val="28"/>
          <w:highlight w:val="none"/>
        </w:rPr>
        <w:t>153.78</w:t>
      </w:r>
      <w:r>
        <w:rPr>
          <w:rFonts w:hint="eastAsia" w:ascii="仿宋_GB2312" w:eastAsia="仿宋_GB2312"/>
          <w:color w:val="auto"/>
          <w:sz w:val="28"/>
          <w:szCs w:val="28"/>
          <w:highlight w:val="none"/>
        </w:rPr>
        <w:t>万元，其中：政府采购货物支出</w:t>
      </w:r>
      <w:r>
        <w:rPr>
          <w:rFonts w:ascii="仿宋_GB2312" w:eastAsia="仿宋_GB2312"/>
          <w:color w:val="auto"/>
          <w:sz w:val="28"/>
          <w:szCs w:val="28"/>
          <w:highlight w:val="none"/>
        </w:rPr>
        <w:t>0.75</w:t>
      </w:r>
      <w:r>
        <w:rPr>
          <w:rFonts w:hint="eastAsia" w:ascii="仿宋_GB2312" w:eastAsia="仿宋_GB2312"/>
          <w:color w:val="auto"/>
          <w:sz w:val="28"/>
          <w:szCs w:val="28"/>
          <w:highlight w:val="none"/>
        </w:rPr>
        <w:t>万元，政府采购工程支出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万元，政府采购服务支出</w:t>
      </w:r>
      <w:r>
        <w:rPr>
          <w:rFonts w:ascii="仿宋_GB2312" w:eastAsia="仿宋_GB2312"/>
          <w:color w:val="auto"/>
          <w:sz w:val="28"/>
          <w:szCs w:val="28"/>
          <w:highlight w:val="none"/>
        </w:rPr>
        <w:t>153.03</w:t>
      </w:r>
      <w:r>
        <w:rPr>
          <w:rFonts w:hint="eastAsia" w:ascii="仿宋_GB2312" w:eastAsia="仿宋_GB2312"/>
          <w:color w:val="auto"/>
          <w:sz w:val="28"/>
          <w:szCs w:val="28"/>
          <w:highlight w:val="none"/>
        </w:rPr>
        <w:t>万元。授予中小企业合同金额</w:t>
      </w:r>
      <w:r>
        <w:rPr>
          <w:rFonts w:ascii="仿宋_GB2312" w:eastAsia="仿宋_GB2312"/>
          <w:color w:val="auto"/>
          <w:sz w:val="28"/>
          <w:szCs w:val="28"/>
          <w:highlight w:val="none"/>
        </w:rPr>
        <w:t>153.78</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eastAsia="zh-CN"/>
        </w:rPr>
        <w:t>100</w:t>
      </w:r>
      <w:r>
        <w:rPr>
          <w:rFonts w:hint="eastAsia" w:ascii="仿宋_GB2312" w:eastAsia="仿宋_GB2312"/>
          <w:color w:val="auto"/>
          <w:sz w:val="28"/>
          <w:szCs w:val="28"/>
          <w:highlight w:val="none"/>
        </w:rPr>
        <w:t>%，其中：授予小微企业合同金额</w:t>
      </w:r>
      <w:r>
        <w:rPr>
          <w:rFonts w:ascii="仿宋_GB2312" w:eastAsia="仿宋_GB2312"/>
          <w:color w:val="auto"/>
          <w:sz w:val="28"/>
          <w:szCs w:val="28"/>
          <w:highlight w:val="none"/>
        </w:rPr>
        <w:t>153.78</w:t>
      </w:r>
      <w:r>
        <w:rPr>
          <w:rFonts w:hint="eastAsia" w:ascii="仿宋_GB2312" w:eastAsia="仿宋_GB2312"/>
          <w:color w:val="auto"/>
          <w:sz w:val="28"/>
          <w:szCs w:val="28"/>
          <w:highlight w:val="none"/>
        </w:rPr>
        <w:t>万元，占政府采购支出总额的</w:t>
      </w:r>
      <w:r>
        <w:rPr>
          <w:rFonts w:ascii="仿宋_GB2312" w:eastAsia="仿宋_GB2312"/>
          <w:color w:val="auto"/>
          <w:sz w:val="28"/>
          <w:szCs w:val="28"/>
          <w:highlight w:val="none"/>
        </w:rPr>
        <w:t>100</w:t>
      </w:r>
      <w:r>
        <w:rPr>
          <w:rFonts w:hint="eastAsia" w:ascii="仿宋_GB2312" w:eastAsia="仿宋_GB2312"/>
          <w:color w:val="auto"/>
          <w:sz w:val="28"/>
          <w:szCs w:val="28"/>
          <w:highlight w:val="none"/>
        </w:rPr>
        <w:t>%。</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四、国有资产占用情况</w:t>
      </w:r>
    </w:p>
    <w:p>
      <w:pPr>
        <w:ind w:firstLine="560" w:firstLineChars="200"/>
        <w:rPr>
          <w:rFonts w:ascii="仿宋_GB2312" w:eastAsia="仿宋_GB2312"/>
          <w:color w:val="auto"/>
          <w:sz w:val="32"/>
          <w:szCs w:val="32"/>
          <w:highlight w:val="none"/>
        </w:rPr>
      </w:pPr>
      <w:r>
        <w:rPr>
          <w:rFonts w:hint="eastAsia" w:ascii="仿宋_GB2312" w:eastAsia="仿宋_GB2312"/>
          <w:color w:val="auto"/>
          <w:sz w:val="28"/>
          <w:szCs w:val="28"/>
          <w:highlight w:val="none"/>
          <w:lang w:eastAsia="zh-CN"/>
        </w:rPr>
        <w:t>截至</w:t>
      </w:r>
      <w:r>
        <w:rPr>
          <w:rFonts w:hint="eastAsia" w:ascii="仿宋_GB2312" w:eastAsia="仿宋_GB2312"/>
          <w:color w:val="auto"/>
          <w:sz w:val="28"/>
          <w:szCs w:val="28"/>
          <w:highlight w:val="none"/>
          <w:lang w:val="en-US" w:eastAsia="zh-CN"/>
        </w:rPr>
        <w:t>12月31日，北京市交通基础设施建设项目管理中心</w:t>
      </w:r>
      <w:r>
        <w:rPr>
          <w:rFonts w:hint="eastAsia" w:ascii="仿宋_GB2312" w:eastAsia="仿宋_GB2312"/>
          <w:color w:val="auto"/>
          <w:sz w:val="28"/>
          <w:szCs w:val="28"/>
          <w:highlight w:val="none"/>
          <w:lang w:eastAsia="zh-CN"/>
        </w:rPr>
        <w:t>共有</w:t>
      </w:r>
      <w:r>
        <w:rPr>
          <w:rFonts w:hint="eastAsia" w:ascii="仿宋_GB2312" w:eastAsia="仿宋_GB2312"/>
          <w:color w:val="auto"/>
          <w:sz w:val="28"/>
          <w:szCs w:val="28"/>
          <w:highlight w:val="none"/>
        </w:rPr>
        <w:t>车辆</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台；单位价值100万元</w:t>
      </w:r>
      <w:r>
        <w:rPr>
          <w:rFonts w:hint="eastAsia" w:ascii="仿宋_GB2312" w:eastAsia="仿宋_GB2312"/>
          <w:color w:val="auto"/>
          <w:sz w:val="28"/>
          <w:szCs w:val="28"/>
          <w:highlight w:val="none"/>
          <w:lang w:eastAsia="zh-CN"/>
        </w:rPr>
        <w:t>（含）</w:t>
      </w:r>
      <w:r>
        <w:rPr>
          <w:rFonts w:hint="eastAsia" w:ascii="仿宋_GB2312" w:eastAsia="仿宋_GB2312"/>
          <w:color w:val="auto"/>
          <w:sz w:val="28"/>
          <w:szCs w:val="28"/>
          <w:highlight w:val="none"/>
        </w:rPr>
        <w:t>以上的设备</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台（套）。</w:t>
      </w:r>
    </w:p>
    <w:p>
      <w:pPr>
        <w:ind w:firstLine="537" w:firstLineChars="192"/>
        <w:rPr>
          <w:rFonts w:ascii="黑体" w:eastAsia="黑体"/>
          <w:color w:val="auto"/>
          <w:sz w:val="28"/>
          <w:szCs w:val="28"/>
          <w:highlight w:val="none"/>
        </w:rPr>
      </w:pPr>
      <w:r>
        <w:rPr>
          <w:rFonts w:hint="eastAsia" w:ascii="黑体" w:eastAsia="黑体"/>
          <w:color w:val="auto"/>
          <w:sz w:val="28"/>
          <w:szCs w:val="28"/>
          <w:highlight w:val="none"/>
        </w:rPr>
        <w:t>五</w:t>
      </w:r>
      <w:r>
        <w:rPr>
          <w:rFonts w:ascii="黑体" w:eastAsia="黑体"/>
          <w:color w:val="auto"/>
          <w:sz w:val="28"/>
          <w:szCs w:val="28"/>
          <w:highlight w:val="none"/>
        </w:rPr>
        <w:t>、政府购买服务</w:t>
      </w:r>
      <w:r>
        <w:rPr>
          <w:rFonts w:hint="eastAsia" w:ascii="黑体" w:eastAsia="黑体"/>
          <w:color w:val="auto"/>
          <w:sz w:val="28"/>
          <w:szCs w:val="28"/>
          <w:highlight w:val="none"/>
        </w:rPr>
        <w:t>支出</w:t>
      </w:r>
      <w:r>
        <w:rPr>
          <w:rFonts w:ascii="黑体" w:eastAsia="黑体"/>
          <w:color w:val="auto"/>
          <w:sz w:val="28"/>
          <w:szCs w:val="28"/>
          <w:highlight w:val="none"/>
        </w:rPr>
        <w:t>说明</w:t>
      </w:r>
    </w:p>
    <w:p>
      <w:pPr>
        <w:ind w:firstLine="537" w:firstLineChars="192"/>
        <w:rPr>
          <w:rFonts w:hint="eastAsia" w:ascii="仿宋_GB2312" w:hAnsi="Times New Roman" w:eastAsia="仿宋_GB2312" w:cs="Times New Roman"/>
          <w:color w:val="auto"/>
          <w:sz w:val="28"/>
          <w:szCs w:val="28"/>
          <w:highlight w:val="none"/>
        </w:rPr>
      </w:pPr>
      <w:r>
        <w:rPr>
          <w:rFonts w:hint="eastAsia" w:ascii="仿宋_GB2312" w:hAnsi="Times New Roman" w:eastAsia="仿宋_GB2312" w:cs="Times New Roman"/>
          <w:color w:val="auto"/>
          <w:sz w:val="28"/>
          <w:szCs w:val="28"/>
          <w:highlight w:val="none"/>
        </w:rPr>
        <w:t>不属于政府购买服务购买主体。</w:t>
      </w:r>
    </w:p>
    <w:p>
      <w:pPr>
        <w:ind w:firstLine="560" w:firstLineChars="200"/>
        <w:jc w:val="left"/>
        <w:rPr>
          <w:rFonts w:hint="eastAsia" w:ascii="仿宋_GB2312" w:eastAsia="仿宋_GB2312"/>
          <w:color w:val="auto"/>
          <w:sz w:val="32"/>
          <w:szCs w:val="32"/>
          <w:highlight w:val="none"/>
        </w:rPr>
      </w:pPr>
      <w:r>
        <w:rPr>
          <w:rFonts w:hint="eastAsia" w:ascii="黑体" w:eastAsia="黑体"/>
          <w:color w:val="auto"/>
          <w:sz w:val="28"/>
          <w:szCs w:val="28"/>
          <w:highlight w:val="none"/>
        </w:rPr>
        <w:t>六、</w:t>
      </w:r>
      <w:r>
        <w:rPr>
          <w:rFonts w:ascii="黑体" w:eastAsia="黑体"/>
          <w:color w:val="auto"/>
          <w:sz w:val="28"/>
          <w:szCs w:val="28"/>
          <w:highlight w:val="none"/>
        </w:rPr>
        <w:t>专业名词解释</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2.项目支出：指在基本支出之外为完成特定行政任务或事业发展目标所发生的支出。</w:t>
      </w:r>
    </w:p>
    <w:p>
      <w:pPr>
        <w:ind w:firstLine="560" w:firstLineChars="200"/>
        <w:rPr>
          <w:rFonts w:hint="eastAsia" w:ascii="仿宋_GB2312" w:hAnsi="宋体" w:eastAsia="仿宋_GB2312"/>
          <w:color w:val="auto"/>
          <w:sz w:val="28"/>
          <w:szCs w:val="28"/>
          <w:highlight w:val="none"/>
        </w:rPr>
      </w:pPr>
      <w:r>
        <w:rPr>
          <w:rFonts w:hint="eastAsia" w:ascii="仿宋_GB2312" w:eastAsia="仿宋_GB2312"/>
          <w:color w:val="auto"/>
          <w:sz w:val="28"/>
          <w:szCs w:val="28"/>
          <w:highlight w:val="none"/>
        </w:rPr>
        <w:t>3.“三公”经费：</w:t>
      </w:r>
      <w:r>
        <w:rPr>
          <w:rFonts w:hint="eastAsia" w:ascii="仿宋_GB2312" w:hAnsi="宋体" w:eastAsia="仿宋_GB2312"/>
          <w:color w:val="auto"/>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color w:val="auto"/>
          <w:sz w:val="28"/>
          <w:szCs w:val="28"/>
          <w:highlight w:val="none"/>
        </w:rPr>
      </w:pPr>
      <w:r>
        <w:rPr>
          <w:rFonts w:hint="eastAsia" w:ascii="仿宋_GB2312" w:eastAsia="仿宋_GB2312"/>
          <w:color w:val="auto"/>
          <w:sz w:val="28"/>
          <w:szCs w:val="28"/>
          <w:highlight w:val="none"/>
        </w:rPr>
        <w:t>4</w:t>
      </w:r>
      <w:r>
        <w:rPr>
          <w:rFonts w:ascii="仿宋_GB2312" w:eastAsia="仿宋_GB2312"/>
          <w:color w:val="auto"/>
          <w:sz w:val="28"/>
          <w:szCs w:val="28"/>
          <w:highlight w:val="none"/>
        </w:rPr>
        <w:t>.</w:t>
      </w:r>
      <w:r>
        <w:rPr>
          <w:rFonts w:hint="eastAsia" w:ascii="仿宋_GB2312" w:eastAsia="仿宋_GB2312"/>
          <w:color w:val="auto"/>
          <w:sz w:val="28"/>
          <w:szCs w:val="28"/>
          <w:highlight w:val="none"/>
        </w:rPr>
        <w:t>机关运行经费：</w:t>
      </w:r>
      <w:r>
        <w:rPr>
          <w:rFonts w:hint="eastAsia" w:ascii="仿宋_GB2312" w:hAnsi="宋体" w:eastAsia="仿宋_GB2312"/>
          <w:color w:val="auto"/>
          <w:sz w:val="28"/>
          <w:szCs w:val="28"/>
          <w:highlight w:val="none"/>
        </w:rPr>
        <w:t>指为</w:t>
      </w:r>
      <w:r>
        <w:rPr>
          <w:rFonts w:ascii="仿宋_GB2312" w:hAnsi="宋体" w:eastAsia="仿宋_GB2312"/>
          <w:color w:val="auto"/>
          <w:sz w:val="28"/>
          <w:szCs w:val="28"/>
          <w:highlight w:val="none"/>
        </w:rPr>
        <w:t>保障</w:t>
      </w:r>
      <w:r>
        <w:rPr>
          <w:rFonts w:hint="eastAsia" w:ascii="仿宋_GB2312" w:hAnsi="宋体" w:eastAsia="仿宋_GB2312"/>
          <w:color w:val="auto"/>
          <w:sz w:val="28"/>
          <w:szCs w:val="28"/>
          <w:highlight w:val="none"/>
        </w:rPr>
        <w:t>行政单位（含参照公务员法管理事业单位）运行用于</w:t>
      </w:r>
      <w:r>
        <w:rPr>
          <w:rFonts w:ascii="仿宋_GB2312" w:hAnsi="宋体" w:eastAsia="仿宋_GB2312"/>
          <w:color w:val="auto"/>
          <w:sz w:val="28"/>
          <w:szCs w:val="28"/>
          <w:highlight w:val="none"/>
        </w:rPr>
        <w:t>购买货物和服务的各项资金</w:t>
      </w:r>
      <w:r>
        <w:rPr>
          <w:rFonts w:hint="eastAsia" w:ascii="仿宋_GB2312" w:hAnsi="宋体" w:eastAsia="仿宋_GB2312"/>
          <w:color w:val="auto"/>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政府采购</w:t>
      </w:r>
      <w:r>
        <w:rPr>
          <w:rFonts w:ascii="仿宋_GB2312" w:eastAsia="仿宋_GB2312"/>
          <w:color w:val="auto"/>
          <w:sz w:val="28"/>
          <w:szCs w:val="28"/>
          <w:highlight w:val="none"/>
        </w:rPr>
        <w:t>：</w:t>
      </w:r>
      <w:r>
        <w:rPr>
          <w:rFonts w:hint="eastAsia" w:ascii="仿宋_GB2312" w:eastAsia="仿宋_GB2312"/>
          <w:color w:val="auto"/>
          <w:sz w:val="28"/>
          <w:szCs w:val="28"/>
          <w:highlight w:val="none"/>
        </w:rPr>
        <w:t>指</w:t>
      </w:r>
      <w:r>
        <w:rPr>
          <w:rFonts w:ascii="仿宋_GB2312" w:eastAsia="仿宋_GB2312"/>
          <w:color w:val="auto"/>
          <w:sz w:val="28"/>
          <w:szCs w:val="28"/>
          <w:highlight w:val="none"/>
        </w:rPr>
        <w:t>各级国家机关、事业单位和团体组织，使用</w:t>
      </w:r>
      <w:r>
        <w:rPr>
          <w:rFonts w:hint="eastAsia" w:ascii="仿宋_GB2312" w:eastAsia="仿宋_GB2312"/>
          <w:color w:val="auto"/>
          <w:sz w:val="28"/>
          <w:szCs w:val="28"/>
          <w:highlight w:val="none"/>
        </w:rPr>
        <w:t>财政性</w:t>
      </w:r>
      <w:r>
        <w:rPr>
          <w:rFonts w:ascii="仿宋_GB2312" w:eastAsia="仿宋_GB2312"/>
          <w:color w:val="auto"/>
          <w:sz w:val="28"/>
          <w:szCs w:val="28"/>
          <w:highlight w:val="none"/>
        </w:rPr>
        <w:t>资金采购依法制定的集中目录以内的或者采购限额标准以上的货物、工程和服务的行为</w:t>
      </w:r>
      <w:r>
        <w:rPr>
          <w:rFonts w:hint="eastAsia" w:ascii="仿宋_GB2312" w:eastAsia="仿宋_GB2312"/>
          <w:color w:val="auto"/>
          <w:sz w:val="28"/>
          <w:szCs w:val="28"/>
          <w:highlight w:val="none"/>
        </w:rPr>
        <w:t>，</w:t>
      </w:r>
      <w:r>
        <w:rPr>
          <w:rFonts w:ascii="仿宋_GB2312" w:eastAsia="仿宋_GB2312"/>
          <w:color w:val="auto"/>
          <w:sz w:val="28"/>
          <w:szCs w:val="28"/>
          <w:highlight w:val="none"/>
        </w:rPr>
        <w:t>是规范财政支出管理和强化预算约束的有效措施。</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w:t>
      </w:r>
      <w:r>
        <w:rPr>
          <w:rFonts w:ascii="仿宋_GB2312" w:eastAsia="仿宋_GB2312"/>
          <w:color w:val="auto"/>
          <w:sz w:val="28"/>
          <w:szCs w:val="28"/>
          <w:highlight w:val="none"/>
        </w:rPr>
        <w:t>.政府购买服务：</w:t>
      </w:r>
      <w:r>
        <w:rPr>
          <w:rFonts w:hint="eastAsia" w:ascii="仿宋_GB2312" w:eastAsia="仿宋_GB2312"/>
          <w:color w:val="auto"/>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numPr>
          <w:ilvl w:val="0"/>
          <w:numId w:val="0"/>
        </w:num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社会保障和就业支出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行政事业单位养老支出</w:t>
      </w:r>
      <w:r>
        <w:rPr>
          <w:rFonts w:hint="eastAsia" w:ascii="仿宋_GB2312" w:hAnsi="Times New Roman" w:eastAsia="仿宋_GB2312" w:cs="Times New Roman"/>
          <w:color w:val="auto"/>
          <w:sz w:val="28"/>
          <w:szCs w:val="28"/>
          <w:highlight w:val="none"/>
          <w:lang w:eastAsia="zh-CN"/>
        </w:rPr>
        <w:t>（款）事业单位离退休（项）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实行归口管理的事业单位开支的离退休经费</w:t>
      </w:r>
      <w:r>
        <w:rPr>
          <w:rFonts w:hint="eastAsia" w:ascii="仿宋_GB2312" w:eastAsia="仿宋_GB2312"/>
          <w:color w:val="auto"/>
          <w:sz w:val="28"/>
          <w:szCs w:val="28"/>
          <w:highlight w:val="none"/>
        </w:rPr>
        <w:t>。</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社会保障和就业支出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行政事业单位养老支出</w:t>
      </w:r>
      <w:r>
        <w:rPr>
          <w:rFonts w:hint="eastAsia" w:ascii="仿宋_GB2312" w:hAnsi="Times New Roman" w:eastAsia="仿宋_GB2312" w:cs="Times New Roman"/>
          <w:color w:val="auto"/>
          <w:sz w:val="28"/>
          <w:szCs w:val="28"/>
          <w:highlight w:val="none"/>
          <w:lang w:eastAsia="zh-CN"/>
        </w:rPr>
        <w:t>（款）</w:t>
      </w:r>
      <w:r>
        <w:rPr>
          <w:rFonts w:hint="eastAsia" w:ascii="仿宋_GB2312" w:hAnsi="Times New Roman" w:eastAsia="仿宋_GB2312" w:cs="Times New Roman"/>
          <w:color w:val="auto"/>
          <w:sz w:val="28"/>
          <w:szCs w:val="28"/>
          <w:highlight w:val="none"/>
          <w:lang w:val="en-US" w:eastAsia="zh-CN"/>
        </w:rPr>
        <w:t>机关事业单位基本养老保险缴费支出</w:t>
      </w:r>
      <w:r>
        <w:rPr>
          <w:rFonts w:hint="eastAsia" w:ascii="仿宋_GB2312" w:hAnsi="Times New Roman" w:eastAsia="仿宋_GB2312" w:cs="Times New Roman"/>
          <w:color w:val="auto"/>
          <w:sz w:val="28"/>
          <w:szCs w:val="28"/>
          <w:highlight w:val="none"/>
          <w:lang w:eastAsia="zh-CN"/>
        </w:rPr>
        <w:t>（项）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机关事业单位实施养老保险制度由单位缴纳的基本养老保险费支出</w:t>
      </w:r>
      <w:r>
        <w:rPr>
          <w:rFonts w:hint="eastAsia" w:ascii="仿宋_GB2312" w:eastAsia="仿宋_GB2312"/>
          <w:color w:val="auto"/>
          <w:sz w:val="28"/>
          <w:szCs w:val="28"/>
          <w:highlight w:val="none"/>
        </w:rPr>
        <w:t>。</w:t>
      </w:r>
    </w:p>
    <w:p>
      <w:pPr>
        <w:ind w:firstLine="560" w:firstLineChars="200"/>
        <w:rPr>
          <w:rFonts w:hint="eastAsia"/>
          <w:color w:val="auto"/>
          <w:highlight w:val="none"/>
        </w:rPr>
      </w:pP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.社会保障和就业支出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行政事业单位养老支出</w:t>
      </w:r>
      <w:r>
        <w:rPr>
          <w:rFonts w:hint="eastAsia" w:ascii="仿宋_GB2312" w:hAnsi="Times New Roman" w:eastAsia="仿宋_GB2312" w:cs="Times New Roman"/>
          <w:color w:val="auto"/>
          <w:sz w:val="28"/>
          <w:szCs w:val="28"/>
          <w:highlight w:val="none"/>
          <w:lang w:eastAsia="zh-CN"/>
        </w:rPr>
        <w:t>（款）</w:t>
      </w:r>
      <w:r>
        <w:rPr>
          <w:rFonts w:hint="eastAsia" w:ascii="仿宋_GB2312" w:hAnsi="Times New Roman" w:eastAsia="仿宋_GB2312" w:cs="Times New Roman"/>
          <w:color w:val="auto"/>
          <w:sz w:val="28"/>
          <w:szCs w:val="28"/>
          <w:highlight w:val="none"/>
          <w:lang w:val="en-US" w:eastAsia="zh-CN"/>
        </w:rPr>
        <w:t>机关事业单位职业年金缴费支出</w:t>
      </w:r>
      <w:r>
        <w:rPr>
          <w:rFonts w:hint="eastAsia" w:ascii="仿宋_GB2312" w:hAnsi="Times New Roman" w:eastAsia="仿宋_GB2312" w:cs="Times New Roman"/>
          <w:color w:val="auto"/>
          <w:sz w:val="28"/>
          <w:szCs w:val="28"/>
          <w:highlight w:val="none"/>
          <w:lang w:eastAsia="zh-CN"/>
        </w:rPr>
        <w:t>（项）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机关事业单位实施养老保险制度由单位实际缴纳的职业年金支出</w:t>
      </w:r>
      <w:r>
        <w:rPr>
          <w:rFonts w:hint="eastAsia" w:ascii="仿宋_GB2312" w:eastAsia="仿宋_GB2312"/>
          <w:color w:val="auto"/>
          <w:sz w:val="28"/>
          <w:szCs w:val="28"/>
          <w:highlight w:val="none"/>
        </w:rPr>
        <w:t>。</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10</w:t>
      </w:r>
      <w:r>
        <w:rPr>
          <w:rFonts w:hint="eastAsia" w:ascii="仿宋_GB2312" w:eastAsia="仿宋_GB2312"/>
          <w:color w:val="auto"/>
          <w:sz w:val="28"/>
          <w:szCs w:val="28"/>
          <w:highlight w:val="none"/>
        </w:rPr>
        <w:t>.卫生健康支出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行政事业单位医疗</w:t>
      </w:r>
      <w:r>
        <w:rPr>
          <w:rFonts w:hint="eastAsia" w:ascii="仿宋_GB2312" w:hAnsi="Times New Roman" w:eastAsia="仿宋_GB2312" w:cs="Times New Roman"/>
          <w:color w:val="auto"/>
          <w:sz w:val="28"/>
          <w:szCs w:val="28"/>
          <w:highlight w:val="none"/>
          <w:lang w:eastAsia="zh-CN"/>
        </w:rPr>
        <w:t>（款）</w:t>
      </w:r>
      <w:r>
        <w:rPr>
          <w:rFonts w:hint="eastAsia" w:ascii="仿宋_GB2312" w:hAnsi="Times New Roman" w:eastAsia="仿宋_GB2312" w:cs="Times New Roman"/>
          <w:color w:val="auto"/>
          <w:sz w:val="28"/>
          <w:szCs w:val="28"/>
          <w:highlight w:val="none"/>
          <w:lang w:val="en-US" w:eastAsia="zh-CN"/>
        </w:rPr>
        <w:t>事业单位医疗</w:t>
      </w:r>
      <w:r>
        <w:rPr>
          <w:rFonts w:hint="eastAsia" w:ascii="仿宋_GB2312" w:hAnsi="Times New Roman" w:eastAsia="仿宋_GB2312" w:cs="Times New Roman"/>
          <w:color w:val="auto"/>
          <w:sz w:val="28"/>
          <w:szCs w:val="28"/>
          <w:highlight w:val="none"/>
          <w:lang w:eastAsia="zh-CN"/>
        </w:rPr>
        <w:t>（项）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财政部门安排的事业单位基本医疗保险缴费经费，未参加医疗保险的事业单位的公费医疗经费，按国家规定享受离休人员待遇的医疗经费</w:t>
      </w:r>
      <w:r>
        <w:rPr>
          <w:rFonts w:hint="eastAsia" w:ascii="仿宋_GB2312" w:eastAsia="仿宋_GB2312"/>
          <w:color w:val="auto"/>
          <w:sz w:val="28"/>
          <w:szCs w:val="28"/>
          <w:highlight w:val="none"/>
        </w:rPr>
        <w:t>。</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rPr>
        <w:t>.交通运输支出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公路水路运输</w:t>
      </w:r>
      <w:r>
        <w:rPr>
          <w:rFonts w:hint="eastAsia" w:ascii="仿宋_GB2312" w:hAnsi="Times New Roman" w:eastAsia="仿宋_GB2312" w:cs="Times New Roman"/>
          <w:color w:val="auto"/>
          <w:sz w:val="28"/>
          <w:szCs w:val="28"/>
          <w:highlight w:val="none"/>
          <w:lang w:eastAsia="zh-CN"/>
        </w:rPr>
        <w:t>（款）</w:t>
      </w:r>
      <w:r>
        <w:rPr>
          <w:rFonts w:hint="eastAsia" w:ascii="仿宋_GB2312" w:hAnsi="Times New Roman" w:eastAsia="仿宋_GB2312" w:cs="Times New Roman"/>
          <w:color w:val="auto"/>
          <w:sz w:val="28"/>
          <w:szCs w:val="28"/>
          <w:highlight w:val="none"/>
          <w:lang w:val="en-US" w:eastAsia="zh-CN"/>
        </w:rPr>
        <w:t>公路养护</w:t>
      </w:r>
      <w:r>
        <w:rPr>
          <w:rFonts w:hint="eastAsia" w:ascii="仿宋_GB2312" w:hAnsi="Times New Roman" w:eastAsia="仿宋_GB2312" w:cs="Times New Roman"/>
          <w:color w:val="auto"/>
          <w:sz w:val="28"/>
          <w:szCs w:val="28"/>
          <w:highlight w:val="none"/>
          <w:lang w:eastAsia="zh-CN"/>
        </w:rPr>
        <w:t>（项）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公路养护支出</w:t>
      </w:r>
      <w:r>
        <w:rPr>
          <w:rFonts w:hint="eastAsia" w:ascii="仿宋_GB2312" w:eastAsia="仿宋_GB2312"/>
          <w:color w:val="auto"/>
          <w:sz w:val="28"/>
          <w:szCs w:val="28"/>
          <w:highlight w:val="none"/>
        </w:rPr>
        <w:t>。</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.交通运输支出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公路水路运输</w:t>
      </w:r>
      <w:r>
        <w:rPr>
          <w:rFonts w:hint="eastAsia" w:ascii="仿宋_GB2312" w:hAnsi="Times New Roman" w:eastAsia="仿宋_GB2312" w:cs="Times New Roman"/>
          <w:color w:val="auto"/>
          <w:sz w:val="28"/>
          <w:szCs w:val="28"/>
          <w:highlight w:val="none"/>
          <w:lang w:eastAsia="zh-CN"/>
        </w:rPr>
        <w:t>（款）</w:t>
      </w:r>
      <w:r>
        <w:rPr>
          <w:rFonts w:hint="eastAsia" w:ascii="仿宋_GB2312" w:hAnsi="Times New Roman" w:eastAsia="仿宋_GB2312" w:cs="Times New Roman"/>
          <w:color w:val="auto"/>
          <w:sz w:val="28"/>
          <w:szCs w:val="28"/>
          <w:highlight w:val="none"/>
          <w:lang w:val="en-US" w:eastAsia="zh-CN"/>
        </w:rPr>
        <w:t>公路运输管理</w:t>
      </w:r>
      <w:r>
        <w:rPr>
          <w:rFonts w:hint="eastAsia" w:ascii="仿宋_GB2312" w:hAnsi="Times New Roman" w:eastAsia="仿宋_GB2312" w:cs="Times New Roman"/>
          <w:color w:val="auto"/>
          <w:sz w:val="28"/>
          <w:szCs w:val="28"/>
          <w:highlight w:val="none"/>
          <w:lang w:eastAsia="zh-CN"/>
        </w:rPr>
        <w:t>（项）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公路运输管理支出和公路路政管理</w:t>
      </w:r>
      <w:r>
        <w:rPr>
          <w:rFonts w:hint="eastAsia" w:ascii="仿宋_GB2312" w:eastAsia="仿宋_GB2312"/>
          <w:color w:val="auto"/>
          <w:sz w:val="28"/>
          <w:szCs w:val="28"/>
          <w:highlight w:val="none"/>
        </w:rPr>
        <w:t>支出。</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.交通运输支出</w:t>
      </w:r>
      <w:r>
        <w:rPr>
          <w:rFonts w:hint="eastAsia" w:ascii="仿宋_GB2312" w:hAnsi="Times New Roman" w:eastAsia="仿宋_GB2312" w:cs="Times New Roman"/>
          <w:color w:val="auto"/>
          <w:sz w:val="28"/>
          <w:szCs w:val="28"/>
          <w:highlight w:val="none"/>
          <w:lang w:eastAsia="zh-CN"/>
        </w:rPr>
        <w:t>（类）</w:t>
      </w:r>
      <w:r>
        <w:rPr>
          <w:rFonts w:hint="eastAsia" w:ascii="仿宋_GB2312" w:hAnsi="Times New Roman" w:eastAsia="仿宋_GB2312" w:cs="Times New Roman"/>
          <w:color w:val="auto"/>
          <w:sz w:val="28"/>
          <w:szCs w:val="28"/>
          <w:highlight w:val="none"/>
        </w:rPr>
        <w:t>公路水路运输</w:t>
      </w:r>
      <w:r>
        <w:rPr>
          <w:rFonts w:hint="eastAsia" w:ascii="仿宋_GB2312" w:hAnsi="Times New Roman" w:eastAsia="仿宋_GB2312" w:cs="Times New Roman"/>
          <w:color w:val="auto"/>
          <w:sz w:val="28"/>
          <w:szCs w:val="28"/>
          <w:highlight w:val="none"/>
          <w:lang w:eastAsia="zh-CN"/>
        </w:rPr>
        <w:t>（款）</w:t>
      </w:r>
      <w:r>
        <w:rPr>
          <w:rFonts w:hint="eastAsia" w:ascii="仿宋_GB2312" w:hAnsi="Times New Roman" w:eastAsia="仿宋_GB2312" w:cs="Times New Roman"/>
          <w:color w:val="auto"/>
          <w:sz w:val="28"/>
          <w:szCs w:val="28"/>
          <w:highlight w:val="none"/>
          <w:lang w:val="en-US" w:eastAsia="zh-CN"/>
        </w:rPr>
        <w:t>其他公路水路运输支出</w:t>
      </w:r>
      <w:r>
        <w:rPr>
          <w:rFonts w:hint="eastAsia" w:ascii="仿宋_GB2312" w:hAnsi="Times New Roman" w:eastAsia="仿宋_GB2312" w:cs="Times New Roman"/>
          <w:color w:val="auto"/>
          <w:sz w:val="28"/>
          <w:szCs w:val="28"/>
          <w:highlight w:val="none"/>
          <w:lang w:eastAsia="zh-CN"/>
        </w:rPr>
        <w:t>（项）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eastAsia="zh-CN"/>
        </w:rPr>
        <w:t>除上述项目以外其他用于公路水路运输方面的支出</w:t>
      </w:r>
      <w:r>
        <w:rPr>
          <w:rFonts w:hint="eastAsia" w:ascii="仿宋_GB2312" w:eastAsia="仿宋_GB2312"/>
          <w:color w:val="auto"/>
          <w:sz w:val="28"/>
          <w:szCs w:val="28"/>
          <w:highlight w:val="none"/>
        </w:rPr>
        <w:t>。</w:t>
      </w:r>
    </w:p>
    <w:p>
      <w:pPr>
        <w:jc w:val="both"/>
        <w:rPr>
          <w:rFonts w:hint="eastAsia" w:ascii="黑体" w:eastAsia="黑体"/>
          <w:color w:val="auto"/>
          <w:sz w:val="32"/>
          <w:szCs w:val="32"/>
          <w:highlight w:val="none"/>
        </w:rPr>
      </w:pPr>
    </w:p>
    <w:p>
      <w:pPr>
        <w:tabs>
          <w:tab w:val="center" w:pos="6979"/>
        </w:tabs>
        <w:spacing w:line="380" w:lineRule="exact"/>
        <w:jc w:val="center"/>
        <w:rPr>
          <w:rFonts w:ascii="宋体" w:hAnsi="宋体" w:cs="宋体"/>
          <w:b/>
          <w:bCs/>
          <w:color w:val="auto"/>
          <w:kern w:val="0"/>
          <w:sz w:val="28"/>
          <w:szCs w:val="28"/>
          <w:highlight w:val="none"/>
        </w:rPr>
      </w:pPr>
    </w:p>
    <w:p>
      <w:pPr>
        <w:tabs>
          <w:tab w:val="center" w:pos="6979"/>
        </w:tabs>
        <w:spacing w:line="380" w:lineRule="exact"/>
        <w:jc w:val="center"/>
        <w:rPr>
          <w:rFonts w:ascii="宋体" w:hAnsi="宋体" w:cs="宋体"/>
          <w:b/>
          <w:bCs/>
          <w:color w:val="auto"/>
          <w:kern w:val="0"/>
          <w:sz w:val="28"/>
          <w:szCs w:val="28"/>
          <w:highlight w:val="none"/>
        </w:rPr>
      </w:pPr>
    </w:p>
    <w:p>
      <w:pPr>
        <w:jc w:val="both"/>
        <w:rPr>
          <w:rFonts w:hint="eastAsia" w:ascii="黑体" w:eastAsia="黑体"/>
          <w:color w:val="auto"/>
          <w:sz w:val="32"/>
          <w:szCs w:val="32"/>
          <w:highlight w:val="none"/>
        </w:rPr>
      </w:pPr>
    </w:p>
    <w:p>
      <w:pPr>
        <w:pStyle w:val="2"/>
        <w:rPr>
          <w:rFonts w:hint="eastAsia"/>
          <w:color w:val="auto"/>
          <w:highlight w:val="none"/>
        </w:rPr>
      </w:pPr>
    </w:p>
    <w:p>
      <w:pPr>
        <w:ind w:firstLine="640" w:firstLineChars="200"/>
        <w:jc w:val="center"/>
        <w:rPr>
          <w:rFonts w:hint="eastAsia" w:ascii="黑体" w:eastAsia="黑体"/>
          <w:color w:val="auto"/>
          <w:sz w:val="32"/>
          <w:szCs w:val="32"/>
          <w:highlight w:val="none"/>
        </w:rPr>
      </w:pPr>
    </w:p>
    <w:p>
      <w:pPr>
        <w:ind w:firstLine="640" w:firstLineChars="200"/>
        <w:jc w:val="center"/>
        <w:rPr>
          <w:rFonts w:hint="eastAsia" w:ascii="黑体" w:eastAsia="黑体"/>
          <w:color w:val="auto"/>
          <w:sz w:val="32"/>
          <w:szCs w:val="32"/>
          <w:highlight w:val="none"/>
        </w:rPr>
      </w:pPr>
      <w:r>
        <w:rPr>
          <w:rFonts w:hint="eastAsia" w:ascii="黑体" w:eastAsia="黑体"/>
          <w:color w:val="auto"/>
          <w:sz w:val="32"/>
          <w:szCs w:val="32"/>
          <w:highlight w:val="none"/>
        </w:rPr>
        <w:t>第四部分  202</w:t>
      </w:r>
      <w:r>
        <w:rPr>
          <w:rFonts w:hint="eastAsia" w:ascii="黑体" w:eastAsia="黑体"/>
          <w:color w:val="auto"/>
          <w:sz w:val="32"/>
          <w:szCs w:val="32"/>
          <w:highlight w:val="none"/>
          <w:lang w:val="en-US" w:eastAsia="zh-CN"/>
        </w:rPr>
        <w:t>4</w:t>
      </w:r>
      <w:r>
        <w:rPr>
          <w:rFonts w:hint="eastAsia" w:ascii="黑体" w:eastAsia="黑体"/>
          <w:color w:val="auto"/>
          <w:sz w:val="32"/>
          <w:szCs w:val="32"/>
          <w:highlight w:val="none"/>
        </w:rPr>
        <w:t>年度部门绩效评价情况</w:t>
      </w:r>
    </w:p>
    <w:p>
      <w:pPr>
        <w:ind w:firstLine="560" w:firstLineChars="200"/>
        <w:rPr>
          <w:rFonts w:hint="eastAsia" w:ascii="黑体" w:eastAsia="黑体"/>
          <w:color w:val="auto"/>
          <w:sz w:val="28"/>
          <w:szCs w:val="28"/>
          <w:highlight w:val="none"/>
        </w:rPr>
      </w:pPr>
    </w:p>
    <w:p>
      <w:pPr>
        <w:tabs>
          <w:tab w:val="center" w:pos="6979"/>
        </w:tabs>
        <w:spacing w:line="360" w:lineRule="auto"/>
        <w:ind w:firstLine="560" w:firstLineChars="200"/>
        <w:rPr>
          <w:rFonts w:hint="eastAsia" w:ascii="仿宋_GB2312" w:hAnsi="Cambria" w:eastAsia="仿宋_GB2312" w:cs="Times New Roman"/>
          <w:b w:val="0"/>
          <w:bCs w:val="0"/>
          <w:color w:val="auto"/>
          <w:kern w:val="0"/>
          <w:sz w:val="28"/>
          <w:szCs w:val="28"/>
          <w:highlight w:val="none"/>
          <w:lang w:val="en-US" w:eastAsia="zh-CN" w:bidi="ar-SA"/>
        </w:rPr>
      </w:pPr>
      <w:r>
        <w:rPr>
          <w:rFonts w:hint="eastAsia" w:ascii="仿宋_GB2312" w:hAnsi="Cambria" w:eastAsia="仿宋_GB2312" w:cs="Times New Roman"/>
          <w:b w:val="0"/>
          <w:bCs w:val="0"/>
          <w:color w:val="auto"/>
          <w:kern w:val="0"/>
          <w:sz w:val="28"/>
          <w:szCs w:val="28"/>
          <w:highlight w:val="none"/>
          <w:lang w:val="en-US" w:eastAsia="zh-CN" w:bidi="ar-SA"/>
        </w:rPr>
        <w:t>项目支出绩效自评表详见附件。</w:t>
      </w:r>
    </w:p>
    <w:p>
      <w:pPr>
        <w:spacing w:line="480" w:lineRule="exact"/>
        <w:rPr>
          <w:rFonts w:hint="eastAsia" w:ascii="仿宋_GB2312" w:hAnsi="仿宋_GB2312" w:eastAsia="仿宋_GB2312" w:cs="仿宋_GB2312"/>
          <w:color w:val="auto"/>
          <w:sz w:val="32"/>
          <w:szCs w:val="32"/>
          <w:highlight w:val="none"/>
        </w:rPr>
      </w:pPr>
    </w:p>
    <w:p>
      <w:pPr>
        <w:spacing w:line="480" w:lineRule="exact"/>
        <w:rPr>
          <w:color w:val="auto"/>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0FBD23E6"/>
    <w:rsid w:val="1059665E"/>
    <w:rsid w:val="10AC13BA"/>
    <w:rsid w:val="145A6C1B"/>
    <w:rsid w:val="14B73493"/>
    <w:rsid w:val="15B748EC"/>
    <w:rsid w:val="167A2FF9"/>
    <w:rsid w:val="18581C69"/>
    <w:rsid w:val="1AEC0734"/>
    <w:rsid w:val="1B7D7CFA"/>
    <w:rsid w:val="1DEF20B0"/>
    <w:rsid w:val="1FFFD7D7"/>
    <w:rsid w:val="214243FA"/>
    <w:rsid w:val="21AD613C"/>
    <w:rsid w:val="22467189"/>
    <w:rsid w:val="257A14F5"/>
    <w:rsid w:val="26BBC98B"/>
    <w:rsid w:val="27196C26"/>
    <w:rsid w:val="29EF086F"/>
    <w:rsid w:val="2EFFE297"/>
    <w:rsid w:val="301437CA"/>
    <w:rsid w:val="349D1F0A"/>
    <w:rsid w:val="34DD0473"/>
    <w:rsid w:val="3BDD0293"/>
    <w:rsid w:val="3BF872A7"/>
    <w:rsid w:val="3C684897"/>
    <w:rsid w:val="3FA9C835"/>
    <w:rsid w:val="3FCD8C38"/>
    <w:rsid w:val="3FFF1952"/>
    <w:rsid w:val="433E495C"/>
    <w:rsid w:val="489F2FD7"/>
    <w:rsid w:val="4AC27CB3"/>
    <w:rsid w:val="4BF72BEF"/>
    <w:rsid w:val="4DF1C4B1"/>
    <w:rsid w:val="4FA90297"/>
    <w:rsid w:val="4FC41A43"/>
    <w:rsid w:val="51DB3C59"/>
    <w:rsid w:val="54363A85"/>
    <w:rsid w:val="550C0952"/>
    <w:rsid w:val="55762E42"/>
    <w:rsid w:val="56C70CC4"/>
    <w:rsid w:val="57A7B272"/>
    <w:rsid w:val="57E989CD"/>
    <w:rsid w:val="58470068"/>
    <w:rsid w:val="58747CAC"/>
    <w:rsid w:val="587A0210"/>
    <w:rsid w:val="5A1720F9"/>
    <w:rsid w:val="5B9C37C2"/>
    <w:rsid w:val="5BA7C654"/>
    <w:rsid w:val="5EDFED47"/>
    <w:rsid w:val="60A54109"/>
    <w:rsid w:val="61D01CDF"/>
    <w:rsid w:val="64C0607C"/>
    <w:rsid w:val="65756C86"/>
    <w:rsid w:val="674D385B"/>
    <w:rsid w:val="67565896"/>
    <w:rsid w:val="676F09E1"/>
    <w:rsid w:val="6AF7C706"/>
    <w:rsid w:val="6D1E0919"/>
    <w:rsid w:val="6DDE10D6"/>
    <w:rsid w:val="6E3E2B80"/>
    <w:rsid w:val="6EB5C642"/>
    <w:rsid w:val="6EE7E93C"/>
    <w:rsid w:val="6F135123"/>
    <w:rsid w:val="6F96710C"/>
    <w:rsid w:val="6FF5A092"/>
    <w:rsid w:val="7357290B"/>
    <w:rsid w:val="75FD2B9D"/>
    <w:rsid w:val="76E30CE7"/>
    <w:rsid w:val="76FBDD5C"/>
    <w:rsid w:val="776845CB"/>
    <w:rsid w:val="77FB0758"/>
    <w:rsid w:val="77FE1F02"/>
    <w:rsid w:val="798524E4"/>
    <w:rsid w:val="798E8D4F"/>
    <w:rsid w:val="7A7F1C49"/>
    <w:rsid w:val="7A9F728E"/>
    <w:rsid w:val="7AFE3360"/>
    <w:rsid w:val="7B5B7AE6"/>
    <w:rsid w:val="7B7B6628"/>
    <w:rsid w:val="7BA7071E"/>
    <w:rsid w:val="7BDF6DA8"/>
    <w:rsid w:val="7C7EDC1A"/>
    <w:rsid w:val="7CCED98D"/>
    <w:rsid w:val="7D08410F"/>
    <w:rsid w:val="7DB96DED"/>
    <w:rsid w:val="7DD3AD81"/>
    <w:rsid w:val="7DDE83DB"/>
    <w:rsid w:val="7DFD0AD6"/>
    <w:rsid w:val="7DFF0807"/>
    <w:rsid w:val="7EDFD920"/>
    <w:rsid w:val="7F2DF40C"/>
    <w:rsid w:val="7F6D4F31"/>
    <w:rsid w:val="7F7FE70F"/>
    <w:rsid w:val="7FB6FEF7"/>
    <w:rsid w:val="7FDFED1D"/>
    <w:rsid w:val="7FEF9974"/>
    <w:rsid w:val="7FEFB67C"/>
    <w:rsid w:val="7FF69D7C"/>
    <w:rsid w:val="7FFF772F"/>
    <w:rsid w:val="95F35EF6"/>
    <w:rsid w:val="9BFFD860"/>
    <w:rsid w:val="AB398B02"/>
    <w:rsid w:val="AC5F73DE"/>
    <w:rsid w:val="B15792D2"/>
    <w:rsid w:val="B5DDD2C8"/>
    <w:rsid w:val="B76F274E"/>
    <w:rsid w:val="B93B2B89"/>
    <w:rsid w:val="B9DFABD9"/>
    <w:rsid w:val="BABD2312"/>
    <w:rsid w:val="BAF5A254"/>
    <w:rsid w:val="BC0D83FC"/>
    <w:rsid w:val="BE7D2CF3"/>
    <w:rsid w:val="BF3BDEFB"/>
    <w:rsid w:val="BFBFE567"/>
    <w:rsid w:val="C5F727BC"/>
    <w:rsid w:val="C75F6086"/>
    <w:rsid w:val="C7F7ED2D"/>
    <w:rsid w:val="CDFF87F3"/>
    <w:rsid w:val="CFAF854E"/>
    <w:rsid w:val="D66770A1"/>
    <w:rsid w:val="D8D7928E"/>
    <w:rsid w:val="D8FE3136"/>
    <w:rsid w:val="D9EBAA35"/>
    <w:rsid w:val="D9FFD840"/>
    <w:rsid w:val="DBD90A06"/>
    <w:rsid w:val="DDDE60B7"/>
    <w:rsid w:val="DE9F6A22"/>
    <w:rsid w:val="DF4FCE6A"/>
    <w:rsid w:val="DFFCE87D"/>
    <w:rsid w:val="DFFFB03E"/>
    <w:rsid w:val="E3FCDEF1"/>
    <w:rsid w:val="E4FED278"/>
    <w:rsid w:val="E79E3A78"/>
    <w:rsid w:val="EBBFABBD"/>
    <w:rsid w:val="ED5FEE51"/>
    <w:rsid w:val="ED7F76EB"/>
    <w:rsid w:val="EDAA365C"/>
    <w:rsid w:val="EDADFC12"/>
    <w:rsid w:val="EDEB0A9B"/>
    <w:rsid w:val="EDEF4755"/>
    <w:rsid w:val="EECDAD1C"/>
    <w:rsid w:val="EEFA8794"/>
    <w:rsid w:val="F2FD229B"/>
    <w:rsid w:val="F30EA55C"/>
    <w:rsid w:val="F6574EFC"/>
    <w:rsid w:val="F6DBD335"/>
    <w:rsid w:val="F6FF4B51"/>
    <w:rsid w:val="F78B93D6"/>
    <w:rsid w:val="F7DD4D06"/>
    <w:rsid w:val="F7F709E9"/>
    <w:rsid w:val="F7FF3690"/>
    <w:rsid w:val="F97DBCE5"/>
    <w:rsid w:val="F9BD3900"/>
    <w:rsid w:val="F9FF7D50"/>
    <w:rsid w:val="FB79C975"/>
    <w:rsid w:val="FB9F57CD"/>
    <w:rsid w:val="FBFD0F96"/>
    <w:rsid w:val="FC8B9876"/>
    <w:rsid w:val="FCB7B841"/>
    <w:rsid w:val="FDEFB8D1"/>
    <w:rsid w:val="FDFDCAC6"/>
    <w:rsid w:val="FDFF1158"/>
    <w:rsid w:val="FEAE098F"/>
    <w:rsid w:val="FECB4C1D"/>
    <w:rsid w:val="FEDFF218"/>
    <w:rsid w:val="FEDFFFFF"/>
    <w:rsid w:val="FEF11E65"/>
    <w:rsid w:val="FEF32743"/>
    <w:rsid w:val="FF6B3F2B"/>
    <w:rsid w:val="FFBFF876"/>
    <w:rsid w:val="FFF76C16"/>
    <w:rsid w:val="FFF7D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5"/>
              <c:layout>
                <c:manualLayout>
                  <c:x val="0.118252976386391"/>
                  <c:y val="-0.0048908336801131"/>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9924.65</c:v>
                </c:pt>
                <c:pt idx="1">
                  <c:v>0</c:v>
                </c:pt>
                <c:pt idx="2">
                  <c:v>0</c:v>
                </c:pt>
                <c:pt idx="3">
                  <c:v>0</c:v>
                </c:pt>
                <c:pt idx="4">
                  <c:v>0</c:v>
                </c:pt>
                <c:pt idx="5">
                  <c:v>45</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0"/>
              <c:layout>
                <c:manualLayout>
                  <c:x val="0.0349176757580583"/>
                  <c:y val="0.0048380337909001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96210991580832"/>
                  <c:y val="0.00750197025080304"/>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3529.22</c:v>
                </c:pt>
                <c:pt idx="1">
                  <c:v>42009.27</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20</TotalTime>
  <ScaleCrop>false</ScaleCrop>
  <LinksUpToDate>false</LinksUpToDate>
  <CharactersWithSpaces>5779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bmct-aktd</cp:lastModifiedBy>
  <cp:lastPrinted>2020-08-09T19:39:00Z</cp:lastPrinted>
  <dcterms:modified xsi:type="dcterms:W3CDTF">2025-08-26T10:02:56Z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