
<file path=[Content_Types].xml><?xml version="1.0" encoding="utf-8"?>
<Types xmlns="http://schemas.openxmlformats.org/package/2006/content-types">
  <Default Extension="xml" ContentType="application/xml"/>
  <Default Extension="xlsx" ContentType="application/vnd.openxmlformats-officedocument.spreadsheetml.sheet"/>
  <Default Extension="bin" ContentType="application/vnd.openxmlformats-officedocument.oleObjec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2024年度部门决算</w:t>
      </w:r>
    </w:p>
    <w:p>
      <w:pPr>
        <w:jc w:val="center"/>
        <w:rPr>
          <w:rFonts w:ascii="黑体" w:eastAsia="黑体"/>
          <w:sz w:val="52"/>
          <w:szCs w:val="52"/>
        </w:rPr>
      </w:pPr>
    </w:p>
    <w:p>
      <w:pPr>
        <w:jc w:val="center"/>
        <w:rPr>
          <w:rFonts w:ascii="黑体" w:eastAsia="黑体"/>
          <w:sz w:val="52"/>
          <w:szCs w:val="52"/>
        </w:rPr>
      </w:pPr>
    </w:p>
    <w:p>
      <w:pPr>
        <w:pStyle w:val="2"/>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bookmarkStart w:id="0" w:name="_GoBack"/>
      <w:bookmarkEnd w:id="0"/>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pStyle w:val="3"/>
        <w:ind w:firstLine="560"/>
        <w:rPr>
          <w:rFonts w:ascii="仿宋_GB2312" w:eastAsia="仿宋_GB2312"/>
          <w:kern w:val="0"/>
          <w:sz w:val="28"/>
          <w:szCs w:val="28"/>
        </w:rPr>
      </w:pPr>
      <w:r>
        <w:rPr>
          <w:rFonts w:hint="eastAsia" w:ascii="仿宋_GB2312" w:eastAsia="仿宋_GB2312"/>
          <w:kern w:val="0"/>
          <w:sz w:val="28"/>
          <w:szCs w:val="28"/>
        </w:rPr>
        <w:t>根据《中共北京市委机构编制委员会办公室关于核定市交通委派出机构主要职责和机构编制事项的批复》（京编办复〔2022〕169号），北京市交通委员会石景山运输管理机构设置为办公室（财务科、政工人事科）、法制科（综合管理科）、运政管理科、安全监管与应急科、公共交通管理科（道路客运管理科、水运（海事）管理科）、出租（租赁）汽车管理科、货物运输管理科、机动车维修管理科（驾培管理科）。</w:t>
      </w:r>
    </w:p>
    <w:p>
      <w:pPr>
        <w:pStyle w:val="3"/>
        <w:ind w:firstLine="560"/>
      </w:pPr>
      <w:r>
        <w:rPr>
          <w:rFonts w:hint="eastAsia" w:ascii="仿宋_GB2312" w:eastAsia="仿宋_GB2312"/>
          <w:kern w:val="0"/>
          <w:sz w:val="28"/>
          <w:szCs w:val="28"/>
        </w:rPr>
        <w:t>北京市交通委员会石景山运输管理分局是北京市交通委员会的派出机构。主要职责是：负责本行政区域和授权区域内道路运输、水路运输、城市公共汽电车客运、出租车、小微型客车租赁等行业管理工作，依法开展相关许可、备案和监督检查，完成市交通委交办的其他任务。</w:t>
      </w: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2148.69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减少941.28万元，下降30.46%。</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1913.28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减少353.71万元，下降15.60%。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1.财政拨款收入</w:t>
      </w:r>
      <w:r>
        <w:rPr>
          <w:rFonts w:ascii="仿宋_GB2312" w:eastAsia="仿宋_GB2312"/>
          <w:sz w:val="28"/>
          <w:szCs w:val="28"/>
        </w:rPr>
        <w:t>1913.28</w:t>
      </w:r>
      <w:r>
        <w:rPr>
          <w:rFonts w:hint="eastAsia" w:ascii="仿宋_GB2312" w:eastAsia="仿宋_GB2312"/>
          <w:sz w:val="28"/>
          <w:szCs w:val="28"/>
        </w:rPr>
        <w:t>万元，占收入合计的100%。其中：一般公共预算财政拨款收入</w:t>
      </w:r>
      <w:r>
        <w:rPr>
          <w:rFonts w:ascii="仿宋_GB2312" w:eastAsia="仿宋_GB2312"/>
          <w:sz w:val="28"/>
          <w:szCs w:val="28"/>
        </w:rPr>
        <w:t>1913.28</w:t>
      </w:r>
      <w:r>
        <w:rPr>
          <w:rFonts w:hint="eastAsia" w:ascii="仿宋_GB2312" w:eastAsia="仿宋_GB2312"/>
          <w:sz w:val="28"/>
          <w:szCs w:val="28"/>
        </w:rPr>
        <w:t>万元，占收入合计的100%；政府性基金预算财政拨款收入</w:t>
      </w:r>
      <w:r>
        <w:rPr>
          <w:rFonts w:ascii="仿宋_GB2312" w:eastAsia="仿宋_GB2312"/>
          <w:sz w:val="28"/>
          <w:szCs w:val="28"/>
        </w:rPr>
        <w:t>0</w:t>
      </w:r>
      <w:r>
        <w:rPr>
          <w:rFonts w:hint="eastAsia" w:ascii="仿宋_GB2312" w:eastAsia="仿宋_GB2312"/>
          <w:sz w:val="28"/>
          <w:szCs w:val="28"/>
        </w:rPr>
        <w:t>万元，占收入合计的0%；国有资本经营预算财政拨款收入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0.01</w:t>
      </w:r>
      <w:r>
        <w:rPr>
          <w:rFonts w:hint="eastAsia" w:ascii="仿宋_GB2312" w:eastAsia="仿宋_GB2312"/>
          <w:sz w:val="28"/>
          <w:szCs w:val="28"/>
        </w:rPr>
        <w:t>万元，占收入合计的0%。</w:t>
      </w:r>
    </w:p>
    <w:p>
      <w:pPr>
        <w:pStyle w:val="2"/>
        <w:jc w:val="center"/>
      </w:pPr>
      <w:r>
        <w:rPr>
          <w:rFonts w:hint="eastAsia" w:ascii="仿宋_GB2312" w:eastAsia="仿宋_GB2312"/>
          <w:color w:val="000000"/>
          <w:sz w:val="32"/>
        </w:rPr>
        <w:t>图1：收入预算</w:t>
      </w:r>
    </w:p>
    <w:p>
      <w:pPr>
        <w:pStyle w:val="3"/>
        <w:ind w:firstLine="420"/>
        <w:jc w:val="center"/>
      </w:pPr>
      <w:r>
        <w:drawing>
          <wp:inline distT="0" distB="0" distL="0" distR="0">
            <wp:extent cx="4036695" cy="2328545"/>
            <wp:effectExtent l="6350" t="6350" r="14605" b="8255"/>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2049.44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减少748.31万元，下降26.75%，其中：基本支出</w:t>
      </w:r>
      <w:r>
        <w:rPr>
          <w:rFonts w:ascii="仿宋_GB2312" w:eastAsia="仿宋_GB2312"/>
          <w:sz w:val="28"/>
          <w:szCs w:val="28"/>
        </w:rPr>
        <w:t>1218.91</w:t>
      </w:r>
      <w:r>
        <w:rPr>
          <w:rFonts w:hint="eastAsia" w:ascii="仿宋_GB2312" w:eastAsia="仿宋_GB2312"/>
          <w:sz w:val="28"/>
          <w:szCs w:val="28"/>
        </w:rPr>
        <w:t>万元，占支出合计的59.48%；项目支出</w:t>
      </w:r>
      <w:r>
        <w:rPr>
          <w:rFonts w:ascii="仿宋_GB2312" w:eastAsia="仿宋_GB2312"/>
          <w:sz w:val="28"/>
          <w:szCs w:val="28"/>
        </w:rPr>
        <w:t>830.53</w:t>
      </w:r>
      <w:r>
        <w:rPr>
          <w:rFonts w:hint="eastAsia" w:ascii="仿宋_GB2312" w:eastAsia="仿宋_GB2312"/>
          <w:sz w:val="28"/>
          <w:szCs w:val="28"/>
        </w:rPr>
        <w:t>万元，占支出合计的40.52%;上缴上级支出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wp:cNvGraphicFramePr>
              <a:graphicFrameLocks xmlns:a="http://schemas.openxmlformats.org/drawingml/2006/main" noChangeAspect="true"/>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2148.69</w:t>
      </w:r>
      <w:r>
        <w:rPr>
          <w:rFonts w:hint="eastAsia" w:ascii="仿宋_GB2312" w:eastAsia="仿宋_GB2312"/>
          <w:sz w:val="28"/>
          <w:szCs w:val="28"/>
        </w:rPr>
        <w:t>万元，减少941.28万元，下降30.46%。主要原因：因出租车油改电项目实施，减少安排出租小轿车临时燃油补贴项目支出。</w:t>
      </w:r>
    </w:p>
    <w:p>
      <w:pPr>
        <w:tabs>
          <w:tab w:val="center" w:pos="6979"/>
        </w:tabs>
        <w:spacing w:line="580" w:lineRule="exact"/>
        <w:ind w:firstLine="570"/>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2049.4</w:t>
      </w:r>
      <w:r>
        <w:rPr>
          <w:rFonts w:hint="eastAsia" w:ascii="仿宋_GB2312" w:eastAsia="仿宋_GB2312"/>
          <w:sz w:val="28"/>
          <w:szCs w:val="28"/>
        </w:rPr>
        <w:t>4万元，主要用于以下方面：教育支出1.81万元</w:t>
      </w:r>
      <w:r>
        <w:rPr>
          <w:rFonts w:ascii="仿宋_GB2312" w:eastAsia="仿宋_GB2312"/>
          <w:sz w:val="28"/>
          <w:szCs w:val="28"/>
        </w:rPr>
        <w:t>，占本年财政拨款支出</w:t>
      </w:r>
      <w:r>
        <w:rPr>
          <w:rFonts w:hint="eastAsia" w:ascii="仿宋_GB2312" w:eastAsia="仿宋_GB2312"/>
          <w:sz w:val="28"/>
          <w:szCs w:val="28"/>
        </w:rPr>
        <w:t>0.08%；社会保障和就业支出121.69万元，占本年财政拨款支出5.94%；卫生健康支出102.50万元</w:t>
      </w:r>
      <w:r>
        <w:rPr>
          <w:rFonts w:ascii="仿宋_GB2312" w:eastAsia="仿宋_GB2312"/>
          <w:sz w:val="28"/>
          <w:szCs w:val="28"/>
        </w:rPr>
        <w:t>，占</w:t>
      </w:r>
      <w:r>
        <w:rPr>
          <w:rFonts w:hint="eastAsia" w:ascii="仿宋_GB2312" w:eastAsia="仿宋_GB2312"/>
          <w:sz w:val="28"/>
          <w:szCs w:val="28"/>
        </w:rPr>
        <w:t>本年财政拨款支出5.00%；交通运输</w:t>
      </w:r>
      <w:r>
        <w:rPr>
          <w:rFonts w:ascii="仿宋_GB2312" w:eastAsia="仿宋_GB2312"/>
          <w:sz w:val="28"/>
          <w:szCs w:val="28"/>
        </w:rPr>
        <w:t>支出</w:t>
      </w:r>
      <w:r>
        <w:rPr>
          <w:rFonts w:hint="eastAsia" w:ascii="仿宋_GB2312" w:eastAsia="仿宋_GB2312"/>
          <w:sz w:val="28"/>
          <w:szCs w:val="28"/>
        </w:rPr>
        <w:t>1823.44万元</w:t>
      </w:r>
      <w:r>
        <w:rPr>
          <w:rFonts w:ascii="仿宋_GB2312" w:eastAsia="仿宋_GB2312"/>
          <w:sz w:val="28"/>
          <w:szCs w:val="28"/>
        </w:rPr>
        <w:t>，占</w:t>
      </w:r>
      <w:r>
        <w:rPr>
          <w:rFonts w:hint="eastAsia" w:ascii="仿宋_GB2312" w:eastAsia="仿宋_GB2312"/>
          <w:sz w:val="28"/>
          <w:szCs w:val="28"/>
        </w:rPr>
        <w:t>本年财政拨款支出88.98%。</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1、“教育支出” 2024年度年初预算1.82万元，2024年度决算1.81万元，完成年初预算的99.45%。其中：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“进修及培训支出” 2024年度年初预算1.82万元，2024年度决算1.81万元，完成年初预算的99.45%。主要原因：</w:t>
      </w:r>
      <w:r>
        <w:rPr>
          <w:rFonts w:ascii="仿宋_GB2312" w:eastAsia="仿宋_GB2312"/>
          <w:color w:val="000000"/>
          <w:sz w:val="28"/>
          <w:szCs w:val="28"/>
        </w:rPr>
        <w:t>在预算执行过程中根据实际培训人员变动情况安排支出</w:t>
      </w:r>
      <w:r>
        <w:rPr>
          <w:rFonts w:hint="eastAsia" w:ascii="仿宋_GB2312" w:eastAsia="仿宋_GB2312"/>
          <w:sz w:val="28"/>
          <w:szCs w:val="28"/>
        </w:rPr>
        <w:t>。</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2、“社会保障和就业支出” 2024年度年初预算135.42万元，2024年度决算121.69万元，完成年初预算的89.86%。其中：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“行政事业单位养老支出” 2024年度年初预算135.42万元，2024年度决算121.69万元，完成年初预算的89.86%。主要原因：</w:t>
      </w:r>
      <w:r>
        <w:rPr>
          <w:rFonts w:ascii="仿宋_GB2312" w:eastAsia="仿宋_GB2312"/>
          <w:color w:val="000000"/>
          <w:sz w:val="28"/>
          <w:szCs w:val="28"/>
        </w:rPr>
        <w:t>执行全市统一养老保险缴费政策，在预算执行过程中根据实际人员变动情况安排支出</w:t>
      </w:r>
      <w:r>
        <w:rPr>
          <w:rFonts w:hint="eastAsia" w:ascii="仿宋_GB2312" w:eastAsia="仿宋_GB2312"/>
          <w:sz w:val="28"/>
          <w:szCs w:val="28"/>
        </w:rPr>
        <w:t>。</w:t>
      </w:r>
    </w:p>
    <w:p>
      <w:pPr>
        <w:spacing w:line="580" w:lineRule="exact"/>
        <w:ind w:firstLine="560" w:firstLineChars="200"/>
        <w:rPr>
          <w:rFonts w:ascii="仿宋_GB2312" w:eastAsia="仿宋_GB2312"/>
          <w:sz w:val="28"/>
          <w:szCs w:val="28"/>
        </w:rPr>
      </w:pPr>
      <w:r>
        <w:rPr>
          <w:rFonts w:ascii="仿宋_GB2312" w:eastAsia="仿宋_GB2312"/>
          <w:sz w:val="28"/>
          <w:szCs w:val="28"/>
        </w:rPr>
        <w:t>3</w:t>
      </w:r>
      <w:r>
        <w:rPr>
          <w:rFonts w:hint="eastAsia" w:ascii="仿宋_GB2312" w:eastAsia="仿宋_GB2312"/>
          <w:sz w:val="28"/>
          <w:szCs w:val="28"/>
        </w:rPr>
        <w:t>、“卫生健康支出” 2024年度年初预算123.71万元，2024年度决算102.50万元，完成年初预算的82.86%。其中：</w:t>
      </w:r>
    </w:p>
    <w:p>
      <w:pPr>
        <w:spacing w:line="580" w:lineRule="exact"/>
        <w:ind w:firstLine="560" w:firstLineChars="200"/>
        <w:rPr>
          <w:rFonts w:ascii="仿宋_GB2312" w:eastAsia="仿宋_GB2312"/>
          <w:color w:val="000000"/>
          <w:sz w:val="28"/>
          <w:szCs w:val="28"/>
        </w:rPr>
      </w:pPr>
      <w:r>
        <w:rPr>
          <w:rFonts w:hint="eastAsia" w:ascii="仿宋_GB2312" w:eastAsia="仿宋_GB2312"/>
          <w:sz w:val="28"/>
          <w:szCs w:val="28"/>
        </w:rPr>
        <w:t>“行政事业单位医疗” 2024年度年初预算96.87万元，2024年度决算78.48万元，完成年初预算的81.02%。主要原因：</w:t>
      </w:r>
      <w:r>
        <w:rPr>
          <w:rFonts w:ascii="仿宋_GB2312" w:eastAsia="仿宋_GB2312"/>
          <w:color w:val="000000"/>
          <w:sz w:val="28"/>
          <w:szCs w:val="28"/>
        </w:rPr>
        <w:t>执行全市统一医疗保险缴费标准，在预算执行过程中根据实际人员变动情况安排支出。</w:t>
      </w:r>
    </w:p>
    <w:p>
      <w:pPr>
        <w:spacing w:line="580" w:lineRule="exact"/>
        <w:ind w:firstLine="560" w:firstLineChars="200"/>
        <w:rPr>
          <w:rFonts w:ascii="仿宋_GB2312" w:eastAsia="仿宋_GB2312"/>
          <w:color w:val="000000"/>
          <w:sz w:val="28"/>
          <w:szCs w:val="28"/>
        </w:rPr>
      </w:pPr>
      <w:r>
        <w:rPr>
          <w:rFonts w:ascii="仿宋_GB2312" w:eastAsia="仿宋_GB2312"/>
          <w:sz w:val="28"/>
          <w:szCs w:val="28"/>
        </w:rPr>
        <w:t>4</w:t>
      </w:r>
      <w:r>
        <w:rPr>
          <w:rFonts w:hint="eastAsia" w:ascii="仿宋_GB2312" w:eastAsia="仿宋_GB2312"/>
          <w:sz w:val="28"/>
          <w:szCs w:val="28"/>
        </w:rPr>
        <w:t>、</w:t>
      </w:r>
      <w:r>
        <w:rPr>
          <w:rFonts w:hint="eastAsia" w:ascii="仿宋_GB2312" w:eastAsia="仿宋_GB2312"/>
          <w:color w:val="000000"/>
          <w:sz w:val="28"/>
          <w:szCs w:val="28"/>
        </w:rPr>
        <w:t xml:space="preserve">“交通运输支出” </w:t>
      </w:r>
      <w:r>
        <w:rPr>
          <w:rFonts w:hint="eastAsia" w:ascii="仿宋_GB2312" w:eastAsia="仿宋_GB2312"/>
          <w:sz w:val="28"/>
          <w:szCs w:val="28"/>
        </w:rPr>
        <w:t>2024年度年初预算1327.58万元，2024年度决算1319.14万元，完成年初预算的99.36%。</w:t>
      </w:r>
      <w:r>
        <w:rPr>
          <w:rFonts w:hint="eastAsia" w:ascii="仿宋_GB2312" w:eastAsia="仿宋_GB2312"/>
          <w:color w:val="000000"/>
          <w:sz w:val="28"/>
          <w:szCs w:val="28"/>
        </w:rPr>
        <w:t>其中：</w:t>
      </w:r>
    </w:p>
    <w:p>
      <w:pPr>
        <w:spacing w:line="58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“公路水路运输”</w:t>
      </w:r>
      <w:r>
        <w:rPr>
          <w:rFonts w:hint="eastAsia" w:ascii="仿宋_GB2312" w:eastAsia="仿宋_GB2312"/>
          <w:sz w:val="28"/>
          <w:szCs w:val="28"/>
        </w:rPr>
        <w:t xml:space="preserve"> 2024年度年初预算1327.58万元，2024年度决算1319.14万元，完成年初预算的99.36%。</w:t>
      </w:r>
      <w:r>
        <w:rPr>
          <w:rFonts w:hint="eastAsia" w:ascii="仿宋_GB2312" w:eastAsia="仿宋_GB2312"/>
          <w:color w:val="000000"/>
          <w:sz w:val="28"/>
          <w:szCs w:val="28"/>
        </w:rPr>
        <w:t>主要原因：</w:t>
      </w:r>
      <w:r>
        <w:rPr>
          <w:rFonts w:ascii="仿宋_GB2312" w:eastAsia="仿宋_GB2312"/>
          <w:color w:val="000000"/>
          <w:sz w:val="28"/>
          <w:szCs w:val="28"/>
        </w:rPr>
        <w:t>执行全市统一</w:t>
      </w:r>
      <w:r>
        <w:rPr>
          <w:rFonts w:hint="eastAsia" w:ascii="仿宋_GB2312" w:eastAsia="仿宋_GB2312"/>
          <w:color w:val="000000"/>
          <w:sz w:val="28"/>
          <w:szCs w:val="28"/>
        </w:rPr>
        <w:t>社会</w:t>
      </w:r>
      <w:r>
        <w:rPr>
          <w:rFonts w:ascii="仿宋_GB2312" w:eastAsia="仿宋_GB2312"/>
          <w:color w:val="000000"/>
          <w:sz w:val="28"/>
          <w:szCs w:val="28"/>
        </w:rPr>
        <w:t>保险缴费政策</w:t>
      </w:r>
      <w:r>
        <w:rPr>
          <w:rFonts w:hint="eastAsia" w:ascii="仿宋_GB2312" w:eastAsia="仿宋_GB2312"/>
          <w:color w:val="000000"/>
          <w:sz w:val="28"/>
          <w:szCs w:val="28"/>
        </w:rPr>
        <w:t>，</w:t>
      </w:r>
      <w:r>
        <w:rPr>
          <w:rFonts w:ascii="仿宋_GB2312" w:eastAsia="仿宋_GB2312"/>
          <w:color w:val="000000"/>
          <w:sz w:val="28"/>
          <w:szCs w:val="28"/>
        </w:rPr>
        <w:t>在预算执行过程中根据实际人员变动情况安排支出。</w:t>
      </w:r>
    </w:p>
    <w:p>
      <w:pPr>
        <w:spacing w:line="58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 xml:space="preserve">“其他公路水路运输支出” </w:t>
      </w:r>
      <w:r>
        <w:rPr>
          <w:rFonts w:hint="eastAsia" w:ascii="仿宋_GB2312" w:eastAsia="仿宋_GB2312"/>
          <w:sz w:val="28"/>
          <w:szCs w:val="28"/>
        </w:rPr>
        <w:t>2024年度年初预算553.08万元，</w:t>
      </w:r>
      <w:r>
        <w:rPr>
          <w:rFonts w:hint="eastAsia" w:ascii="仿宋_GB2312" w:eastAsia="仿宋_GB2312"/>
          <w:color w:val="000000"/>
          <w:sz w:val="28"/>
          <w:szCs w:val="28"/>
        </w:rPr>
        <w:t>2024年度决算504.30万元，</w:t>
      </w:r>
      <w:r>
        <w:rPr>
          <w:rFonts w:hint="eastAsia" w:ascii="仿宋_GB2312" w:eastAsia="仿宋_GB2312"/>
          <w:sz w:val="28"/>
          <w:szCs w:val="28"/>
        </w:rPr>
        <w:t>完成年初预算的91.18%。</w:t>
      </w:r>
      <w:r>
        <w:rPr>
          <w:rFonts w:hint="eastAsia" w:ascii="仿宋_GB2312" w:eastAsia="仿宋_GB2312"/>
          <w:color w:val="000000"/>
          <w:sz w:val="28"/>
          <w:szCs w:val="28"/>
        </w:rPr>
        <w:t>主要原因：油改电项目实施，企业燃油车辆减少。</w:t>
      </w:r>
    </w:p>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eastAsia="仿宋_GB2312"/>
        </w:rPr>
      </w:pPr>
      <w:r>
        <w:rPr>
          <w:rFonts w:hint="eastAsia" w:ascii="仿宋_GB2312" w:eastAsia="仿宋_GB2312"/>
          <w:sz w:val="28"/>
          <w:szCs w:val="28"/>
        </w:rPr>
        <w:t>本年度无此项支出。</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2024年度国有资本经营预算财政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仿宋_GB2312" w:eastAsia="仿宋_GB2312"/>
          <w:sz w:val="28"/>
          <w:szCs w:val="28"/>
        </w:rPr>
      </w:pPr>
      <w:r>
        <w:rPr>
          <w:rFonts w:hint="eastAsia" w:ascii="仿宋_GB2312" w:eastAsia="仿宋_GB2312"/>
          <w:sz w:val="28"/>
          <w:szCs w:val="28"/>
        </w:rPr>
        <w:t>2024年度使用一般公共预算财政拨款安排基本支出</w:t>
      </w:r>
      <w:r>
        <w:rPr>
          <w:rFonts w:ascii="仿宋_GB2312" w:eastAsia="仿宋_GB2312"/>
          <w:sz w:val="28"/>
          <w:szCs w:val="28"/>
        </w:rPr>
        <w:t>1218.9</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pStyle w:val="2"/>
      </w:pPr>
    </w:p>
    <w:p/>
    <w:p>
      <w:pPr>
        <w:pStyle w:val="2"/>
      </w:pPr>
    </w:p>
    <w:p/>
    <w:p>
      <w:pPr>
        <w:pStyle w:val="2"/>
      </w:pPr>
    </w:p>
    <w:p/>
    <w:p>
      <w:pPr>
        <w:pStyle w:val="2"/>
      </w:pPr>
    </w:p>
    <w:p/>
    <w:p>
      <w:pPr>
        <w:pStyle w:val="2"/>
      </w:pPr>
    </w:p>
    <w:p/>
    <w:p/>
    <w:p>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pPr>
        <w:tabs>
          <w:tab w:val="center" w:pos="6979"/>
        </w:tabs>
        <w:jc w:val="center"/>
        <w:rPr>
          <w:rFonts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rPr>
        <w:t>2024年度“三公”经费财政拨款决算数</w:t>
      </w:r>
      <w:r>
        <w:rPr>
          <w:rFonts w:ascii="仿宋_GB2312" w:eastAsia="仿宋_GB2312"/>
          <w:sz w:val="28"/>
          <w:szCs w:val="28"/>
        </w:rPr>
        <w:t>3.65</w:t>
      </w:r>
      <w:r>
        <w:rPr>
          <w:rFonts w:hint="eastAsia" w:ascii="仿宋_GB2312" w:eastAsia="仿宋_GB2312"/>
          <w:sz w:val="28"/>
          <w:szCs w:val="28"/>
        </w:rPr>
        <w:t>万元，与2024年度“三公”经费财政拨款年初预算</w:t>
      </w:r>
      <w:r>
        <w:rPr>
          <w:rFonts w:ascii="仿宋_GB2312" w:eastAsia="仿宋_GB2312"/>
          <w:sz w:val="28"/>
          <w:szCs w:val="28"/>
        </w:rPr>
        <w:t>3.65</w:t>
      </w:r>
      <w:r>
        <w:rPr>
          <w:rFonts w:hint="eastAsia" w:ascii="仿宋_GB2312" w:eastAsia="仿宋_GB2312"/>
          <w:sz w:val="28"/>
          <w:szCs w:val="28"/>
        </w:rPr>
        <w:t>万元持平。其中：</w:t>
      </w:r>
    </w:p>
    <w:p>
      <w:pPr>
        <w:spacing w:line="560" w:lineRule="exact"/>
        <w:ind w:firstLine="600"/>
        <w:rPr>
          <w:rFonts w:ascii="仿宋_GB2312" w:eastAsia="仿宋_GB2312"/>
          <w:sz w:val="28"/>
          <w:szCs w:val="28"/>
        </w:rPr>
      </w:pPr>
      <w:r>
        <w:rPr>
          <w:rFonts w:hint="eastAsia" w:ascii="仿宋_GB2312" w:eastAsia="仿宋_GB2312"/>
          <w:sz w:val="28"/>
          <w:szCs w:val="28"/>
        </w:rPr>
        <w:t>1.因公出国（境）费用。本年度无此项支出。</w:t>
      </w:r>
    </w:p>
    <w:p>
      <w:pPr>
        <w:spacing w:line="560" w:lineRule="exact"/>
        <w:ind w:firstLine="600"/>
        <w:rPr>
          <w:rFonts w:ascii="仿宋_GB2312" w:eastAsia="仿宋_GB2312"/>
          <w:sz w:val="28"/>
          <w:szCs w:val="28"/>
        </w:rPr>
      </w:pPr>
      <w:r>
        <w:rPr>
          <w:rFonts w:hint="eastAsia" w:ascii="仿宋_GB2312" w:eastAsia="仿宋_GB2312"/>
          <w:sz w:val="28"/>
          <w:szCs w:val="28"/>
        </w:rPr>
        <w:t>2.公务接待费。本年度无此项支出。</w:t>
      </w:r>
    </w:p>
    <w:p>
      <w:pPr>
        <w:spacing w:line="560" w:lineRule="exact"/>
        <w:ind w:firstLine="600"/>
        <w:rPr>
          <w:rFonts w:ascii="仿宋_GB2312" w:eastAsia="仿宋_GB2312"/>
          <w:sz w:val="28"/>
          <w:szCs w:val="28"/>
        </w:rPr>
      </w:pPr>
      <w:r>
        <w:rPr>
          <w:rFonts w:hint="eastAsia" w:ascii="仿宋_GB2312" w:eastAsia="仿宋_GB2312"/>
          <w:sz w:val="28"/>
          <w:szCs w:val="28"/>
        </w:rPr>
        <w:t>3.公务用车购置及运行维护费。2024年度决算数</w:t>
      </w:r>
      <w:r>
        <w:rPr>
          <w:rFonts w:ascii="仿宋_GB2312" w:eastAsia="仿宋_GB2312"/>
          <w:sz w:val="28"/>
          <w:szCs w:val="28"/>
        </w:rPr>
        <w:t>3.65</w:t>
      </w:r>
      <w:r>
        <w:rPr>
          <w:rFonts w:hint="eastAsia" w:ascii="仿宋_GB2312" w:eastAsia="仿宋_GB2312"/>
          <w:sz w:val="28"/>
          <w:szCs w:val="28"/>
        </w:rPr>
        <w:t>万元，与2024年度年初预算数</w:t>
      </w:r>
      <w:r>
        <w:rPr>
          <w:rFonts w:ascii="仿宋_GB2312" w:eastAsia="仿宋_GB2312"/>
          <w:sz w:val="28"/>
          <w:szCs w:val="28"/>
        </w:rPr>
        <w:t>3.65</w:t>
      </w:r>
      <w:r>
        <w:rPr>
          <w:rFonts w:hint="eastAsia" w:ascii="仿宋_GB2312" w:eastAsia="仿宋_GB2312"/>
          <w:sz w:val="28"/>
          <w:szCs w:val="28"/>
        </w:rPr>
        <w:t>万元持平。其中，无公务用车购置费。公务用车运行维护费2024年度决算数3.65万元，与2024年度年初预算数</w:t>
      </w:r>
      <w:r>
        <w:rPr>
          <w:rFonts w:ascii="仿宋_GB2312" w:eastAsia="仿宋_GB2312"/>
          <w:sz w:val="28"/>
          <w:szCs w:val="28"/>
        </w:rPr>
        <w:t>3.65</w:t>
      </w:r>
      <w:r>
        <w:rPr>
          <w:rFonts w:hint="eastAsia" w:ascii="仿宋_GB2312" w:eastAsia="仿宋_GB2312"/>
          <w:sz w:val="28"/>
          <w:szCs w:val="28"/>
        </w:rPr>
        <w:t>万元持平。2024年度公务用车保有量</w:t>
      </w:r>
      <w:r>
        <w:rPr>
          <w:rFonts w:ascii="仿宋_GB2312" w:eastAsia="仿宋_GB2312"/>
          <w:sz w:val="28"/>
          <w:szCs w:val="28"/>
        </w:rPr>
        <w:t>3</w:t>
      </w:r>
      <w:r>
        <w:rPr>
          <w:rFonts w:hint="eastAsia" w:ascii="仿宋_GB2312" w:eastAsia="仿宋_GB2312"/>
          <w:sz w:val="28"/>
          <w:szCs w:val="28"/>
        </w:rPr>
        <w:t>辆。</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ind w:firstLine="537" w:firstLineChars="192"/>
        <w:rPr>
          <w:rFonts w:ascii="仿宋_GB2312" w:eastAsia="仿宋_GB2312"/>
          <w:sz w:val="28"/>
          <w:szCs w:val="28"/>
        </w:rPr>
      </w:pPr>
      <w:r>
        <w:rPr>
          <w:rFonts w:hint="eastAsia" w:ascii="仿宋_GB2312" w:eastAsia="仿宋_GB2312"/>
          <w:sz w:val="28"/>
          <w:szCs w:val="28"/>
        </w:rPr>
        <w:t>2024年度机关运行经费支出合计112.8万元，比上年减少1.99万元，减少原因：响应中央及市政府过“紧日子”的号召，厉行节约。</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2024年度政府采购支出总额</w:t>
      </w:r>
      <w:r>
        <w:rPr>
          <w:rFonts w:ascii="仿宋_GB2312" w:eastAsia="仿宋_GB2312"/>
          <w:sz w:val="28"/>
          <w:szCs w:val="28"/>
        </w:rPr>
        <w:t>12.61</w:t>
      </w:r>
      <w:r>
        <w:rPr>
          <w:rFonts w:hint="eastAsia" w:ascii="仿宋_GB2312" w:eastAsia="仿宋_GB2312"/>
          <w:sz w:val="28"/>
          <w:szCs w:val="28"/>
        </w:rPr>
        <w:t>万元，其中：政府采购货物支出</w:t>
      </w:r>
      <w:r>
        <w:rPr>
          <w:rFonts w:ascii="仿宋_GB2312" w:eastAsia="仿宋_GB2312"/>
          <w:sz w:val="28"/>
          <w:szCs w:val="28"/>
        </w:rPr>
        <w:t>4.13</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8.48</w:t>
      </w:r>
      <w:r>
        <w:rPr>
          <w:rFonts w:hint="eastAsia" w:ascii="仿宋_GB2312" w:eastAsia="仿宋_GB2312"/>
          <w:sz w:val="28"/>
          <w:szCs w:val="28"/>
        </w:rPr>
        <w:t>万元。授予中小企业合同金额</w:t>
      </w:r>
      <w:r>
        <w:rPr>
          <w:rFonts w:ascii="仿宋_GB2312" w:eastAsia="仿宋_GB2312"/>
          <w:sz w:val="28"/>
          <w:szCs w:val="28"/>
        </w:rPr>
        <w:t>11.33</w:t>
      </w:r>
      <w:r>
        <w:rPr>
          <w:rFonts w:hint="eastAsia" w:ascii="仿宋_GB2312" w:eastAsia="仿宋_GB2312"/>
          <w:sz w:val="28"/>
          <w:szCs w:val="28"/>
        </w:rPr>
        <w:t>万元，占政府采购支出总额的89.81%，其中：授予小微企业合同金额</w:t>
      </w:r>
      <w:r>
        <w:rPr>
          <w:rFonts w:ascii="仿宋_GB2312" w:eastAsia="仿宋_GB2312"/>
          <w:sz w:val="28"/>
          <w:szCs w:val="28"/>
        </w:rPr>
        <w:t>5.47</w:t>
      </w:r>
      <w:r>
        <w:rPr>
          <w:rFonts w:hint="eastAsia" w:ascii="仿宋_GB2312" w:eastAsia="仿宋_GB2312"/>
          <w:sz w:val="28"/>
          <w:szCs w:val="28"/>
        </w:rPr>
        <w:t>万元，占政府采购支出总额的</w:t>
      </w:r>
      <w:r>
        <w:rPr>
          <w:rFonts w:ascii="仿宋_GB2312" w:eastAsia="仿宋_GB2312"/>
          <w:sz w:val="28"/>
          <w:szCs w:val="28"/>
        </w:rPr>
        <w:t>43.38</w:t>
      </w:r>
      <w:r>
        <w:rPr>
          <w:rFonts w:hint="eastAsia" w:ascii="仿宋_GB2312" w:eastAsia="仿宋_GB2312"/>
          <w:sz w:val="28"/>
          <w:szCs w:val="28"/>
        </w:rPr>
        <w:t>%。</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截至12月31日，北京市交通委员会石景山运输管理分局共有车辆3台；单位价值100万元（含）以上的设备0台（套）。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2024年度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ascii="仿宋_GB2312" w:eastAsia="仿宋_GB2312"/>
          <w:sz w:val="28"/>
          <w:szCs w:val="28"/>
        </w:rPr>
      </w:pPr>
      <w:r>
        <w:rPr>
          <w:rFonts w:hint="eastAsia" w:ascii="仿宋_GB2312" w:eastAsia="仿宋_GB2312"/>
          <w:sz w:val="28"/>
          <w:szCs w:val="28"/>
        </w:rPr>
        <w:t>7.教育支出（类）进修及培训（款）培训支出（项）：反映各部门安排用于培训的支出。</w:t>
      </w:r>
    </w:p>
    <w:p>
      <w:pPr>
        <w:ind w:firstLine="420" w:firstLineChars="150"/>
        <w:rPr>
          <w:rFonts w:ascii="仿宋_GB2312" w:eastAsia="仿宋_GB2312"/>
          <w:sz w:val="28"/>
          <w:szCs w:val="28"/>
        </w:rPr>
      </w:pPr>
      <w:r>
        <w:rPr>
          <w:rFonts w:hint="eastAsia" w:ascii="仿宋_GB2312" w:eastAsia="仿宋_GB2312"/>
          <w:sz w:val="28"/>
          <w:szCs w:val="28"/>
        </w:rPr>
        <w:t>8.社会保障和就业支出（类）行政事业单位养老支出（款）行政单位离退休（项）：反映行政单位（包括实行公务员管理的事业单位）开支的离退休经费。</w:t>
      </w:r>
    </w:p>
    <w:p>
      <w:pPr>
        <w:ind w:firstLine="420" w:firstLineChars="150"/>
        <w:rPr>
          <w:rFonts w:ascii="仿宋_GB2312" w:eastAsia="仿宋_GB2312"/>
          <w:sz w:val="28"/>
          <w:szCs w:val="28"/>
        </w:rPr>
      </w:pPr>
      <w:r>
        <w:rPr>
          <w:rFonts w:hint="eastAsia" w:ascii="仿宋_GB2312" w:eastAsia="仿宋_GB2312"/>
          <w:sz w:val="28"/>
          <w:szCs w:val="28"/>
        </w:rPr>
        <w:t>9.社会保障和就业支出（类）行政事业单位养老支出（款）机关事业单位基本养老保险缴费支出（项）：反映机关事业单位实施养老保险制度由单位实际缴纳的基本养老保险支出。</w:t>
      </w:r>
    </w:p>
    <w:p>
      <w:pPr>
        <w:ind w:firstLine="420" w:firstLineChars="150"/>
        <w:rPr>
          <w:rFonts w:ascii="仿宋_GB2312" w:eastAsia="仿宋_GB2312"/>
          <w:sz w:val="28"/>
          <w:szCs w:val="28"/>
        </w:rPr>
      </w:pPr>
      <w:r>
        <w:rPr>
          <w:rFonts w:hint="eastAsia" w:ascii="仿宋_GB2312" w:eastAsia="仿宋_GB2312"/>
          <w:sz w:val="28"/>
          <w:szCs w:val="28"/>
        </w:rPr>
        <w:t>10.社会保障和就业支出（类）行政事业单位养老支出（款）机关事业单位职业年金缴费支出（项）：反映机关事业单位实施养老保险制度由单位实际缴纳的职业年金支出（含</w:t>
      </w:r>
      <w:r>
        <w:rPr>
          <w:rFonts w:ascii="仿宋_GB2312" w:eastAsia="仿宋_GB2312"/>
          <w:sz w:val="28"/>
          <w:szCs w:val="28"/>
        </w:rPr>
        <w:t>职业年金补记支出</w:t>
      </w:r>
      <w:r>
        <w:rPr>
          <w:rFonts w:hint="eastAsia" w:ascii="仿宋_GB2312" w:eastAsia="仿宋_GB2312"/>
          <w:sz w:val="28"/>
          <w:szCs w:val="28"/>
        </w:rPr>
        <w:t>）。</w:t>
      </w:r>
    </w:p>
    <w:p>
      <w:pPr>
        <w:ind w:firstLine="420" w:firstLineChars="150"/>
        <w:rPr>
          <w:rFonts w:ascii="仿宋_GB2312" w:eastAsia="仿宋_GB2312"/>
          <w:sz w:val="28"/>
          <w:szCs w:val="28"/>
        </w:rPr>
      </w:pPr>
      <w:r>
        <w:rPr>
          <w:rFonts w:hint="eastAsia" w:ascii="仿宋_GB2312" w:eastAsia="仿宋_GB2312"/>
          <w:sz w:val="28"/>
          <w:szCs w:val="28"/>
        </w:rPr>
        <w:t>1</w:t>
      </w:r>
      <w:r>
        <w:rPr>
          <w:rFonts w:ascii="仿宋_GB2312" w:eastAsia="仿宋_GB2312"/>
          <w:sz w:val="28"/>
          <w:szCs w:val="28"/>
        </w:rPr>
        <w:t>1</w:t>
      </w:r>
      <w:r>
        <w:rPr>
          <w:rFonts w:hint="eastAsia" w:ascii="仿宋_GB2312" w:eastAsia="仿宋_GB2312"/>
          <w:sz w:val="28"/>
          <w:szCs w:val="28"/>
        </w:rPr>
        <w:t>.卫生健康支出（类）行政事业单位医疗（款）行政单位医疗（项）：反映财政部门安排的行政单位（包括实行公务员管理的事业单位，下同）基本医疗保险缴费经费，未参加医疗保险的行政单位的公费医疗经费，按国际规定享受离休人员、红军老战士待遇人员的医疗经费。</w:t>
      </w:r>
    </w:p>
    <w:p>
      <w:pPr>
        <w:ind w:firstLine="420" w:firstLineChars="150"/>
        <w:rPr>
          <w:rFonts w:ascii="仿宋_GB2312" w:eastAsia="仿宋_GB2312"/>
          <w:sz w:val="28"/>
          <w:szCs w:val="28"/>
        </w:rPr>
      </w:pPr>
      <w:r>
        <w:rPr>
          <w:rFonts w:hint="eastAsia" w:ascii="仿宋_GB2312" w:eastAsia="仿宋_GB2312"/>
          <w:sz w:val="28"/>
          <w:szCs w:val="28"/>
        </w:rPr>
        <w:t>12.卫生健康支出（类）行政事业单位医疗（款）公务员医疗补助（项）：反映财政部门安排的公务员医疗补助经费。</w:t>
      </w:r>
    </w:p>
    <w:p>
      <w:pPr>
        <w:ind w:firstLine="420" w:firstLineChars="150"/>
        <w:rPr>
          <w:rFonts w:ascii="仿宋_GB2312" w:eastAsia="仿宋_GB2312"/>
          <w:sz w:val="28"/>
          <w:szCs w:val="28"/>
        </w:rPr>
      </w:pPr>
      <w:r>
        <w:rPr>
          <w:rFonts w:hint="eastAsia" w:ascii="仿宋_GB2312" w:eastAsia="仿宋_GB2312"/>
          <w:sz w:val="28"/>
          <w:szCs w:val="28"/>
        </w:rPr>
        <w:t>13.交通运输支出（类）公路水路运输（款）其他公路水路运输支出（项）：反映出上述项目以外其他用于公路水路运输方面的支出。</w:t>
      </w:r>
    </w:p>
    <w:p>
      <w:pPr>
        <w:ind w:firstLine="420" w:firstLineChars="150"/>
        <w:rPr>
          <w:rFonts w:ascii="仿宋_GB2312" w:eastAsia="仿宋_GB2312"/>
          <w:sz w:val="28"/>
          <w:szCs w:val="28"/>
        </w:rPr>
      </w:pPr>
      <w:r>
        <w:rPr>
          <w:rFonts w:hint="eastAsia" w:ascii="仿宋_GB2312" w:eastAsia="仿宋_GB2312"/>
          <w:sz w:val="28"/>
          <w:szCs w:val="28"/>
        </w:rPr>
        <w:t>14.交通运输支出（类）其他交通运输支出（款）其他交通运输支出（项）：反映其他交通运输支出中除对公共交通运营补助以外的其他支出。</w:t>
      </w:r>
    </w:p>
    <w:p>
      <w:pPr>
        <w:tabs>
          <w:tab w:val="center" w:pos="6979"/>
        </w:tabs>
        <w:spacing w:line="380" w:lineRule="exact"/>
        <w:jc w:val="center"/>
        <w:rPr>
          <w:rFonts w:ascii="宋体" w:hAnsi="宋体" w:cs="宋体"/>
          <w:b/>
          <w:bCs/>
          <w:kern w:val="0"/>
          <w:sz w:val="28"/>
          <w:szCs w:val="28"/>
        </w:rPr>
      </w:pPr>
    </w:p>
    <w:p>
      <w:pPr>
        <w:pStyle w:val="2"/>
      </w:pPr>
    </w:p>
    <w:p/>
    <w:p>
      <w:pPr>
        <w:pStyle w:val="2"/>
      </w:pPr>
    </w:p>
    <w:p/>
    <w:p>
      <w:pPr>
        <w:pStyle w:val="2"/>
      </w:pPr>
    </w:p>
    <w:p/>
    <w:p>
      <w:pPr>
        <w:pStyle w:val="2"/>
      </w:pPr>
    </w:p>
    <w:p>
      <w:pPr>
        <w:tabs>
          <w:tab w:val="center" w:pos="6979"/>
        </w:tabs>
        <w:spacing w:line="380" w:lineRule="exact"/>
        <w:jc w:val="center"/>
        <w:rPr>
          <w:rFonts w:ascii="宋体" w:hAnsi="宋体" w:cs="宋体"/>
          <w:b/>
          <w:bCs/>
          <w:kern w:val="0"/>
          <w:sz w:val="28"/>
          <w:szCs w:val="28"/>
        </w:rPr>
      </w:pPr>
    </w:p>
    <w:p>
      <w:pP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r>
        <w:rPr>
          <w:rFonts w:hint="eastAsia" w:ascii="黑体" w:eastAsia="黑体"/>
          <w:sz w:val="32"/>
          <w:szCs w:val="32"/>
        </w:rPr>
        <w:t>第四部分  2024年度部门绩效评价情况</w:t>
      </w:r>
    </w:p>
    <w:p>
      <w:pPr>
        <w:ind w:firstLine="560" w:firstLineChars="200"/>
        <w:rPr>
          <w:rFonts w:ascii="黑体" w:eastAsia="黑体"/>
          <w:sz w:val="28"/>
          <w:szCs w:val="28"/>
          <w:highlight w:val="yellow"/>
        </w:rPr>
      </w:pPr>
    </w:p>
    <w:p>
      <w:pPr>
        <w:numPr>
          <w:ilvl w:val="0"/>
          <w:numId w:val="1"/>
        </w:numPr>
        <w:ind w:firstLine="560" w:firstLineChars="200"/>
        <w:rPr>
          <w:rFonts w:ascii="黑体" w:eastAsia="黑体"/>
          <w:sz w:val="28"/>
          <w:szCs w:val="28"/>
        </w:rPr>
      </w:pPr>
      <w:r>
        <w:rPr>
          <w:rFonts w:hint="eastAsia" w:ascii="黑体" w:eastAsia="黑体"/>
          <w:sz w:val="28"/>
          <w:szCs w:val="28"/>
        </w:rPr>
        <w:t>部门整体绩效评价报告（详见附件）</w:t>
      </w:r>
    </w:p>
    <w:p>
      <w:pPr>
        <w:numPr>
          <w:ilvl w:val="0"/>
          <w:numId w:val="1"/>
        </w:numPr>
        <w:ind w:firstLine="560" w:firstLineChars="200"/>
        <w:rPr>
          <w:rFonts w:ascii="黑体" w:eastAsia="黑体"/>
          <w:sz w:val="28"/>
          <w:szCs w:val="28"/>
        </w:rPr>
      </w:pPr>
      <w:r>
        <w:rPr>
          <w:rFonts w:hint="eastAsia" w:ascii="黑体" w:eastAsia="黑体"/>
          <w:sz w:val="28"/>
          <w:szCs w:val="28"/>
        </w:rPr>
        <w:t>项目支出绩效评价报告（详见附件）</w:t>
      </w:r>
    </w:p>
    <w:p>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p>
      <w:pPr>
        <w:numPr>
          <w:ilvl w:val="0"/>
          <w:numId w:val="1"/>
        </w:numPr>
        <w:ind w:firstLine="560" w:firstLineChars="200"/>
        <w:rPr>
          <w:rFonts w:ascii="黑体" w:eastAsia="黑体"/>
          <w:sz w:val="28"/>
          <w:szCs w:val="28"/>
        </w:rPr>
      </w:pPr>
      <w:r>
        <w:rPr>
          <w:rFonts w:hint="eastAsia" w:ascii="黑体" w:eastAsia="黑体"/>
          <w:sz w:val="28"/>
          <w:szCs w:val="28"/>
        </w:rPr>
        <w:t>中央对北京XX转移支付预算执行情况绩效自评报告（详见附件）</w:t>
      </w:r>
    </w:p>
    <w:p>
      <w:pPr>
        <w:spacing w:line="480" w:lineRule="exact"/>
        <w:ind w:firstLine="420"/>
        <w:rPr>
          <w:rFonts w:ascii="黑体" w:eastAsia="黑体"/>
          <w:sz w:val="28"/>
          <w:szCs w:val="28"/>
        </w:rPr>
      </w:pPr>
      <w:r>
        <w:rPr>
          <w:rFonts w:hint="eastAsia" w:ascii="黑体" w:eastAsia="黑体"/>
          <w:sz w:val="28"/>
          <w:szCs w:val="28"/>
        </w:rPr>
        <w:t xml:space="preserve"> （注：有中央转移支付的一级预算部门，公开“一、二、三、四”；没有中央转移支付的一级预算部门，公开“一、二、三”；二级预算单位仅公开“三”。）</w:t>
      </w:r>
    </w:p>
    <w:p>
      <w:pPr>
        <w:spacing w:line="480" w:lineRule="exact"/>
        <w:rPr>
          <w:rFonts w:ascii="仿宋_GB2312" w:hAnsi="仿宋_GB2312" w:eastAsia="仿宋_GB2312" w:cs="仿宋_GB2312"/>
          <w:sz w:val="32"/>
          <w:szCs w:val="32"/>
        </w:rPr>
      </w:pPr>
    </w:p>
    <w:p>
      <w:pPr>
        <w:spacing w:line="480" w:lineRule="exact"/>
      </w:pPr>
    </w:p>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0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Pr>
    </w:pPr>
    <w:r>
      <w:fldChar w:fldCharType="begin"/>
    </w:r>
    <w:r>
      <w:rPr>
        <w:rStyle w:val="8"/>
      </w:rPr>
      <w:instrText xml:space="preserve">PAGE  </w:instrText>
    </w:r>
    <w:r>
      <w:fldChar w:fldCharType="separate"/>
    </w:r>
    <w:r>
      <w:rPr>
        <w:rStyle w:val="8"/>
      </w:rPr>
      <w:t>3</w:t>
    </w:r>
    <w: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Pr>
    </w:pPr>
    <w:r>
      <w:fldChar w:fldCharType="begin"/>
    </w:r>
    <w:r>
      <w:rPr>
        <w:rStyle w:val="8"/>
      </w:rPr>
      <w:instrText xml:space="preserve">PAGE  </w:instrText>
    </w:r>
    <w:r>
      <w:fldChar w:fldCharType="separate"/>
    </w:r>
    <w:r>
      <w:rPr>
        <w:rStyle w:val="8"/>
      </w:rPr>
      <w:t>8</w:t>
    </w:r>
    <w:r>
      <w:fldChar w:fldCharType="end"/>
    </w: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Pr>
    </w:pPr>
    <w:r>
      <w:fldChar w:fldCharType="begin"/>
    </w:r>
    <w:r>
      <w:rPr>
        <w:rStyle w:val="8"/>
      </w:rPr>
      <w:instrText xml:space="preserve">PAGE  </w:instrText>
    </w:r>
    <w:r>
      <w:fldChar w:fldCharType="separate"/>
    </w:r>
    <w:r>
      <w:rPr>
        <w:rStyle w:val="8"/>
      </w:rPr>
      <w:t>15</w:t>
    </w:r>
    <w:r>
      <w:fldChar w:fldCharType="end"/>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6D5"/>
    <w:rsid w:val="000F4EFF"/>
    <w:rsid w:val="00101617"/>
    <w:rsid w:val="00152E8E"/>
    <w:rsid w:val="001B25EF"/>
    <w:rsid w:val="002601B7"/>
    <w:rsid w:val="002D3053"/>
    <w:rsid w:val="002F5456"/>
    <w:rsid w:val="0035215C"/>
    <w:rsid w:val="00542F2B"/>
    <w:rsid w:val="00655A9F"/>
    <w:rsid w:val="00674AAD"/>
    <w:rsid w:val="00812744"/>
    <w:rsid w:val="00893688"/>
    <w:rsid w:val="008D7DF3"/>
    <w:rsid w:val="00947618"/>
    <w:rsid w:val="009547D3"/>
    <w:rsid w:val="00A5610B"/>
    <w:rsid w:val="00A82979"/>
    <w:rsid w:val="00AB074B"/>
    <w:rsid w:val="00C92B4D"/>
    <w:rsid w:val="00C95937"/>
    <w:rsid w:val="00C974FF"/>
    <w:rsid w:val="00CC5621"/>
    <w:rsid w:val="00D93C3C"/>
    <w:rsid w:val="00E32669"/>
    <w:rsid w:val="00F70D20"/>
    <w:rsid w:val="00FC36D5"/>
    <w:rsid w:val="1CE44F90"/>
    <w:rsid w:val="23481A1A"/>
    <w:rsid w:val="F96BB4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alloon Text"/>
    <w:basedOn w:val="1"/>
    <w:link w:val="9"/>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character" w:styleId="8">
    <w:name w:val="page number"/>
    <w:qFormat/>
    <w:uiPriority w:val="0"/>
  </w:style>
  <w:style w:type="character" w:customStyle="1" w:styleId="9">
    <w:name w:val="批注框文本 Char"/>
    <w:basedOn w:val="7"/>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embeddings/oleObject1.bin"/></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false"/>
    </c:title>
    <c:autoTitleDeleted val="false"/>
    <c:plotArea>
      <c:layout/>
      <c:pieChart>
        <c:varyColors val="true"/>
        <c:ser>
          <c:idx val="0"/>
          <c:order val="0"/>
          <c:tx>
            <c:strRef>
              <c:f>Sheet1!$B$1</c:f>
              <c:strCache>
                <c:ptCount val="1"/>
                <c:pt idx="0">
                  <c:v>收入</c:v>
                </c:pt>
              </c:strCache>
            </c:strRef>
          </c:tx>
          <c:explosion val="0"/>
          <c:dPt>
            <c:idx val="0"/>
            <c:bubble3D val="false"/>
          </c:dPt>
          <c:dPt>
            <c:idx val="1"/>
            <c:bubble3D val="false"/>
          </c:dPt>
          <c:dPt>
            <c:idx val="2"/>
            <c:bubble3D val="false"/>
          </c:dPt>
          <c:dPt>
            <c:idx val="3"/>
            <c:bubble3D val="false"/>
          </c:dPt>
          <c:dPt>
            <c:idx val="4"/>
            <c:bubble3D val="false"/>
          </c:dPt>
          <c:dPt>
            <c:idx val="5"/>
            <c:bubble3D val="false"/>
          </c:dPt>
          <c:dLbls>
            <c:numFmt formatCode="0.00%" sourceLinked="false"/>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1913.28</c:v>
                </c:pt>
                <c:pt idx="1">
                  <c:v>0</c:v>
                </c:pt>
                <c:pt idx="2">
                  <c:v>0</c:v>
                </c:pt>
                <c:pt idx="3">
                  <c:v>0</c:v>
                </c:pt>
                <c:pt idx="4">
                  <c:v>0</c:v>
                </c:pt>
                <c:pt idx="5">
                  <c:v>0.01</c:v>
                </c:pt>
              </c:numCache>
            </c:numRef>
          </c:val>
        </c:ser>
        <c:dLbls>
          <c:showLegendKey val="false"/>
          <c:showVal val="true"/>
          <c:showCatName val="false"/>
          <c:showSerName val="false"/>
          <c:showPercent val="false"/>
          <c:showBubbleSize val="false"/>
          <c:showLeaderLines val="true"/>
        </c:dLbls>
        <c:firstSliceAng val="0"/>
      </c:pieChart>
    </c:plotArea>
    <c:legend>
      <c:legendPos val="r"/>
      <c:layout/>
      <c:overlay val="false"/>
      <c:txPr>
        <a:bodyPr rot="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legend>
    <c:plotVisOnly val="true"/>
    <c:dispBlanksAs val="zero"/>
    <c:showDLblsOverMax val="false"/>
  </c:chart>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false"/>
      <c:spPr>
        <a:noFill/>
        <a:ln>
          <a:noFill/>
        </a:ln>
        <a:effectLst/>
      </c:spPr>
    </c:title>
    <c:autoTitleDeleted val="false"/>
    <c:plotArea>
      <c:layout/>
      <c:pieChart>
        <c:varyColors val="true"/>
        <c:ser>
          <c:idx val="0"/>
          <c:order val="0"/>
          <c:tx>
            <c:strRef>
              <c:f>Sheet0!$B$1</c:f>
              <c:strCache>
                <c:ptCount val="1"/>
                <c:pt idx="0">
                  <c:v>支出</c:v>
                </c:pt>
              </c:strCache>
            </c:strRef>
          </c:tx>
          <c:explosion val="0"/>
          <c:dPt>
            <c:idx val="0"/>
            <c:bubble3D val="false"/>
            <c:spPr>
              <a:solidFill>
                <a:srgbClr val="4F81BD"/>
              </a:solidFill>
              <a:ln w="19050">
                <a:solidFill>
                  <a:srgbClr val="FFFFFF"/>
                </a:solidFill>
              </a:ln>
              <a:effectLst/>
            </c:spPr>
          </c:dPt>
          <c:dPt>
            <c:idx val="1"/>
            <c:bubble3D val="false"/>
            <c:spPr>
              <a:solidFill>
                <a:srgbClr val="C0504D"/>
              </a:solidFill>
              <a:ln w="19050">
                <a:solidFill>
                  <a:srgbClr val="FFFFFF"/>
                </a:solidFill>
              </a:ln>
              <a:effectLst/>
            </c:spPr>
          </c:dPt>
          <c:dPt>
            <c:idx val="2"/>
            <c:bubble3D val="false"/>
            <c:spPr>
              <a:solidFill>
                <a:srgbClr val="9BBB59"/>
              </a:solidFill>
              <a:ln w="19050">
                <a:solidFill>
                  <a:srgbClr val="FFFFFF"/>
                </a:solidFill>
              </a:ln>
              <a:effectLst/>
            </c:spPr>
          </c:dPt>
          <c:dPt>
            <c:idx val="3"/>
            <c:bubble3D val="false"/>
            <c:spPr>
              <a:solidFill>
                <a:srgbClr val="8064A2"/>
              </a:solidFill>
              <a:ln w="19050">
                <a:solidFill>
                  <a:srgbClr val="FFFFFF"/>
                </a:solidFill>
              </a:ln>
              <a:effectLst/>
            </c:spPr>
          </c:dPt>
          <c:dPt>
            <c:idx val="4"/>
            <c:bubble3D val="false"/>
            <c:spPr>
              <a:solidFill>
                <a:srgbClr val="4BACC6"/>
              </a:solidFill>
              <a:ln w="19050">
                <a:solidFill>
                  <a:srgbClr val="FFFFFF"/>
                </a:solidFill>
              </a:ln>
              <a:effectLst/>
            </c:spPr>
          </c:dPt>
          <c:dLbls>
            <c:dLbl>
              <c:idx val="2"/>
              <c:layout>
                <c:manualLayout>
                  <c:x val="-0.0390037294011501"/>
                  <c:y val="0.0328271436107878"/>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dLbl>
              <c:idx val="4"/>
              <c:layout>
                <c:manualLayout>
                  <c:x val="0.0389887693586102"/>
                  <c:y val="0.0105112295100623"/>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numFmt formatCode="0.00%" sourceLinked="false"/>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1218.91</c:v>
                </c:pt>
                <c:pt idx="1">
                  <c:v>830.53</c:v>
                </c:pt>
                <c:pt idx="2">
                  <c:v>0</c:v>
                </c:pt>
                <c:pt idx="3">
                  <c:v>0</c:v>
                </c:pt>
                <c:pt idx="4">
                  <c:v>0</c:v>
                </c:pt>
              </c:numCache>
            </c:numRef>
          </c:val>
        </c:ser>
        <c:dLbls>
          <c:showLegendKey val="false"/>
          <c:showVal val="false"/>
          <c:showCatName val="false"/>
          <c:showSerName val="false"/>
          <c:showPercent val="true"/>
          <c:showBubbleSize val="false"/>
          <c:showLeaderLines val="true"/>
        </c:dLbls>
        <c:firstSliceAng val="0"/>
      </c:pieChart>
      <c:spPr>
        <a:noFill/>
        <a:ln>
          <a:noFill/>
        </a:ln>
        <a:effectLst/>
      </c:spPr>
    </c:plotArea>
    <c:legend>
      <c:legendPos val="b"/>
      <c:legendEntry>
        <c:idx val="0"/>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
    <c:plotVisOnly val="true"/>
    <c:dispBlanksAs val="zero"/>
    <c:showDLblsOverMax val="false"/>
  </c:chart>
  <c:spPr>
    <a:ln w="9525" cap="flat" cmpd="sng" algn="ctr">
      <a:solidFill>
        <a:srgbClr val="D9D9D9">
          <a:lumMod val="15000"/>
          <a:lumOff val="85000"/>
        </a:srgbClr>
      </a:solidFill>
      <a:prstDash val="solid"/>
      <a:round/>
    </a:ln>
    <a:effectLst/>
  </c:spPr>
  <c:txPr>
    <a:bodyPr/>
    <a:lstStyle/>
    <a:p>
      <a:pPr>
        <a:defRPr lang="zh-CN"/>
      </a:pPr>
    </a:p>
  </c:txPr>
  <c:externalData r:id="rId1">
    <c:autoUpdate val="false"/>
  </c:externalData>
</c:chartSpace>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14</Pages>
  <Words>708</Words>
  <Characters>4042</Characters>
  <Lines>33</Lines>
  <Paragraphs>9</Paragraphs>
  <TotalTime>1</TotalTime>
  <ScaleCrop>false</ScaleCrop>
  <LinksUpToDate>false</LinksUpToDate>
  <CharactersWithSpaces>4741</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2025-09-10T17:08:00Z</dcterms:created>
  <dc:creator>昊辰</dc:creator>
  <cp:lastModifiedBy>bmct-aktd</cp:lastModifiedBy>
  <dcterms:modified xsi:type="dcterms:W3CDTF">2025-09-10T17:27:20Z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KSOTemplateDocerSaveRecord">
    <vt:lpwstr>eyJoZGlkIjoiYzZkNzQ4ZWFiZmQ4NTRhOWRkZTk3YTMwMjlmMmZhYmUifQ==</vt:lpwstr>
  </property>
  <property fmtid="{D5CDD505-2E9C-101B-9397-08002B2CF9AE}" pid="4" name="ICV">
    <vt:lpwstr>58998245919B434689C92B3CA582C286_12</vt:lpwstr>
  </property>
</Properties>
</file>