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spacing w:line="560" w:lineRule="exact"/>
        <w:ind w:firstLine="560" w:firstLineChars="200"/>
        <w:rPr>
          <w:rFonts w:hint="eastAsia" w:ascii="楷体_GB2312" w:eastAsia="楷体_GB2312"/>
          <w:color w:val="000000"/>
          <w:sz w:val="32"/>
          <w:szCs w:val="32"/>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楷体_GB2312" w:eastAsia="楷体_GB2312"/>
          <w:color w:val="000000"/>
          <w:sz w:val="32"/>
          <w:szCs w:val="32"/>
        </w:rPr>
        <w:t>本单位性质、职责等情况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北京市交通委员会本级是负责本市城乡交通统筹发展、交通运输和交通基础设施综合管理的市政府组成部门。</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贯彻落实国家关于交通运输方面的法律法规、规章和政策，起草本市相关地方性法规草案、政府规章草案和政策措施，并组织实施。拟订交通运输发展战略，对交通运输行业改革与发展中的重大问题进行调查研究，并提出对策建议。</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组织编制本市交通基础设施建设和交通运输行业的中长期发展规划。参与编制综合交通规划、交通专项规划、城市轨道交通建设规划及相关规划实施的评估工作。负责大型城建项目交通影响评价的审核。负责市管道路建设项目规划设计方案中交通内容的审查。参与市级交通基础设施建设项目初步设计的审查。统筹推进重大交通基础设施建设，会同相关部门建立交通基础设施建设项目库。</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3.组织编制市级交通基础设施建设项目前期工作建议计划和年度建设建议计划。组织编制交通基础设施维修养护以及交通运输行业年度计划，并组织实施和监督管理。负责提出交通基础设施建设和维修养护财政性资金安排意见。参与交通发展建设投融资政策的研究和实施。负责城市轨道交通和其他公共交通特许经营项目的具体实施和监督管理工作。提出交通运输行业收费政策及标准的建议。</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4.负责推进区域交通一体化协同发展。负责本行政区域内铁路、民航和邮政等综合运输的协调工作。组织拟订各类重点交通运输服务保障方案，并监督实施。参与编制现代物流业发展战略和规划，并提出有关政策和标准建议。</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5.负责本市交通基础设施的监督管理和交通运输业的行业管理，拟订有关政策和标准。负责公路建设市场和道路、水路运输市场监督管理，协调推进交通运输产业发展。负责交通运输行业的行政许可和信用体系建设工作。指导交通运输行业节能减排工作。</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6.负责本市交通基础设施和交通运输行业安全生产的监督管理。负责交通运输安全应急方面的组织协调，协助有关部门调查处理交通运输行业重大安全事故。负责重大突发事件中的运输组织和交通设施保障。负责铁路监护道口安全的管理工作。承担北京市交通安全应急指挥部的具体工作。</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7.负责组织协调本市交通综合治理工作。负责统筹停车管理工作，负责互联网租赁自行车的行业管理。</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8.负责本市地方海事工作。</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9.制定本市交通运输科技和智能交通发展规划、年度计划、政策。组织指导交通运输信息化建设，推动智能交通系统建设。组织指导重大交通科技项目立项、研究、开发和成果推广、应用工作。</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10.负责本市交通运输行业的宣传教育工作，组织开展交通运输行业精神文明建设工作。负责交通运输行业对外交流与合作。</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11.指导本市交通运输综合执法工作。</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12.指导、协调和监督各区的交通运输工作。</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13.承担北京市国防动员委员会交通战备办公室工作。</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14.完成市委、市政府交办的其他任务。</w:t>
      </w:r>
    </w:p>
    <w:p>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（二）机构设置情况</w:t>
      </w:r>
    </w:p>
    <w:p>
      <w:pPr>
        <w:tabs>
          <w:tab w:val="center" w:pos="6979"/>
        </w:tabs>
        <w:spacing w:line="580" w:lineRule="exact"/>
        <w:ind w:firstLine="800" w:firstLineChars="250"/>
        <w:rPr>
          <w:rFonts w:hint="eastAsia" w:ascii="仿宋_GB2312" w:eastAsia="仿宋_GB2312"/>
          <w:sz w:val="28"/>
          <w:szCs w:val="28"/>
        </w:rPr>
      </w:pPr>
      <w:r>
        <w:rPr>
          <w:rFonts w:hint="eastAsia" w:ascii="仿宋_GB2312" w:eastAsia="仿宋_GB2312"/>
          <w:color w:val="000000"/>
          <w:sz w:val="32"/>
          <w:szCs w:val="32"/>
        </w:rPr>
        <w:t>根据《中共北京市委办公厅 北京市人民政府办公厅关于印发&lt;北京市交通委员会职能配置、内设机构和人员编制规定&gt;的通知》（京办字〔2019〕47号），北京市交通委员会本级内设处室39个，包括：办公室、法制处、研究室、综合规划处、发展计划处、行业监督处（行政审批服务处）、安全监督与应急处、宣传处、科技处、交通综合治理处、协同发展处、综合运输处、绿色交通发展处（北京市机动车调控管理办公室）、静态交通管理处、交通战备处、路政综合协调处（铁路道口管理办公室）、工程协调与市场监管处、工程设计处、城市道路建设处、公路建设处、城市道路管理处、公路管理处、治超工作处（农村交通办公室）、客运综合协调处、公共交通设施设备管理处、地面公交运营管理处、轨道交通运营管理处、出租（租赁）汽车管理处、道路客运管理处、货物运输管理处、水路运输管理处（北京市地方海事局）、机动车维修管理处、驾驶员培训管理处、财务处、人事处、机关党委（党建工作处）、机关纪委、工会、离退休干部处。</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1326522.58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293214.12</w:t>
      </w:r>
      <w:r>
        <w:rPr>
          <w:rFonts w:hint="eastAsia" w:ascii="仿宋_GB2312" w:eastAsia="仿宋_GB2312"/>
          <w:sz w:val="28"/>
          <w:szCs w:val="28"/>
        </w:rPr>
        <w:t>万元，增长</w:t>
      </w:r>
      <w:r>
        <w:rPr>
          <w:rFonts w:hint="eastAsia" w:ascii="仿宋_GB2312" w:eastAsia="仿宋_GB2312"/>
          <w:sz w:val="28"/>
          <w:szCs w:val="28"/>
          <w:lang w:val="en-US" w:eastAsia="zh-CN"/>
        </w:rPr>
        <w:t>28</w:t>
      </w:r>
      <w:r>
        <w:rPr>
          <w:rFonts w:ascii="仿宋_GB2312" w:eastAsia="仿宋_GB2312"/>
          <w:sz w:val="28"/>
          <w:szCs w:val="28"/>
        </w:rPr>
        <w:t>.</w:t>
      </w:r>
      <w:r>
        <w:rPr>
          <w:rFonts w:hint="eastAsia" w:ascii="仿宋_GB2312" w:eastAsia="仿宋_GB2312"/>
          <w:sz w:val="28"/>
          <w:szCs w:val="28"/>
          <w:lang w:val="en-US" w:eastAsia="zh-CN"/>
        </w:rPr>
        <w:t>38</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1293029.34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285850.03</w:t>
      </w:r>
      <w:r>
        <w:rPr>
          <w:rFonts w:hint="eastAsia" w:ascii="仿宋_GB2312" w:eastAsia="仿宋_GB2312"/>
          <w:sz w:val="28"/>
          <w:szCs w:val="28"/>
        </w:rPr>
        <w:t>万元，增长</w:t>
      </w:r>
      <w:r>
        <w:rPr>
          <w:rFonts w:hint="eastAsia" w:ascii="仿宋_GB2312" w:eastAsia="仿宋_GB2312"/>
          <w:sz w:val="28"/>
          <w:szCs w:val="28"/>
          <w:lang w:val="en-US" w:eastAsia="zh-CN"/>
        </w:rPr>
        <w:t>28.38</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60" w:firstLineChars="200"/>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1292789.81</w:t>
      </w:r>
      <w:r>
        <w:rPr>
          <w:rFonts w:hint="eastAsia" w:ascii="仿宋_GB2312" w:eastAsia="仿宋_GB2312"/>
          <w:sz w:val="28"/>
          <w:szCs w:val="28"/>
        </w:rPr>
        <w:t>万元，占收入合计的</w:t>
      </w:r>
      <w:r>
        <w:rPr>
          <w:rFonts w:hint="eastAsia" w:ascii="仿宋_GB2312" w:eastAsia="仿宋_GB2312"/>
          <w:sz w:val="28"/>
          <w:szCs w:val="28"/>
          <w:lang w:eastAsia="zh-CN"/>
        </w:rPr>
        <w:t>99.98%</w:t>
      </w:r>
      <w:r>
        <w:rPr>
          <w:rFonts w:hint="eastAsia" w:ascii="仿宋_GB2312" w:eastAsia="仿宋_GB2312"/>
          <w:sz w:val="28"/>
          <w:szCs w:val="28"/>
        </w:rPr>
        <w:t>。其中：一般公共预算财政拨款收入</w:t>
      </w:r>
      <w:r>
        <w:rPr>
          <w:rFonts w:ascii="仿宋_GB2312" w:eastAsia="仿宋_GB2312"/>
          <w:sz w:val="28"/>
          <w:szCs w:val="28"/>
        </w:rPr>
        <w:t>975515.81</w:t>
      </w:r>
      <w:r>
        <w:rPr>
          <w:rFonts w:hint="eastAsia" w:ascii="仿宋_GB2312" w:eastAsia="仿宋_GB2312"/>
          <w:sz w:val="28"/>
          <w:szCs w:val="28"/>
        </w:rPr>
        <w:t>万元，占收入合计的</w:t>
      </w:r>
      <w:r>
        <w:rPr>
          <w:rFonts w:hint="eastAsia" w:ascii="仿宋_GB2312" w:eastAsia="仿宋_GB2312"/>
          <w:sz w:val="28"/>
          <w:szCs w:val="28"/>
          <w:lang w:eastAsia="zh-CN"/>
        </w:rPr>
        <w:t>75.44</w:t>
      </w:r>
      <w:r>
        <w:rPr>
          <w:rFonts w:hint="eastAsia" w:ascii="仿宋_GB2312" w:eastAsia="仿宋_GB2312"/>
          <w:sz w:val="28"/>
          <w:szCs w:val="28"/>
        </w:rPr>
        <w:t>%；政府性基金预算财政拨款收入</w:t>
      </w:r>
      <w:r>
        <w:rPr>
          <w:rFonts w:ascii="仿宋_GB2312" w:eastAsia="仿宋_GB2312"/>
          <w:sz w:val="28"/>
          <w:szCs w:val="28"/>
        </w:rPr>
        <w:t>317274</w:t>
      </w:r>
      <w:r>
        <w:rPr>
          <w:rFonts w:hint="eastAsia" w:ascii="仿宋_GB2312" w:eastAsia="仿宋_GB2312"/>
          <w:sz w:val="28"/>
          <w:szCs w:val="28"/>
        </w:rPr>
        <w:t>万元，占收入合计的</w:t>
      </w:r>
      <w:r>
        <w:rPr>
          <w:rFonts w:hint="eastAsia" w:ascii="仿宋_GB2312" w:eastAsia="仿宋_GB2312"/>
          <w:sz w:val="28"/>
          <w:szCs w:val="28"/>
          <w:lang w:eastAsia="zh-CN"/>
        </w:rPr>
        <w:t>24.54</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239.53</w:t>
      </w:r>
      <w:r>
        <w:rPr>
          <w:rFonts w:hint="eastAsia" w:ascii="仿宋_GB2312" w:eastAsia="仿宋_GB2312"/>
          <w:sz w:val="28"/>
          <w:szCs w:val="28"/>
        </w:rPr>
        <w:t>万元，占收入合计的</w:t>
      </w:r>
      <w:r>
        <w:rPr>
          <w:rFonts w:hint="eastAsia" w:ascii="仿宋_GB2312" w:eastAsia="仿宋_GB2312"/>
          <w:sz w:val="28"/>
          <w:szCs w:val="28"/>
          <w:lang w:eastAsia="zh-CN"/>
        </w:rPr>
        <w:t>0.02</w:t>
      </w:r>
      <w:r>
        <w:rPr>
          <w:rFonts w:hint="eastAsia" w:ascii="仿宋_GB2312" w:eastAsia="仿宋_GB2312"/>
          <w:sz w:val="28"/>
          <w:szCs w:val="28"/>
        </w:rPr>
        <w:t>%。</w:t>
      </w:r>
    </w:p>
    <w:p>
      <w:pPr>
        <w:pStyle w:val="2"/>
        <w:jc w:val="center"/>
        <w:rPr>
          <w:rFonts w:hint="eastAsia"/>
        </w:rPr>
      </w:pPr>
      <w:r>
        <w:rPr>
          <w:rFonts w:hint="eastAsia" w:ascii="仿宋_GB2312" w:eastAsia="仿宋_GB2312"/>
          <w:color w:val="000000"/>
          <w:sz w:val="32"/>
        </w:rPr>
        <w:t>图1：收入决算</w:t>
      </w:r>
    </w:p>
    <w:p>
      <w:pPr>
        <w:pStyle w:val="3"/>
        <w:ind w:firstLine="420"/>
        <w:jc w:val="center"/>
      </w:pPr>
      <w:r>
        <w:drawing>
          <wp:inline distT="0" distB="0" distL="0" distR="0">
            <wp:extent cx="4036695" cy="2328545"/>
            <wp:effectExtent l="4445" t="4445" r="16510" b="1016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1113444.49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100112.38</w:t>
      </w:r>
      <w:r>
        <w:rPr>
          <w:rFonts w:hint="eastAsia" w:ascii="仿宋_GB2312" w:eastAsia="仿宋_GB2312"/>
          <w:sz w:val="28"/>
          <w:szCs w:val="28"/>
        </w:rPr>
        <w:t>万元，增长</w:t>
      </w:r>
      <w:r>
        <w:rPr>
          <w:rFonts w:hint="eastAsia" w:ascii="仿宋_GB2312" w:eastAsia="仿宋_GB2312"/>
          <w:sz w:val="28"/>
          <w:szCs w:val="28"/>
          <w:lang w:val="en-US" w:eastAsia="zh-CN"/>
        </w:rPr>
        <w:t>9.88</w:t>
      </w:r>
      <w:r>
        <w:rPr>
          <w:rFonts w:hint="eastAsia" w:ascii="仿宋_GB2312" w:eastAsia="仿宋_GB2312"/>
          <w:sz w:val="28"/>
          <w:szCs w:val="28"/>
        </w:rPr>
        <w:t>%，其中：基本支出</w:t>
      </w:r>
      <w:r>
        <w:rPr>
          <w:rFonts w:ascii="仿宋_GB2312" w:eastAsia="仿宋_GB2312"/>
          <w:sz w:val="28"/>
          <w:szCs w:val="28"/>
        </w:rPr>
        <w:t>16852.02</w:t>
      </w:r>
      <w:r>
        <w:rPr>
          <w:rFonts w:hint="eastAsia" w:ascii="仿宋_GB2312" w:eastAsia="仿宋_GB2312"/>
          <w:sz w:val="28"/>
          <w:szCs w:val="28"/>
        </w:rPr>
        <w:t>万元，占支出合计的</w:t>
      </w:r>
      <w:r>
        <w:rPr>
          <w:rFonts w:hint="eastAsia" w:ascii="仿宋_GB2312" w:eastAsia="仿宋_GB2312"/>
          <w:sz w:val="28"/>
          <w:szCs w:val="28"/>
          <w:lang w:eastAsia="zh-CN"/>
        </w:rPr>
        <w:t>1.51</w:t>
      </w:r>
      <w:r>
        <w:rPr>
          <w:rFonts w:hint="eastAsia" w:ascii="仿宋_GB2312" w:eastAsia="仿宋_GB2312"/>
          <w:sz w:val="28"/>
          <w:szCs w:val="28"/>
        </w:rPr>
        <w:t>%；项目支出</w:t>
      </w:r>
      <w:r>
        <w:rPr>
          <w:rFonts w:ascii="仿宋_GB2312" w:eastAsia="仿宋_GB2312"/>
          <w:sz w:val="28"/>
          <w:szCs w:val="28"/>
        </w:rPr>
        <w:t>1096592.47</w:t>
      </w:r>
      <w:r>
        <w:rPr>
          <w:rFonts w:hint="eastAsia" w:ascii="仿宋_GB2312" w:eastAsia="仿宋_GB2312"/>
          <w:sz w:val="28"/>
          <w:szCs w:val="28"/>
        </w:rPr>
        <w:t>万元，占支出合计的</w:t>
      </w:r>
      <w:r>
        <w:rPr>
          <w:rFonts w:hint="eastAsia" w:ascii="仿宋_GB2312" w:eastAsia="仿宋_GB2312"/>
          <w:sz w:val="28"/>
          <w:szCs w:val="28"/>
          <w:lang w:eastAsia="zh-CN"/>
        </w:rPr>
        <w:t>98.49</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2" name="图表 3" title="{{pieChart2}}"/>
            <wp:cNvGraphicFramePr>
              <a:graphicFrameLocks xmlns:a="http://schemas.openxmlformats.org/drawingml/2006/main" noChangeAspect="true"/>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1297850.33</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280332.54</w:t>
      </w:r>
      <w:r>
        <w:rPr>
          <w:rFonts w:hint="eastAsia" w:ascii="仿宋_GB2312" w:eastAsia="仿宋_GB2312"/>
          <w:sz w:val="28"/>
          <w:szCs w:val="28"/>
        </w:rPr>
        <w:t>万元，增长</w:t>
      </w:r>
      <w:r>
        <w:rPr>
          <w:rFonts w:hint="eastAsia" w:ascii="仿宋_GB2312" w:eastAsia="仿宋_GB2312"/>
          <w:sz w:val="28"/>
          <w:szCs w:val="28"/>
          <w:lang w:val="en-US" w:eastAsia="zh-CN"/>
        </w:rPr>
        <w:t>27.55%</w:t>
      </w:r>
      <w:r>
        <w:rPr>
          <w:rFonts w:hint="eastAsia" w:ascii="仿宋_GB2312" w:eastAsia="仿宋_GB2312"/>
          <w:sz w:val="28"/>
          <w:szCs w:val="28"/>
        </w:rPr>
        <w:t>。主要原因：</w:t>
      </w:r>
      <w:r>
        <w:rPr>
          <w:rFonts w:hint="eastAsia" w:ascii="仿宋_GB2312" w:eastAsia="仿宋_GB2312"/>
          <w:sz w:val="28"/>
          <w:szCs w:val="28"/>
          <w:lang w:val="en-US" w:eastAsia="zh-CN"/>
        </w:rPr>
        <w:t>2024年新增轨道交通更新改造项目280337万元，支出127379.56万元，结转下年152957.44万元。</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944441.09</w:t>
      </w:r>
      <w:r>
        <w:rPr>
          <w:rFonts w:hint="eastAsia" w:ascii="仿宋_GB2312" w:eastAsia="仿宋_GB2312"/>
          <w:sz w:val="28"/>
          <w:szCs w:val="28"/>
        </w:rPr>
        <w:t>万元，主要用于以下方面：</w:t>
      </w:r>
      <w:r>
        <w:rPr>
          <w:rFonts w:hint="eastAsia" w:ascii="仿宋_GB2312" w:hAnsi="Times New Roman" w:eastAsia="仿宋_GB2312" w:cs="Times New Roman"/>
          <w:sz w:val="28"/>
          <w:szCs w:val="28"/>
        </w:rPr>
        <w:t>国防支出</w:t>
      </w:r>
      <w:r>
        <w:rPr>
          <w:rFonts w:hint="eastAsia" w:ascii="仿宋_GB2312" w:eastAsia="仿宋_GB2312" w:cs="Times New Roman"/>
          <w:sz w:val="28"/>
          <w:szCs w:val="28"/>
          <w:lang w:val="en-US" w:eastAsia="zh-CN"/>
        </w:rPr>
        <w:t>390.72</w:t>
      </w:r>
      <w:r>
        <w:rPr>
          <w:rFonts w:hint="eastAsia" w:ascii="仿宋_GB2312" w:hAnsi="Times New Roman" w:eastAsia="仿宋_GB2312" w:cs="Times New Roman"/>
          <w:sz w:val="28"/>
          <w:szCs w:val="28"/>
        </w:rPr>
        <w:t>万元，占本年财政拨款支出</w:t>
      </w:r>
      <w:r>
        <w:rPr>
          <w:rFonts w:hint="eastAsia" w:ascii="仿宋_GB2312" w:hAnsi="Times New Roman" w:eastAsia="仿宋_GB2312" w:cs="Times New Roman"/>
          <w:sz w:val="28"/>
          <w:szCs w:val="28"/>
          <w:lang w:val="en-US" w:eastAsia="zh-CN"/>
        </w:rPr>
        <w:t>0.04</w:t>
      </w:r>
      <w:r>
        <w:rPr>
          <w:rFonts w:hint="eastAsia" w:ascii="仿宋_GB2312" w:hAnsi="Times New Roman" w:eastAsia="仿宋_GB2312" w:cs="Times New Roman"/>
          <w:sz w:val="28"/>
          <w:szCs w:val="28"/>
        </w:rPr>
        <w:t>%；教育支出</w:t>
      </w:r>
      <w:r>
        <w:rPr>
          <w:rFonts w:hint="eastAsia" w:ascii="仿宋_GB2312" w:eastAsia="仿宋_GB2312" w:cs="Times New Roman"/>
          <w:sz w:val="28"/>
          <w:szCs w:val="28"/>
          <w:lang w:val="en-US" w:eastAsia="zh-CN"/>
        </w:rPr>
        <w:t>138.85</w:t>
      </w:r>
      <w:r>
        <w:rPr>
          <w:rFonts w:hint="eastAsia" w:ascii="仿宋_GB2312" w:hAnsi="Times New Roman" w:eastAsia="仿宋_GB2312" w:cs="Times New Roman"/>
          <w:sz w:val="28"/>
          <w:szCs w:val="28"/>
        </w:rPr>
        <w:t>万元，占本年财政拨款支出</w:t>
      </w:r>
      <w:r>
        <w:rPr>
          <w:rFonts w:hint="eastAsia" w:ascii="仿宋_GB2312" w:hAnsi="Times New Roman" w:eastAsia="仿宋_GB2312" w:cs="Times New Roman"/>
          <w:sz w:val="28"/>
          <w:szCs w:val="28"/>
          <w:lang w:val="en-US" w:eastAsia="zh-CN"/>
        </w:rPr>
        <w:t>0.01</w:t>
      </w:r>
      <w:r>
        <w:rPr>
          <w:rFonts w:hint="eastAsia" w:ascii="仿宋_GB2312" w:hAnsi="Times New Roman" w:eastAsia="仿宋_GB2312" w:cs="Times New Roman"/>
          <w:sz w:val="28"/>
          <w:szCs w:val="28"/>
        </w:rPr>
        <w:t>%；社会保障和就业支出</w:t>
      </w:r>
      <w:r>
        <w:rPr>
          <w:rFonts w:hint="eastAsia" w:ascii="仿宋_GB2312" w:eastAsia="仿宋_GB2312" w:cs="Times New Roman"/>
          <w:sz w:val="28"/>
          <w:szCs w:val="28"/>
          <w:lang w:val="en-US" w:eastAsia="zh-CN"/>
        </w:rPr>
        <w:t>1950.81</w:t>
      </w:r>
      <w:r>
        <w:rPr>
          <w:rFonts w:hint="eastAsia" w:ascii="仿宋_GB2312" w:hAnsi="Times New Roman" w:eastAsia="仿宋_GB2312" w:cs="Times New Roman"/>
          <w:sz w:val="28"/>
          <w:szCs w:val="28"/>
        </w:rPr>
        <w:t>万元，占本年财政拨款支出</w:t>
      </w:r>
      <w:r>
        <w:rPr>
          <w:rFonts w:hint="eastAsia" w:ascii="仿宋_GB2312" w:hAnsi="Times New Roman" w:eastAsia="仿宋_GB2312" w:cs="Times New Roman"/>
          <w:sz w:val="28"/>
          <w:szCs w:val="28"/>
          <w:lang w:val="en-US" w:eastAsia="zh-CN"/>
        </w:rPr>
        <w:t>0.</w:t>
      </w:r>
      <w:r>
        <w:rPr>
          <w:rFonts w:hint="eastAsia" w:ascii="仿宋_GB2312" w:eastAsia="仿宋_GB2312" w:cs="Times New Roman"/>
          <w:sz w:val="28"/>
          <w:szCs w:val="28"/>
          <w:lang w:val="en-US" w:eastAsia="zh-CN"/>
        </w:rPr>
        <w:t>18</w:t>
      </w:r>
      <w:r>
        <w:rPr>
          <w:rFonts w:hint="eastAsia" w:ascii="仿宋_GB2312" w:hAnsi="Times New Roman" w:eastAsia="仿宋_GB2312" w:cs="Times New Roman"/>
          <w:sz w:val="28"/>
          <w:szCs w:val="28"/>
        </w:rPr>
        <w:t>%；卫生健康支出</w:t>
      </w:r>
      <w:r>
        <w:rPr>
          <w:rFonts w:hint="eastAsia" w:ascii="仿宋_GB2312" w:eastAsia="仿宋_GB2312" w:cs="Times New Roman"/>
          <w:sz w:val="28"/>
          <w:szCs w:val="28"/>
          <w:lang w:val="en-US" w:eastAsia="zh-CN"/>
        </w:rPr>
        <w:t>1355</w:t>
      </w:r>
      <w:r>
        <w:rPr>
          <w:rFonts w:hint="eastAsia" w:ascii="仿宋_GB2312" w:hAnsi="Times New Roman" w:eastAsia="仿宋_GB2312" w:cs="Times New Roman"/>
          <w:sz w:val="28"/>
          <w:szCs w:val="28"/>
        </w:rPr>
        <w:t>万元，占本年财政拨款支出</w:t>
      </w:r>
      <w:r>
        <w:rPr>
          <w:rFonts w:hint="eastAsia" w:ascii="仿宋_GB2312" w:hAnsi="Times New Roman" w:eastAsia="仿宋_GB2312" w:cs="Times New Roman"/>
          <w:sz w:val="28"/>
          <w:szCs w:val="28"/>
          <w:lang w:val="en-US" w:eastAsia="zh-CN"/>
        </w:rPr>
        <w:t>0.</w:t>
      </w:r>
      <w:r>
        <w:rPr>
          <w:rFonts w:hint="eastAsia" w:ascii="仿宋_GB2312" w:eastAsia="仿宋_GB2312" w:cs="Times New Roman"/>
          <w:sz w:val="28"/>
          <w:szCs w:val="28"/>
          <w:lang w:val="en-US" w:eastAsia="zh-CN"/>
        </w:rPr>
        <w:t>12</w:t>
      </w:r>
      <w:r>
        <w:rPr>
          <w:rFonts w:hint="eastAsia" w:ascii="仿宋_GB2312" w:hAnsi="Times New Roman" w:eastAsia="仿宋_GB2312" w:cs="Times New Roman"/>
          <w:sz w:val="28"/>
          <w:szCs w:val="28"/>
        </w:rPr>
        <w:t>%；节能环保支出</w:t>
      </w:r>
      <w:r>
        <w:rPr>
          <w:rFonts w:hint="eastAsia" w:ascii="仿宋_GB2312" w:eastAsia="仿宋_GB2312" w:cs="Times New Roman"/>
          <w:sz w:val="28"/>
          <w:szCs w:val="28"/>
          <w:lang w:val="en-US" w:eastAsia="zh-CN"/>
        </w:rPr>
        <w:t>76524.80</w:t>
      </w:r>
      <w:r>
        <w:rPr>
          <w:rFonts w:hint="eastAsia" w:ascii="仿宋_GB2312" w:hAnsi="Times New Roman" w:eastAsia="仿宋_GB2312" w:cs="Times New Roman"/>
          <w:sz w:val="28"/>
          <w:szCs w:val="28"/>
        </w:rPr>
        <w:t>万元，占本年财政拨款支出</w:t>
      </w:r>
      <w:r>
        <w:rPr>
          <w:rFonts w:hint="eastAsia" w:ascii="仿宋_GB2312" w:eastAsia="仿宋_GB2312" w:cs="Times New Roman"/>
          <w:sz w:val="28"/>
          <w:szCs w:val="28"/>
          <w:lang w:val="en-US" w:eastAsia="zh-CN"/>
        </w:rPr>
        <w:t>6.91</w:t>
      </w:r>
      <w:r>
        <w:rPr>
          <w:rFonts w:hint="eastAsia" w:ascii="仿宋_GB2312" w:hAnsi="Times New Roman" w:eastAsia="仿宋_GB2312" w:cs="Times New Roman"/>
          <w:sz w:val="28"/>
          <w:szCs w:val="28"/>
        </w:rPr>
        <w:t>%；城乡社区支出</w:t>
      </w:r>
      <w:r>
        <w:rPr>
          <w:rFonts w:hint="eastAsia" w:ascii="仿宋_GB2312" w:eastAsia="仿宋_GB2312" w:cs="Times New Roman"/>
          <w:sz w:val="28"/>
          <w:szCs w:val="28"/>
          <w:lang w:val="en-US" w:eastAsia="zh-CN"/>
        </w:rPr>
        <w:t>1025.63</w:t>
      </w:r>
      <w:r>
        <w:rPr>
          <w:rFonts w:hint="eastAsia" w:ascii="仿宋_GB2312" w:hAnsi="Times New Roman" w:eastAsia="仿宋_GB2312" w:cs="Times New Roman"/>
          <w:sz w:val="28"/>
          <w:szCs w:val="28"/>
        </w:rPr>
        <w:t>万元，占本年财政拨款支出</w:t>
      </w:r>
      <w:r>
        <w:rPr>
          <w:rFonts w:hint="eastAsia" w:ascii="仿宋_GB2312" w:hAnsi="Times New Roman" w:eastAsia="仿宋_GB2312" w:cs="Times New Roman"/>
          <w:sz w:val="28"/>
          <w:szCs w:val="28"/>
          <w:lang w:val="en-US" w:eastAsia="zh-CN"/>
        </w:rPr>
        <w:t>0.</w:t>
      </w:r>
      <w:r>
        <w:rPr>
          <w:rFonts w:hint="eastAsia" w:ascii="仿宋_GB2312" w:eastAsia="仿宋_GB2312" w:cs="Times New Roman"/>
          <w:sz w:val="28"/>
          <w:szCs w:val="28"/>
          <w:lang w:val="en-US" w:eastAsia="zh-CN"/>
        </w:rPr>
        <w:t>09</w:t>
      </w:r>
      <w:r>
        <w:rPr>
          <w:rFonts w:hint="eastAsia" w:ascii="仿宋_GB2312" w:hAnsi="Times New Roman" w:eastAsia="仿宋_GB2312" w:cs="Times New Roman"/>
          <w:sz w:val="28"/>
          <w:szCs w:val="28"/>
        </w:rPr>
        <w:t>%；交通运输支出</w:t>
      </w:r>
      <w:r>
        <w:rPr>
          <w:rFonts w:hint="eastAsia" w:ascii="仿宋_GB2312" w:eastAsia="仿宋_GB2312" w:cs="Times New Roman"/>
          <w:sz w:val="28"/>
          <w:szCs w:val="28"/>
          <w:lang w:val="en-US" w:eastAsia="zh-CN"/>
        </w:rPr>
        <w:t>863055.28</w:t>
      </w:r>
      <w:r>
        <w:rPr>
          <w:rFonts w:hint="eastAsia" w:ascii="仿宋_GB2312" w:hAnsi="Times New Roman" w:eastAsia="仿宋_GB2312" w:cs="Times New Roman"/>
          <w:sz w:val="28"/>
          <w:szCs w:val="28"/>
        </w:rPr>
        <w:t>万元，占本年财政拨款支出</w:t>
      </w:r>
      <w:r>
        <w:rPr>
          <w:rFonts w:hint="eastAsia" w:ascii="仿宋_GB2312" w:eastAsia="仿宋_GB2312" w:cs="Times New Roman"/>
          <w:sz w:val="28"/>
          <w:szCs w:val="28"/>
          <w:lang w:val="en-US" w:eastAsia="zh-CN"/>
        </w:rPr>
        <w:t>77.98</w:t>
      </w:r>
      <w:r>
        <w:rPr>
          <w:rFonts w:hint="eastAsia" w:ascii="仿宋_GB2312" w:hAnsi="Times New Roman" w:eastAsia="仿宋_GB2312" w:cs="Times New Roman"/>
          <w:sz w:val="28"/>
          <w:szCs w:val="28"/>
        </w:rPr>
        <w:t>%</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1</w:t>
      </w:r>
      <w:r>
        <w:rPr>
          <w:rFonts w:hint="eastAsia" w:ascii="仿宋_GB2312" w:hAnsi="Times New Roman" w:eastAsia="仿宋_GB2312" w:cs="Times New Roman"/>
          <w:sz w:val="28"/>
          <w:szCs w:val="28"/>
          <w:lang w:val="en-US" w:eastAsia="zh-CN"/>
        </w:rPr>
        <w:t>.</w:t>
      </w:r>
      <w:r>
        <w:rPr>
          <w:rFonts w:hint="eastAsia" w:ascii="仿宋_GB2312" w:hAnsi="Times New Roman" w:eastAsia="仿宋_GB2312" w:cs="Times New Roman"/>
          <w:sz w:val="28"/>
          <w:szCs w:val="28"/>
        </w:rPr>
        <w:t>“国防支出”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398.67</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hAnsi="Times New Roman" w:eastAsia="仿宋_GB2312" w:cs="Times New Roman"/>
          <w:sz w:val="28"/>
          <w:szCs w:val="28"/>
        </w:rPr>
        <w:t>202</w:t>
      </w:r>
      <w:r>
        <w:rPr>
          <w:rFonts w:hint="eastAsia" w:ascii="仿宋_GB2312" w:eastAsia="仿宋_GB2312" w:cs="Times New Roman"/>
          <w:sz w:val="28"/>
          <w:szCs w:val="28"/>
          <w:lang w:val="en-US" w:eastAsia="zh-CN"/>
        </w:rPr>
        <w:t>4</w:t>
      </w:r>
      <w:r>
        <w:rPr>
          <w:rFonts w:hint="eastAsia" w:ascii="仿宋_GB2312" w:hAnsi="Times New Roman" w:eastAsia="仿宋_GB2312" w:cs="Times New Roman"/>
          <w:sz w:val="28"/>
          <w:szCs w:val="28"/>
        </w:rPr>
        <w:t>年度决算</w:t>
      </w:r>
      <w:r>
        <w:rPr>
          <w:rFonts w:hint="eastAsia" w:ascii="仿宋_GB2312" w:eastAsia="仿宋_GB2312" w:cs="Times New Roman"/>
          <w:sz w:val="28"/>
          <w:szCs w:val="28"/>
          <w:lang w:val="en-US" w:eastAsia="zh-CN"/>
        </w:rPr>
        <w:t>390.72</w:t>
      </w:r>
      <w:r>
        <w:rPr>
          <w:rFonts w:hint="eastAsia" w:ascii="仿宋_GB2312" w:hAnsi="Times New Roman" w:eastAsia="仿宋_GB2312" w:cs="Times New Roman"/>
          <w:sz w:val="28"/>
          <w:szCs w:val="28"/>
        </w:rPr>
        <w:t>万元，</w:t>
      </w:r>
      <w:r>
        <w:rPr>
          <w:rFonts w:hint="eastAsia" w:ascii="仿宋_GB2312" w:eastAsia="仿宋_GB2312"/>
          <w:sz w:val="28"/>
          <w:szCs w:val="28"/>
          <w:lang w:eastAsia="zh-CN"/>
        </w:rPr>
        <w:t>完成年初预算的</w:t>
      </w:r>
      <w:r>
        <w:rPr>
          <w:rFonts w:hint="eastAsia" w:ascii="仿宋_GB2312" w:eastAsia="仿宋_GB2312" w:cs="Times New Roman"/>
          <w:sz w:val="28"/>
          <w:szCs w:val="28"/>
          <w:lang w:val="en-US" w:eastAsia="zh-CN"/>
        </w:rPr>
        <w:t>98</w:t>
      </w:r>
      <w:r>
        <w:rPr>
          <w:rFonts w:hint="eastAsia" w:ascii="仿宋_GB2312" w:hAnsi="Times New Roman" w:eastAsia="仿宋_GB2312" w:cs="Times New Roman"/>
          <w:sz w:val="28"/>
          <w:szCs w:val="28"/>
        </w:rPr>
        <w:t>%。其中：</w:t>
      </w:r>
    </w:p>
    <w:p>
      <w:pPr>
        <w:spacing w:line="580" w:lineRule="exact"/>
        <w:ind w:firstLine="560" w:firstLineChars="200"/>
        <w:rPr>
          <w:rFonts w:ascii="仿宋_GB2312" w:eastAsia="仿宋_GB2312"/>
          <w:sz w:val="28"/>
          <w:szCs w:val="28"/>
        </w:rPr>
      </w:pPr>
      <w:r>
        <w:rPr>
          <w:rFonts w:hint="eastAsia" w:ascii="仿宋_GB2312" w:hAnsi="Times New Roman" w:eastAsia="仿宋_GB2312" w:cs="Times New Roman"/>
          <w:sz w:val="28"/>
          <w:szCs w:val="28"/>
        </w:rPr>
        <w:t>“国防动员”</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398.67</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hAnsi="Times New Roman" w:eastAsia="仿宋_GB2312" w:cs="Times New Roman"/>
          <w:sz w:val="28"/>
          <w:szCs w:val="28"/>
        </w:rPr>
        <w:t>202</w:t>
      </w:r>
      <w:r>
        <w:rPr>
          <w:rFonts w:hint="eastAsia" w:ascii="仿宋_GB2312" w:eastAsia="仿宋_GB2312" w:cs="Times New Roman"/>
          <w:sz w:val="28"/>
          <w:szCs w:val="28"/>
          <w:lang w:val="en-US" w:eastAsia="zh-CN"/>
        </w:rPr>
        <w:t>4</w:t>
      </w:r>
      <w:r>
        <w:rPr>
          <w:rFonts w:hint="eastAsia" w:ascii="仿宋_GB2312" w:hAnsi="Times New Roman" w:eastAsia="仿宋_GB2312" w:cs="Times New Roman"/>
          <w:sz w:val="28"/>
          <w:szCs w:val="28"/>
        </w:rPr>
        <w:t>年度决算</w:t>
      </w:r>
      <w:r>
        <w:rPr>
          <w:rFonts w:hint="eastAsia" w:ascii="仿宋_GB2312" w:eastAsia="仿宋_GB2312" w:cs="Times New Roman"/>
          <w:sz w:val="28"/>
          <w:szCs w:val="28"/>
          <w:lang w:val="en-US" w:eastAsia="zh-CN"/>
        </w:rPr>
        <w:t>390.72</w:t>
      </w:r>
      <w:r>
        <w:rPr>
          <w:rFonts w:hint="eastAsia" w:ascii="仿宋_GB2312" w:hAnsi="Times New Roman" w:eastAsia="仿宋_GB2312" w:cs="Times New Roman"/>
          <w:sz w:val="28"/>
          <w:szCs w:val="28"/>
        </w:rPr>
        <w:t>万元，</w:t>
      </w:r>
      <w:r>
        <w:rPr>
          <w:rFonts w:hint="eastAsia" w:ascii="仿宋_GB2312" w:eastAsia="仿宋_GB2312"/>
          <w:sz w:val="28"/>
          <w:szCs w:val="28"/>
          <w:lang w:eastAsia="zh-CN"/>
        </w:rPr>
        <w:t>完成年初预算的</w:t>
      </w:r>
      <w:r>
        <w:rPr>
          <w:rFonts w:hint="eastAsia" w:ascii="仿宋_GB2312" w:eastAsia="仿宋_GB2312" w:cs="Times New Roman"/>
          <w:sz w:val="28"/>
          <w:szCs w:val="28"/>
          <w:lang w:val="en-US" w:eastAsia="zh-CN"/>
        </w:rPr>
        <w:t>98</w:t>
      </w:r>
      <w:r>
        <w:rPr>
          <w:rFonts w:hint="eastAsia" w:ascii="仿宋_GB2312" w:hAnsi="Times New Roman" w:eastAsia="仿宋_GB2312" w:cs="Times New Roman"/>
          <w:sz w:val="28"/>
          <w:szCs w:val="28"/>
        </w:rPr>
        <w:t>%。</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2</w:t>
      </w:r>
      <w:r>
        <w:rPr>
          <w:rFonts w:hint="eastAsia" w:ascii="仿宋_GB2312" w:hAnsi="Times New Roman" w:eastAsia="仿宋_GB2312" w:cs="Times New Roman"/>
          <w:sz w:val="28"/>
          <w:szCs w:val="28"/>
          <w:lang w:val="en-US" w:eastAsia="zh-CN"/>
        </w:rPr>
        <w:t>.</w:t>
      </w:r>
      <w:r>
        <w:rPr>
          <w:rFonts w:hint="eastAsia" w:ascii="仿宋_GB2312" w:hAnsi="Times New Roman" w:eastAsia="仿宋_GB2312" w:cs="Times New Roman"/>
          <w:sz w:val="28"/>
          <w:szCs w:val="28"/>
        </w:rPr>
        <w:t>“教育支出”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151</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hAnsi="Times New Roman" w:eastAsia="仿宋_GB2312" w:cs="Times New Roman"/>
          <w:sz w:val="28"/>
          <w:szCs w:val="28"/>
        </w:rPr>
        <w:t>202</w:t>
      </w:r>
      <w:r>
        <w:rPr>
          <w:rFonts w:hint="eastAsia" w:ascii="仿宋_GB2312" w:eastAsia="仿宋_GB2312" w:cs="Times New Roman"/>
          <w:sz w:val="28"/>
          <w:szCs w:val="28"/>
          <w:lang w:val="en-US" w:eastAsia="zh-CN"/>
        </w:rPr>
        <w:t>4</w:t>
      </w:r>
      <w:r>
        <w:rPr>
          <w:rFonts w:hint="eastAsia" w:ascii="仿宋_GB2312" w:hAnsi="Times New Roman" w:eastAsia="仿宋_GB2312" w:cs="Times New Roman"/>
          <w:sz w:val="28"/>
          <w:szCs w:val="28"/>
        </w:rPr>
        <w:t>年度决算</w:t>
      </w:r>
      <w:r>
        <w:rPr>
          <w:rFonts w:hint="eastAsia" w:ascii="仿宋_GB2312" w:eastAsia="仿宋_GB2312" w:cs="Times New Roman"/>
          <w:sz w:val="28"/>
          <w:szCs w:val="28"/>
          <w:lang w:val="en-US" w:eastAsia="zh-CN"/>
        </w:rPr>
        <w:t>138.85</w:t>
      </w:r>
      <w:r>
        <w:rPr>
          <w:rFonts w:hint="eastAsia" w:ascii="仿宋_GB2312" w:hAnsi="Times New Roman" w:eastAsia="仿宋_GB2312" w:cs="Times New Roman"/>
          <w:sz w:val="28"/>
          <w:szCs w:val="28"/>
        </w:rPr>
        <w:t>万元</w:t>
      </w:r>
      <w:r>
        <w:rPr>
          <w:rFonts w:hint="eastAsia" w:ascii="仿宋_GB2312" w:eastAsia="仿宋_GB2312" w:cs="Times New Roman"/>
          <w:sz w:val="28"/>
          <w:szCs w:val="28"/>
          <w:lang w:val="en-US" w:eastAsia="zh-CN"/>
        </w:rPr>
        <w:t>，</w:t>
      </w:r>
      <w:r>
        <w:rPr>
          <w:rFonts w:hint="eastAsia" w:ascii="仿宋_GB2312" w:eastAsia="仿宋_GB2312"/>
          <w:sz w:val="28"/>
          <w:szCs w:val="28"/>
          <w:lang w:eastAsia="zh-CN"/>
        </w:rPr>
        <w:t>完成年初预算的</w:t>
      </w:r>
      <w:r>
        <w:rPr>
          <w:rFonts w:hint="eastAsia" w:ascii="仿宋_GB2312" w:eastAsia="仿宋_GB2312" w:cs="Times New Roman"/>
          <w:sz w:val="28"/>
          <w:szCs w:val="28"/>
          <w:lang w:val="en-US" w:eastAsia="zh-CN"/>
        </w:rPr>
        <w:t>91.95</w:t>
      </w:r>
      <w:r>
        <w:rPr>
          <w:rFonts w:hint="eastAsia" w:ascii="仿宋_GB2312" w:hAnsi="Times New Roman" w:eastAsia="仿宋_GB2312" w:cs="Times New Roman"/>
          <w:sz w:val="28"/>
          <w:szCs w:val="28"/>
        </w:rPr>
        <w:t>%。其中：</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hAnsi="Times New Roman" w:eastAsia="仿宋_GB2312" w:cs="Times New Roman"/>
          <w:color w:val="auto"/>
          <w:sz w:val="28"/>
          <w:szCs w:val="28"/>
        </w:rPr>
      </w:pPr>
      <w:r>
        <w:rPr>
          <w:rFonts w:hint="eastAsia" w:ascii="仿宋_GB2312" w:hAnsi="Times New Roman" w:eastAsia="仿宋_GB2312" w:cs="Times New Roman"/>
          <w:sz w:val="28"/>
          <w:szCs w:val="28"/>
        </w:rPr>
        <w:t>“进修及培训”</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151</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hAnsi="Times New Roman" w:eastAsia="仿宋_GB2312" w:cs="Times New Roman"/>
          <w:sz w:val="28"/>
          <w:szCs w:val="28"/>
        </w:rPr>
        <w:t>202</w:t>
      </w:r>
      <w:r>
        <w:rPr>
          <w:rFonts w:hint="eastAsia" w:ascii="仿宋_GB2312" w:eastAsia="仿宋_GB2312" w:cs="Times New Roman"/>
          <w:sz w:val="28"/>
          <w:szCs w:val="28"/>
          <w:lang w:val="en-US" w:eastAsia="zh-CN"/>
        </w:rPr>
        <w:t>4</w:t>
      </w:r>
      <w:r>
        <w:rPr>
          <w:rFonts w:hint="eastAsia" w:ascii="仿宋_GB2312" w:hAnsi="Times New Roman" w:eastAsia="仿宋_GB2312" w:cs="Times New Roman"/>
          <w:sz w:val="28"/>
          <w:szCs w:val="28"/>
        </w:rPr>
        <w:t>年度决算</w:t>
      </w:r>
      <w:r>
        <w:rPr>
          <w:rFonts w:hint="eastAsia" w:ascii="仿宋_GB2312" w:eastAsia="仿宋_GB2312" w:cs="Times New Roman"/>
          <w:sz w:val="28"/>
          <w:szCs w:val="28"/>
          <w:lang w:val="en-US" w:eastAsia="zh-CN"/>
        </w:rPr>
        <w:t>138.85</w:t>
      </w:r>
      <w:r>
        <w:rPr>
          <w:rFonts w:hint="eastAsia" w:ascii="仿宋_GB2312" w:hAnsi="Times New Roman" w:eastAsia="仿宋_GB2312" w:cs="Times New Roman"/>
          <w:sz w:val="28"/>
          <w:szCs w:val="28"/>
        </w:rPr>
        <w:t>万元</w:t>
      </w:r>
      <w:r>
        <w:rPr>
          <w:rFonts w:hint="eastAsia" w:ascii="仿宋_GB2312" w:eastAsia="仿宋_GB2312" w:cs="Times New Roman"/>
          <w:sz w:val="28"/>
          <w:szCs w:val="28"/>
          <w:lang w:eastAsia="zh-CN"/>
        </w:rPr>
        <w:t>，</w:t>
      </w:r>
      <w:r>
        <w:rPr>
          <w:rFonts w:hint="eastAsia" w:ascii="仿宋_GB2312" w:eastAsia="仿宋_GB2312"/>
          <w:sz w:val="28"/>
          <w:szCs w:val="28"/>
          <w:lang w:eastAsia="zh-CN"/>
        </w:rPr>
        <w:t>完成年初预算的</w:t>
      </w:r>
      <w:r>
        <w:rPr>
          <w:rFonts w:hint="eastAsia" w:ascii="仿宋_GB2312" w:eastAsia="仿宋_GB2312" w:cs="Times New Roman"/>
          <w:sz w:val="28"/>
          <w:szCs w:val="28"/>
          <w:lang w:val="en-US" w:eastAsia="zh-CN"/>
        </w:rPr>
        <w:t>91.95</w:t>
      </w:r>
      <w:r>
        <w:rPr>
          <w:rFonts w:hint="eastAsia" w:ascii="仿宋_GB2312" w:hAnsi="Times New Roman" w:eastAsia="仿宋_GB2312" w:cs="Times New Roman"/>
          <w:sz w:val="28"/>
          <w:szCs w:val="28"/>
        </w:rPr>
        <w:t>%。主要原因：</w:t>
      </w:r>
      <w:r>
        <w:rPr>
          <w:rFonts w:hint="eastAsia" w:ascii="仿宋_GB2312" w:eastAsia="仿宋_GB2312" w:cs="Times New Roman"/>
          <w:sz w:val="28"/>
          <w:szCs w:val="28"/>
          <w:lang w:eastAsia="zh-CN"/>
        </w:rPr>
        <w:t>按要求压减个别</w:t>
      </w:r>
      <w:r>
        <w:rPr>
          <w:rFonts w:hint="eastAsia" w:ascii="仿宋_GB2312" w:eastAsia="仿宋_GB2312" w:cs="Times New Roman"/>
          <w:color w:val="auto"/>
          <w:sz w:val="28"/>
          <w:szCs w:val="28"/>
          <w:lang w:eastAsia="zh-CN"/>
        </w:rPr>
        <w:t>培训安排</w:t>
      </w:r>
      <w:r>
        <w:rPr>
          <w:rFonts w:hint="eastAsia" w:ascii="仿宋_GB2312" w:hAnsi="Times New Roman" w:eastAsia="仿宋_GB2312" w:cs="Times New Roman"/>
          <w:color w:val="auto"/>
          <w:sz w:val="28"/>
          <w:szCs w:val="28"/>
        </w:rPr>
        <w:t>。</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3</w:t>
      </w:r>
      <w:r>
        <w:rPr>
          <w:rFonts w:hint="eastAsia" w:ascii="仿宋_GB2312" w:hAnsi="Times New Roman" w:eastAsia="仿宋_GB2312" w:cs="Times New Roman"/>
          <w:sz w:val="28"/>
          <w:szCs w:val="28"/>
          <w:lang w:val="en-US" w:eastAsia="zh-CN"/>
        </w:rPr>
        <w:t>.</w:t>
      </w:r>
      <w:r>
        <w:rPr>
          <w:rFonts w:hint="eastAsia" w:ascii="仿宋_GB2312" w:hAnsi="Times New Roman" w:eastAsia="仿宋_GB2312" w:cs="Times New Roman"/>
          <w:sz w:val="28"/>
          <w:szCs w:val="28"/>
        </w:rPr>
        <w:t>“社会保障和就业支出”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1945.74</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hAnsi="Times New Roman" w:eastAsia="仿宋_GB2312" w:cs="Times New Roman"/>
          <w:sz w:val="28"/>
          <w:szCs w:val="28"/>
        </w:rPr>
        <w:t>202</w:t>
      </w:r>
      <w:r>
        <w:rPr>
          <w:rFonts w:hint="eastAsia" w:ascii="仿宋_GB2312" w:eastAsia="仿宋_GB2312" w:cs="Times New Roman"/>
          <w:sz w:val="28"/>
          <w:szCs w:val="28"/>
          <w:lang w:val="en-US" w:eastAsia="zh-CN"/>
        </w:rPr>
        <w:t>4</w:t>
      </w:r>
      <w:r>
        <w:rPr>
          <w:rFonts w:hint="eastAsia" w:ascii="仿宋_GB2312" w:hAnsi="Times New Roman" w:eastAsia="仿宋_GB2312" w:cs="Times New Roman"/>
          <w:sz w:val="28"/>
          <w:szCs w:val="28"/>
        </w:rPr>
        <w:t>年度决算</w:t>
      </w:r>
      <w:r>
        <w:rPr>
          <w:rFonts w:hint="eastAsia" w:ascii="仿宋_GB2312" w:eastAsia="仿宋_GB2312" w:cs="Times New Roman"/>
          <w:sz w:val="28"/>
          <w:szCs w:val="28"/>
          <w:lang w:val="en-US" w:eastAsia="zh-CN"/>
        </w:rPr>
        <w:t>1950.81</w:t>
      </w:r>
      <w:r>
        <w:rPr>
          <w:rFonts w:hint="eastAsia" w:ascii="仿宋_GB2312" w:hAnsi="Times New Roman" w:eastAsia="仿宋_GB2312" w:cs="Times New Roman"/>
          <w:sz w:val="28"/>
          <w:szCs w:val="28"/>
        </w:rPr>
        <w:t>万元，</w:t>
      </w:r>
      <w:r>
        <w:rPr>
          <w:rFonts w:hint="eastAsia" w:ascii="仿宋_GB2312" w:eastAsia="仿宋_GB2312"/>
          <w:sz w:val="28"/>
          <w:szCs w:val="28"/>
          <w:lang w:eastAsia="zh-CN"/>
        </w:rPr>
        <w:t>完成年初预算的</w:t>
      </w:r>
      <w:r>
        <w:rPr>
          <w:rFonts w:hint="eastAsia" w:ascii="仿宋_GB2312" w:eastAsia="仿宋_GB2312" w:cs="Times New Roman"/>
          <w:sz w:val="28"/>
          <w:szCs w:val="28"/>
          <w:lang w:val="en-US" w:eastAsia="zh-CN"/>
        </w:rPr>
        <w:t>100.26</w:t>
      </w:r>
      <w:r>
        <w:rPr>
          <w:rFonts w:hint="eastAsia" w:ascii="仿宋_GB2312" w:hAnsi="Times New Roman" w:eastAsia="仿宋_GB2312" w:cs="Times New Roman"/>
          <w:sz w:val="28"/>
          <w:szCs w:val="28"/>
        </w:rPr>
        <w:t>%。其中：</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“行政事业单位养老支出”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1945.74</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hAnsi="Times New Roman" w:eastAsia="仿宋_GB2312" w:cs="Times New Roman"/>
          <w:sz w:val="28"/>
          <w:szCs w:val="28"/>
        </w:rPr>
        <w:t>202</w:t>
      </w:r>
      <w:r>
        <w:rPr>
          <w:rFonts w:hint="eastAsia" w:ascii="仿宋_GB2312" w:eastAsia="仿宋_GB2312" w:cs="Times New Roman"/>
          <w:sz w:val="28"/>
          <w:szCs w:val="28"/>
          <w:lang w:val="en-US" w:eastAsia="zh-CN"/>
        </w:rPr>
        <w:t>4</w:t>
      </w:r>
      <w:r>
        <w:rPr>
          <w:rFonts w:hint="eastAsia" w:ascii="仿宋_GB2312" w:hAnsi="Times New Roman" w:eastAsia="仿宋_GB2312" w:cs="Times New Roman"/>
          <w:sz w:val="28"/>
          <w:szCs w:val="28"/>
        </w:rPr>
        <w:t>年度决算</w:t>
      </w:r>
      <w:r>
        <w:rPr>
          <w:rFonts w:hint="eastAsia" w:ascii="仿宋_GB2312" w:eastAsia="仿宋_GB2312" w:cs="Times New Roman"/>
          <w:sz w:val="28"/>
          <w:szCs w:val="28"/>
          <w:lang w:val="en-US" w:eastAsia="zh-CN"/>
        </w:rPr>
        <w:t>1950.81</w:t>
      </w:r>
      <w:r>
        <w:rPr>
          <w:rFonts w:hint="eastAsia" w:ascii="仿宋_GB2312" w:hAnsi="Times New Roman" w:eastAsia="仿宋_GB2312" w:cs="Times New Roman"/>
          <w:sz w:val="28"/>
          <w:szCs w:val="28"/>
        </w:rPr>
        <w:t>万元，</w:t>
      </w:r>
      <w:r>
        <w:rPr>
          <w:rFonts w:hint="eastAsia" w:ascii="仿宋_GB2312" w:eastAsia="仿宋_GB2312"/>
          <w:sz w:val="28"/>
          <w:szCs w:val="28"/>
          <w:lang w:eastAsia="zh-CN"/>
        </w:rPr>
        <w:t>完成年初预算的</w:t>
      </w:r>
      <w:r>
        <w:rPr>
          <w:rFonts w:hint="eastAsia" w:ascii="仿宋_GB2312" w:eastAsia="仿宋_GB2312" w:cs="Times New Roman"/>
          <w:sz w:val="28"/>
          <w:szCs w:val="28"/>
          <w:lang w:val="en-US" w:eastAsia="zh-CN"/>
        </w:rPr>
        <w:t>100.26</w:t>
      </w:r>
      <w:r>
        <w:rPr>
          <w:rFonts w:hint="eastAsia" w:ascii="仿宋_GB2312" w:hAnsi="Times New Roman" w:eastAsia="仿宋_GB2312" w:cs="Times New Roman"/>
          <w:sz w:val="28"/>
          <w:szCs w:val="28"/>
        </w:rPr>
        <w:t>%。</w:t>
      </w:r>
      <w:r>
        <w:rPr>
          <w:rFonts w:hint="eastAsia" w:ascii="仿宋_GB2312" w:eastAsia="仿宋_GB2312" w:cs="Times New Roman"/>
          <w:sz w:val="28"/>
          <w:szCs w:val="28"/>
          <w:lang w:eastAsia="zh-CN"/>
        </w:rPr>
        <w:t>与年初预算数基本持平</w:t>
      </w:r>
      <w:r>
        <w:rPr>
          <w:rFonts w:hint="eastAsia" w:ascii="仿宋_GB2312" w:hAnsi="Times New Roman" w:eastAsia="仿宋_GB2312" w:cs="Times New Roman"/>
          <w:sz w:val="28"/>
          <w:szCs w:val="28"/>
        </w:rPr>
        <w:t>。</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4</w:t>
      </w:r>
      <w:r>
        <w:rPr>
          <w:rFonts w:hint="eastAsia" w:ascii="仿宋_GB2312" w:hAnsi="Times New Roman" w:eastAsia="仿宋_GB2312" w:cs="Times New Roman"/>
          <w:sz w:val="28"/>
          <w:szCs w:val="28"/>
          <w:lang w:val="en-US" w:eastAsia="zh-CN"/>
        </w:rPr>
        <w:t>.</w:t>
      </w:r>
      <w:r>
        <w:rPr>
          <w:rFonts w:hint="eastAsia" w:ascii="仿宋_GB2312" w:hAnsi="Times New Roman" w:eastAsia="仿宋_GB2312" w:cs="Times New Roman"/>
          <w:sz w:val="28"/>
          <w:szCs w:val="28"/>
        </w:rPr>
        <w:t>“卫生健康支出”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1355</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hAnsi="Times New Roman" w:eastAsia="仿宋_GB2312" w:cs="Times New Roman"/>
          <w:sz w:val="28"/>
          <w:szCs w:val="28"/>
        </w:rPr>
        <w:t>202</w:t>
      </w:r>
      <w:r>
        <w:rPr>
          <w:rFonts w:hint="eastAsia" w:ascii="仿宋_GB2312" w:eastAsia="仿宋_GB2312" w:cs="Times New Roman"/>
          <w:sz w:val="28"/>
          <w:szCs w:val="28"/>
          <w:lang w:val="en-US" w:eastAsia="zh-CN"/>
        </w:rPr>
        <w:t>4</w:t>
      </w:r>
      <w:r>
        <w:rPr>
          <w:rFonts w:hint="eastAsia" w:ascii="仿宋_GB2312" w:hAnsi="Times New Roman" w:eastAsia="仿宋_GB2312" w:cs="Times New Roman"/>
          <w:sz w:val="28"/>
          <w:szCs w:val="28"/>
        </w:rPr>
        <w:t>年度决算</w:t>
      </w:r>
      <w:r>
        <w:rPr>
          <w:rFonts w:hint="eastAsia" w:ascii="仿宋_GB2312" w:eastAsia="仿宋_GB2312" w:cs="Times New Roman"/>
          <w:sz w:val="28"/>
          <w:szCs w:val="28"/>
          <w:lang w:val="en-US" w:eastAsia="zh-CN"/>
        </w:rPr>
        <w:t>1355</w:t>
      </w:r>
      <w:r>
        <w:rPr>
          <w:rFonts w:hint="eastAsia" w:ascii="仿宋_GB2312" w:hAnsi="Times New Roman" w:eastAsia="仿宋_GB2312" w:cs="Times New Roman"/>
          <w:sz w:val="28"/>
          <w:szCs w:val="28"/>
        </w:rPr>
        <w:t>万元，</w:t>
      </w:r>
      <w:r>
        <w:rPr>
          <w:rFonts w:hint="eastAsia" w:ascii="仿宋_GB2312" w:eastAsia="仿宋_GB2312"/>
          <w:sz w:val="28"/>
          <w:szCs w:val="28"/>
          <w:lang w:eastAsia="zh-CN"/>
        </w:rPr>
        <w:t>完成年初预算的</w:t>
      </w:r>
      <w:r>
        <w:rPr>
          <w:rFonts w:hint="eastAsia" w:ascii="仿宋_GB2312" w:eastAsia="仿宋_GB2312" w:cs="Times New Roman"/>
          <w:sz w:val="28"/>
          <w:szCs w:val="28"/>
          <w:lang w:val="en-US" w:eastAsia="zh-CN"/>
        </w:rPr>
        <w:t>100</w:t>
      </w:r>
      <w:r>
        <w:rPr>
          <w:rFonts w:hint="eastAsia" w:ascii="仿宋_GB2312" w:hAnsi="Times New Roman" w:eastAsia="仿宋_GB2312" w:cs="Times New Roman"/>
          <w:sz w:val="28"/>
          <w:szCs w:val="28"/>
        </w:rPr>
        <w:t>%。其中：</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“行政事业单位医疗”</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1355</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hAnsi="Times New Roman" w:eastAsia="仿宋_GB2312" w:cs="Times New Roman"/>
          <w:sz w:val="28"/>
          <w:szCs w:val="28"/>
        </w:rPr>
        <w:t>202</w:t>
      </w:r>
      <w:r>
        <w:rPr>
          <w:rFonts w:hint="eastAsia" w:ascii="仿宋_GB2312" w:eastAsia="仿宋_GB2312" w:cs="Times New Roman"/>
          <w:sz w:val="28"/>
          <w:szCs w:val="28"/>
          <w:lang w:val="en-US" w:eastAsia="zh-CN"/>
        </w:rPr>
        <w:t>4</w:t>
      </w:r>
      <w:r>
        <w:rPr>
          <w:rFonts w:hint="eastAsia" w:ascii="仿宋_GB2312" w:hAnsi="Times New Roman" w:eastAsia="仿宋_GB2312" w:cs="Times New Roman"/>
          <w:sz w:val="28"/>
          <w:szCs w:val="28"/>
        </w:rPr>
        <w:t>年度决算</w:t>
      </w:r>
      <w:r>
        <w:rPr>
          <w:rFonts w:hint="eastAsia" w:ascii="仿宋_GB2312" w:eastAsia="仿宋_GB2312" w:cs="Times New Roman"/>
          <w:sz w:val="28"/>
          <w:szCs w:val="28"/>
          <w:lang w:val="en-US" w:eastAsia="zh-CN"/>
        </w:rPr>
        <w:t>1355</w:t>
      </w:r>
      <w:r>
        <w:rPr>
          <w:rFonts w:hint="eastAsia" w:ascii="仿宋_GB2312" w:hAnsi="Times New Roman" w:eastAsia="仿宋_GB2312" w:cs="Times New Roman"/>
          <w:sz w:val="28"/>
          <w:szCs w:val="28"/>
        </w:rPr>
        <w:t>万元，</w:t>
      </w:r>
      <w:r>
        <w:rPr>
          <w:rFonts w:hint="eastAsia" w:ascii="仿宋_GB2312" w:eastAsia="仿宋_GB2312"/>
          <w:sz w:val="28"/>
          <w:szCs w:val="28"/>
          <w:lang w:eastAsia="zh-CN"/>
        </w:rPr>
        <w:t>完成年初预算的</w:t>
      </w:r>
      <w:r>
        <w:rPr>
          <w:rFonts w:hint="eastAsia" w:ascii="仿宋_GB2312" w:eastAsia="仿宋_GB2312" w:cs="Times New Roman"/>
          <w:sz w:val="28"/>
          <w:szCs w:val="28"/>
          <w:lang w:val="en-US" w:eastAsia="zh-CN"/>
        </w:rPr>
        <w:t>100</w:t>
      </w:r>
      <w:r>
        <w:rPr>
          <w:rFonts w:hint="eastAsia" w:ascii="仿宋_GB2312" w:hAnsi="Times New Roman" w:eastAsia="仿宋_GB2312" w:cs="Times New Roman"/>
          <w:sz w:val="28"/>
          <w:szCs w:val="28"/>
        </w:rPr>
        <w:t>%。</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5</w:t>
      </w:r>
      <w:r>
        <w:rPr>
          <w:rFonts w:hint="eastAsia" w:ascii="仿宋_GB2312" w:hAnsi="Times New Roman" w:eastAsia="仿宋_GB2312" w:cs="Times New Roman"/>
          <w:sz w:val="28"/>
          <w:szCs w:val="28"/>
          <w:highlight w:val="none"/>
          <w:lang w:val="en-US" w:eastAsia="zh-CN"/>
        </w:rPr>
        <w:t>.</w:t>
      </w:r>
      <w:r>
        <w:rPr>
          <w:rFonts w:hint="eastAsia" w:ascii="仿宋_GB2312" w:hAnsi="Times New Roman" w:eastAsia="仿宋_GB2312" w:cs="Times New Roman"/>
          <w:sz w:val="28"/>
          <w:szCs w:val="28"/>
          <w:highlight w:val="none"/>
        </w:rPr>
        <w:t>“节能环保支出”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67103.91</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hAnsi="Times New Roman" w:eastAsia="仿宋_GB2312" w:cs="Times New Roman"/>
          <w:sz w:val="28"/>
          <w:szCs w:val="28"/>
          <w:highlight w:val="none"/>
        </w:rPr>
        <w:t>202</w:t>
      </w:r>
      <w:r>
        <w:rPr>
          <w:rFonts w:hint="eastAsia" w:ascii="仿宋_GB2312" w:eastAsia="仿宋_GB2312" w:cs="Times New Roman"/>
          <w:sz w:val="28"/>
          <w:szCs w:val="28"/>
          <w:highlight w:val="none"/>
          <w:lang w:val="en-US" w:eastAsia="zh-CN"/>
        </w:rPr>
        <w:t>4</w:t>
      </w:r>
      <w:r>
        <w:rPr>
          <w:rFonts w:hint="eastAsia" w:ascii="仿宋_GB2312" w:hAnsi="Times New Roman" w:eastAsia="仿宋_GB2312" w:cs="Times New Roman"/>
          <w:sz w:val="28"/>
          <w:szCs w:val="28"/>
          <w:highlight w:val="none"/>
        </w:rPr>
        <w:t>年度决算</w:t>
      </w:r>
      <w:r>
        <w:rPr>
          <w:rFonts w:hint="eastAsia" w:ascii="仿宋_GB2312" w:eastAsia="仿宋_GB2312" w:cs="Times New Roman"/>
          <w:sz w:val="28"/>
          <w:szCs w:val="28"/>
          <w:highlight w:val="none"/>
          <w:lang w:val="en-US" w:eastAsia="zh-CN"/>
        </w:rPr>
        <w:t>76524.80</w:t>
      </w:r>
      <w:r>
        <w:rPr>
          <w:rFonts w:hint="eastAsia" w:ascii="仿宋_GB2312" w:hAnsi="Times New Roman" w:eastAsia="仿宋_GB2312" w:cs="Times New Roman"/>
          <w:sz w:val="28"/>
          <w:szCs w:val="28"/>
          <w:highlight w:val="none"/>
        </w:rPr>
        <w:t>万元，</w:t>
      </w:r>
      <w:r>
        <w:rPr>
          <w:rFonts w:hint="eastAsia" w:ascii="仿宋_GB2312" w:eastAsia="仿宋_GB2312"/>
          <w:sz w:val="28"/>
          <w:szCs w:val="28"/>
          <w:lang w:eastAsia="zh-CN"/>
        </w:rPr>
        <w:t>完成年初预算的</w:t>
      </w:r>
      <w:r>
        <w:rPr>
          <w:rFonts w:hint="eastAsia" w:ascii="仿宋_GB2312" w:eastAsia="仿宋_GB2312" w:cs="Times New Roman"/>
          <w:sz w:val="28"/>
          <w:szCs w:val="28"/>
          <w:lang w:val="en-US" w:eastAsia="zh-CN"/>
        </w:rPr>
        <w:t>114.04</w:t>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highlight w:val="none"/>
        </w:rPr>
        <w:t>其中：</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eastAsia="仿宋_GB2312"/>
          <w:sz w:val="28"/>
          <w:szCs w:val="28"/>
        </w:rPr>
      </w:pPr>
      <w:r>
        <w:rPr>
          <w:rFonts w:hint="eastAsia" w:ascii="仿宋_GB2312" w:hAnsi="Times New Roman" w:eastAsia="仿宋_GB2312" w:cs="Times New Roman"/>
          <w:sz w:val="28"/>
          <w:szCs w:val="28"/>
          <w:highlight w:val="none"/>
        </w:rPr>
        <w:t>“能源节约利用”</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67103.91</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hAnsi="Times New Roman" w:eastAsia="仿宋_GB2312" w:cs="Times New Roman"/>
          <w:sz w:val="28"/>
          <w:szCs w:val="28"/>
          <w:highlight w:val="none"/>
        </w:rPr>
        <w:t>202</w:t>
      </w:r>
      <w:r>
        <w:rPr>
          <w:rFonts w:hint="eastAsia" w:ascii="仿宋_GB2312" w:eastAsia="仿宋_GB2312" w:cs="Times New Roman"/>
          <w:sz w:val="28"/>
          <w:szCs w:val="28"/>
          <w:highlight w:val="none"/>
          <w:lang w:val="en-US" w:eastAsia="zh-CN"/>
        </w:rPr>
        <w:t>4</w:t>
      </w:r>
      <w:r>
        <w:rPr>
          <w:rFonts w:hint="eastAsia" w:ascii="仿宋_GB2312" w:hAnsi="Times New Roman" w:eastAsia="仿宋_GB2312" w:cs="Times New Roman"/>
          <w:sz w:val="28"/>
          <w:szCs w:val="28"/>
          <w:highlight w:val="none"/>
        </w:rPr>
        <w:t>年度决算</w:t>
      </w:r>
      <w:r>
        <w:rPr>
          <w:rFonts w:hint="eastAsia" w:ascii="仿宋_GB2312" w:eastAsia="仿宋_GB2312" w:cs="Times New Roman"/>
          <w:sz w:val="28"/>
          <w:szCs w:val="28"/>
          <w:highlight w:val="none"/>
          <w:lang w:val="en-US" w:eastAsia="zh-CN"/>
        </w:rPr>
        <w:t>76524.80</w:t>
      </w:r>
      <w:r>
        <w:rPr>
          <w:rFonts w:hint="eastAsia" w:ascii="仿宋_GB2312" w:hAnsi="Times New Roman" w:eastAsia="仿宋_GB2312" w:cs="Times New Roman"/>
          <w:sz w:val="28"/>
          <w:szCs w:val="28"/>
          <w:highlight w:val="none"/>
        </w:rPr>
        <w:t>万元，</w:t>
      </w:r>
      <w:r>
        <w:rPr>
          <w:rFonts w:hint="eastAsia" w:ascii="仿宋_GB2312" w:eastAsia="仿宋_GB2312"/>
          <w:sz w:val="28"/>
          <w:szCs w:val="28"/>
          <w:lang w:eastAsia="zh-CN"/>
        </w:rPr>
        <w:t>完成年初预算的</w:t>
      </w:r>
      <w:r>
        <w:rPr>
          <w:rFonts w:hint="eastAsia" w:ascii="仿宋_GB2312" w:eastAsia="仿宋_GB2312" w:cs="Times New Roman"/>
          <w:sz w:val="28"/>
          <w:szCs w:val="28"/>
          <w:lang w:val="en-US" w:eastAsia="zh-CN"/>
        </w:rPr>
        <w:t>114.04</w:t>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highlight w:val="none"/>
        </w:rPr>
        <w:t>主要原因：</w:t>
      </w:r>
      <w:r>
        <w:rPr>
          <w:rFonts w:hint="eastAsia" w:ascii="仿宋_GB2312" w:eastAsia="仿宋_GB2312"/>
          <w:sz w:val="28"/>
          <w:szCs w:val="28"/>
          <w:lang w:eastAsia="zh-CN"/>
        </w:rPr>
        <w:t>根据年度出租车“油换电”实际需求，安排</w:t>
      </w:r>
      <w:r>
        <w:rPr>
          <w:rFonts w:hint="eastAsia" w:ascii="仿宋_GB2312" w:eastAsia="仿宋_GB2312"/>
          <w:sz w:val="28"/>
          <w:szCs w:val="28"/>
        </w:rPr>
        <w:t>纯电动出租汽车推广应用奖励资金。</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6</w:t>
      </w:r>
      <w:r>
        <w:rPr>
          <w:rFonts w:hint="eastAsia" w:ascii="仿宋_GB2312" w:hAnsi="Times New Roman" w:eastAsia="仿宋_GB2312" w:cs="Times New Roman"/>
          <w:sz w:val="28"/>
          <w:szCs w:val="28"/>
          <w:highlight w:val="none"/>
          <w:lang w:val="en-US" w:eastAsia="zh-CN"/>
        </w:rPr>
        <w:t>.</w:t>
      </w:r>
      <w:r>
        <w:rPr>
          <w:rFonts w:hint="eastAsia" w:ascii="仿宋_GB2312" w:hAnsi="Times New Roman" w:eastAsia="仿宋_GB2312" w:cs="Times New Roman"/>
          <w:sz w:val="28"/>
          <w:szCs w:val="28"/>
          <w:highlight w:val="none"/>
        </w:rPr>
        <w:t>“城乡社区支出”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1077.17</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hAnsi="Times New Roman" w:eastAsia="仿宋_GB2312" w:cs="Times New Roman"/>
          <w:sz w:val="28"/>
          <w:szCs w:val="28"/>
          <w:highlight w:val="none"/>
        </w:rPr>
        <w:t>202</w:t>
      </w:r>
      <w:r>
        <w:rPr>
          <w:rFonts w:hint="eastAsia" w:ascii="仿宋_GB2312" w:eastAsia="仿宋_GB2312" w:cs="Times New Roman"/>
          <w:sz w:val="28"/>
          <w:szCs w:val="28"/>
          <w:highlight w:val="none"/>
          <w:lang w:val="en-US" w:eastAsia="zh-CN"/>
        </w:rPr>
        <w:t>4</w:t>
      </w:r>
      <w:r>
        <w:rPr>
          <w:rFonts w:hint="eastAsia" w:ascii="仿宋_GB2312" w:hAnsi="Times New Roman" w:eastAsia="仿宋_GB2312" w:cs="Times New Roman"/>
          <w:sz w:val="28"/>
          <w:szCs w:val="28"/>
          <w:highlight w:val="none"/>
        </w:rPr>
        <w:t>年度决算</w:t>
      </w:r>
      <w:r>
        <w:rPr>
          <w:rFonts w:hint="eastAsia" w:ascii="仿宋_GB2312" w:eastAsia="仿宋_GB2312" w:cs="Times New Roman"/>
          <w:sz w:val="28"/>
          <w:szCs w:val="28"/>
          <w:highlight w:val="none"/>
          <w:lang w:val="en-US" w:eastAsia="zh-CN"/>
        </w:rPr>
        <w:t>1025.63</w:t>
      </w:r>
      <w:r>
        <w:rPr>
          <w:rFonts w:hint="eastAsia" w:ascii="仿宋_GB2312" w:hAnsi="Times New Roman" w:eastAsia="仿宋_GB2312" w:cs="Times New Roman"/>
          <w:sz w:val="28"/>
          <w:szCs w:val="28"/>
          <w:highlight w:val="none"/>
        </w:rPr>
        <w:t>万元，</w:t>
      </w:r>
      <w:r>
        <w:rPr>
          <w:rFonts w:hint="eastAsia" w:ascii="仿宋_GB2312" w:eastAsia="仿宋_GB2312"/>
          <w:sz w:val="28"/>
          <w:szCs w:val="28"/>
          <w:lang w:eastAsia="zh-CN"/>
        </w:rPr>
        <w:t>完成年初预算的</w:t>
      </w:r>
      <w:r>
        <w:rPr>
          <w:rFonts w:hint="eastAsia" w:ascii="仿宋_GB2312" w:eastAsia="仿宋_GB2312" w:cs="Times New Roman"/>
          <w:sz w:val="28"/>
          <w:szCs w:val="28"/>
          <w:lang w:val="en-US" w:eastAsia="zh-CN"/>
        </w:rPr>
        <w:t>95.22</w:t>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highlight w:val="none"/>
        </w:rPr>
        <w:t>其中：</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highlight w:val="none"/>
        </w:rPr>
        <w:t>“城乡社区公共设施”</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1077.17</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hAnsi="Times New Roman" w:eastAsia="仿宋_GB2312" w:cs="Times New Roman"/>
          <w:sz w:val="28"/>
          <w:szCs w:val="28"/>
          <w:highlight w:val="none"/>
        </w:rPr>
        <w:t>202</w:t>
      </w:r>
      <w:r>
        <w:rPr>
          <w:rFonts w:hint="eastAsia" w:ascii="仿宋_GB2312" w:eastAsia="仿宋_GB2312" w:cs="Times New Roman"/>
          <w:sz w:val="28"/>
          <w:szCs w:val="28"/>
          <w:highlight w:val="none"/>
          <w:lang w:val="en-US" w:eastAsia="zh-CN"/>
        </w:rPr>
        <w:t>4</w:t>
      </w:r>
      <w:r>
        <w:rPr>
          <w:rFonts w:hint="eastAsia" w:ascii="仿宋_GB2312" w:hAnsi="Times New Roman" w:eastAsia="仿宋_GB2312" w:cs="Times New Roman"/>
          <w:sz w:val="28"/>
          <w:szCs w:val="28"/>
          <w:highlight w:val="none"/>
        </w:rPr>
        <w:t>年度决算</w:t>
      </w:r>
      <w:r>
        <w:rPr>
          <w:rFonts w:hint="eastAsia" w:ascii="仿宋_GB2312" w:eastAsia="仿宋_GB2312" w:cs="Times New Roman"/>
          <w:sz w:val="28"/>
          <w:szCs w:val="28"/>
          <w:highlight w:val="none"/>
          <w:lang w:val="en-US" w:eastAsia="zh-CN"/>
        </w:rPr>
        <w:t>1025.63</w:t>
      </w:r>
      <w:r>
        <w:rPr>
          <w:rFonts w:hint="eastAsia" w:ascii="仿宋_GB2312" w:hAnsi="Times New Roman" w:eastAsia="仿宋_GB2312" w:cs="Times New Roman"/>
          <w:sz w:val="28"/>
          <w:szCs w:val="28"/>
          <w:highlight w:val="none"/>
        </w:rPr>
        <w:t>万元，</w:t>
      </w:r>
      <w:r>
        <w:rPr>
          <w:rFonts w:hint="eastAsia" w:ascii="仿宋_GB2312" w:eastAsia="仿宋_GB2312"/>
          <w:sz w:val="28"/>
          <w:szCs w:val="28"/>
          <w:lang w:eastAsia="zh-CN"/>
        </w:rPr>
        <w:t>完成年初预算的</w:t>
      </w:r>
      <w:r>
        <w:rPr>
          <w:rFonts w:hint="eastAsia" w:ascii="仿宋_GB2312" w:eastAsia="仿宋_GB2312" w:cs="Times New Roman"/>
          <w:sz w:val="28"/>
          <w:szCs w:val="28"/>
          <w:lang w:val="en-US" w:eastAsia="zh-CN"/>
        </w:rPr>
        <w:t>95.22</w:t>
      </w:r>
      <w:r>
        <w:rPr>
          <w:rFonts w:hint="eastAsia" w:ascii="仿宋_GB2312" w:hAnsi="Times New Roman" w:eastAsia="仿宋_GB2312" w:cs="Times New Roman"/>
          <w:sz w:val="28"/>
          <w:szCs w:val="28"/>
        </w:rPr>
        <w:t>%。</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7</w:t>
      </w:r>
      <w:r>
        <w:rPr>
          <w:rFonts w:hint="eastAsia" w:ascii="仿宋_GB2312" w:hAnsi="Times New Roman" w:eastAsia="仿宋_GB2312" w:cs="Times New Roman"/>
          <w:sz w:val="28"/>
          <w:szCs w:val="28"/>
          <w:highlight w:val="none"/>
          <w:lang w:val="en-US" w:eastAsia="zh-CN"/>
        </w:rPr>
        <w:t>.</w:t>
      </w:r>
      <w:r>
        <w:rPr>
          <w:rFonts w:hint="eastAsia" w:ascii="仿宋_GB2312" w:hAnsi="Times New Roman" w:eastAsia="仿宋_GB2312" w:cs="Times New Roman"/>
          <w:sz w:val="28"/>
          <w:szCs w:val="28"/>
          <w:highlight w:val="none"/>
        </w:rPr>
        <w:t>“交通运输支出”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578404.55</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hAnsi="Times New Roman" w:eastAsia="仿宋_GB2312" w:cs="Times New Roman"/>
          <w:sz w:val="28"/>
          <w:szCs w:val="28"/>
          <w:highlight w:val="none"/>
        </w:rPr>
        <w:t>202</w:t>
      </w:r>
      <w:r>
        <w:rPr>
          <w:rFonts w:hint="eastAsia" w:ascii="仿宋_GB2312" w:eastAsia="仿宋_GB2312" w:cs="Times New Roman"/>
          <w:sz w:val="28"/>
          <w:szCs w:val="28"/>
          <w:highlight w:val="none"/>
          <w:lang w:val="en-US" w:eastAsia="zh-CN"/>
        </w:rPr>
        <w:t>4</w:t>
      </w:r>
      <w:r>
        <w:rPr>
          <w:rFonts w:hint="eastAsia" w:ascii="仿宋_GB2312" w:hAnsi="Times New Roman" w:eastAsia="仿宋_GB2312" w:cs="Times New Roman"/>
          <w:sz w:val="28"/>
          <w:szCs w:val="28"/>
          <w:highlight w:val="none"/>
        </w:rPr>
        <w:t>年度决算</w:t>
      </w:r>
      <w:r>
        <w:rPr>
          <w:rFonts w:hint="eastAsia" w:ascii="仿宋_GB2312" w:eastAsia="仿宋_GB2312" w:cs="Times New Roman"/>
          <w:sz w:val="28"/>
          <w:szCs w:val="28"/>
          <w:highlight w:val="none"/>
          <w:lang w:val="en-US" w:eastAsia="zh-CN"/>
        </w:rPr>
        <w:t>863055.28</w:t>
      </w:r>
      <w:r>
        <w:rPr>
          <w:rFonts w:hint="eastAsia" w:ascii="仿宋_GB2312" w:hAnsi="Times New Roman" w:eastAsia="仿宋_GB2312" w:cs="Times New Roman"/>
          <w:sz w:val="28"/>
          <w:szCs w:val="28"/>
          <w:highlight w:val="none"/>
        </w:rPr>
        <w:t>万元，</w:t>
      </w:r>
      <w:r>
        <w:rPr>
          <w:rFonts w:hint="eastAsia" w:ascii="仿宋_GB2312" w:eastAsia="仿宋_GB2312"/>
          <w:sz w:val="28"/>
          <w:szCs w:val="28"/>
          <w:lang w:eastAsia="zh-CN"/>
        </w:rPr>
        <w:t>完成年初预算的</w:t>
      </w:r>
      <w:r>
        <w:rPr>
          <w:rFonts w:hint="eastAsia" w:ascii="仿宋_GB2312" w:eastAsia="仿宋_GB2312" w:cs="Times New Roman"/>
          <w:sz w:val="28"/>
          <w:szCs w:val="28"/>
          <w:lang w:val="en-US" w:eastAsia="zh-CN"/>
        </w:rPr>
        <w:t>149.21</w:t>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highlight w:val="none"/>
        </w:rPr>
        <w:t>其中：</w:t>
      </w:r>
    </w:p>
    <w:p>
      <w:pPr>
        <w:keepNext w:val="0"/>
        <w:keepLines w:val="0"/>
        <w:pageBreakBefore w:val="0"/>
        <w:widowControl w:val="0"/>
        <w:kinsoku/>
        <w:wordWrap/>
        <w:overflowPunct/>
        <w:topLinePunct w:val="0"/>
        <w:autoSpaceDE w:val="0"/>
        <w:autoSpaceDN w:val="0"/>
        <w:bidi w:val="0"/>
        <w:adjustRightInd w:val="0"/>
        <w:snapToGrid/>
        <w:spacing w:line="500" w:lineRule="exact"/>
        <w:ind w:firstLine="560" w:firstLineChars="200"/>
        <w:jc w:val="left"/>
        <w:textAlignment w:val="auto"/>
        <w:rPr>
          <w:rFonts w:hint="eastAsia" w:ascii="仿宋_GB2312" w:hAnsi="Times New Roman" w:eastAsia="仿宋_GB2312" w:cs="Times New Roman"/>
          <w:sz w:val="28"/>
          <w:szCs w:val="28"/>
          <w:highlight w:val="none"/>
          <w:lang w:eastAsia="zh-CN"/>
        </w:rPr>
      </w:pPr>
      <w:r>
        <w:rPr>
          <w:rFonts w:hint="eastAsia" w:ascii="仿宋_GB2312" w:hAnsi="Times New Roman" w:eastAsia="仿宋_GB2312" w:cs="Times New Roman"/>
          <w:sz w:val="28"/>
          <w:szCs w:val="28"/>
          <w:highlight w:val="none"/>
        </w:rPr>
        <w:t>“公路水路运输”</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80263.87</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hAnsi="Times New Roman" w:eastAsia="仿宋_GB2312" w:cs="Times New Roman"/>
          <w:sz w:val="28"/>
          <w:szCs w:val="28"/>
          <w:highlight w:val="none"/>
        </w:rPr>
        <w:t>202</w:t>
      </w:r>
      <w:r>
        <w:rPr>
          <w:rFonts w:hint="eastAsia" w:ascii="仿宋_GB2312" w:eastAsia="仿宋_GB2312" w:cs="Times New Roman"/>
          <w:sz w:val="28"/>
          <w:szCs w:val="28"/>
          <w:highlight w:val="none"/>
          <w:lang w:val="en-US" w:eastAsia="zh-CN"/>
        </w:rPr>
        <w:t>4</w:t>
      </w:r>
      <w:r>
        <w:rPr>
          <w:rFonts w:hint="eastAsia" w:ascii="仿宋_GB2312" w:hAnsi="Times New Roman" w:eastAsia="仿宋_GB2312" w:cs="Times New Roman"/>
          <w:sz w:val="28"/>
          <w:szCs w:val="28"/>
          <w:highlight w:val="none"/>
        </w:rPr>
        <w:t>年度决算</w:t>
      </w:r>
      <w:r>
        <w:rPr>
          <w:rFonts w:hint="eastAsia" w:ascii="仿宋_GB2312" w:eastAsia="仿宋_GB2312" w:cs="Times New Roman"/>
          <w:sz w:val="28"/>
          <w:szCs w:val="28"/>
          <w:highlight w:val="none"/>
          <w:lang w:val="en-US" w:eastAsia="zh-CN"/>
        </w:rPr>
        <w:t>94906.59</w:t>
      </w:r>
      <w:r>
        <w:rPr>
          <w:rFonts w:hint="eastAsia" w:ascii="仿宋_GB2312" w:hAnsi="Times New Roman" w:eastAsia="仿宋_GB2312" w:cs="Times New Roman"/>
          <w:sz w:val="28"/>
          <w:szCs w:val="28"/>
          <w:highlight w:val="none"/>
        </w:rPr>
        <w:t>万元，</w:t>
      </w:r>
      <w:r>
        <w:rPr>
          <w:rFonts w:hint="eastAsia" w:ascii="仿宋_GB2312" w:eastAsia="仿宋_GB2312"/>
          <w:sz w:val="28"/>
          <w:szCs w:val="28"/>
          <w:lang w:eastAsia="zh-CN"/>
        </w:rPr>
        <w:t>完成年初预算的</w:t>
      </w:r>
      <w:r>
        <w:rPr>
          <w:rFonts w:hint="eastAsia" w:ascii="仿宋_GB2312" w:eastAsia="仿宋_GB2312" w:cs="Times New Roman"/>
          <w:sz w:val="28"/>
          <w:szCs w:val="28"/>
          <w:lang w:val="en-US" w:eastAsia="zh-CN"/>
        </w:rPr>
        <w:t>118.24</w:t>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highlight w:val="none"/>
        </w:rPr>
        <w:t>主要原因：</w:t>
      </w:r>
      <w:r>
        <w:rPr>
          <w:rFonts w:hint="eastAsia" w:ascii="仿宋_GB2312" w:eastAsia="仿宋_GB2312" w:cs="Times New Roman"/>
          <w:sz w:val="28"/>
          <w:szCs w:val="28"/>
          <w:highlight w:val="none"/>
          <w:lang w:eastAsia="zh-CN"/>
        </w:rPr>
        <w:t>根据上年清算结果调整</w:t>
      </w:r>
      <w:r>
        <w:rPr>
          <w:rFonts w:hint="eastAsia" w:ascii="仿宋_GB2312" w:hAnsi="Times New Roman" w:eastAsia="仿宋_GB2312" w:cs="Times New Roman"/>
          <w:sz w:val="28"/>
          <w:szCs w:val="28"/>
          <w:highlight w:val="none"/>
          <w:lang w:val="en-US" w:eastAsia="zh-CN"/>
        </w:rPr>
        <w:t>高速公路PPP项目可行性缺口补贴资金支出。</w:t>
      </w:r>
    </w:p>
    <w:p>
      <w:pPr>
        <w:spacing w:line="580" w:lineRule="exact"/>
        <w:ind w:firstLine="560" w:firstLineChars="200"/>
        <w:rPr>
          <w:rFonts w:hint="eastAsia" w:ascii="仿宋_GB2312" w:eastAsia="仿宋_GB2312"/>
          <w:sz w:val="28"/>
          <w:szCs w:val="28"/>
        </w:rPr>
      </w:pPr>
      <w:r>
        <w:rPr>
          <w:rFonts w:hint="eastAsia" w:ascii="仿宋_GB2312" w:hAnsi="Times New Roman" w:eastAsia="仿宋_GB2312" w:cs="Times New Roman"/>
          <w:sz w:val="28"/>
          <w:szCs w:val="28"/>
          <w:highlight w:val="none"/>
        </w:rPr>
        <w:t>“其他交通运输支出”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498140.68</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hAnsi="Times New Roman" w:eastAsia="仿宋_GB2312" w:cs="Times New Roman"/>
          <w:sz w:val="28"/>
          <w:szCs w:val="28"/>
          <w:highlight w:val="none"/>
        </w:rPr>
        <w:t>202</w:t>
      </w:r>
      <w:r>
        <w:rPr>
          <w:rFonts w:hint="eastAsia" w:ascii="仿宋_GB2312" w:eastAsia="仿宋_GB2312" w:cs="Times New Roman"/>
          <w:sz w:val="28"/>
          <w:szCs w:val="28"/>
          <w:highlight w:val="none"/>
          <w:lang w:val="en-US" w:eastAsia="zh-CN"/>
        </w:rPr>
        <w:t>4</w:t>
      </w:r>
      <w:r>
        <w:rPr>
          <w:rFonts w:hint="eastAsia" w:ascii="仿宋_GB2312" w:hAnsi="Times New Roman" w:eastAsia="仿宋_GB2312" w:cs="Times New Roman"/>
          <w:sz w:val="28"/>
          <w:szCs w:val="28"/>
          <w:highlight w:val="none"/>
        </w:rPr>
        <w:t>年度决算</w:t>
      </w:r>
      <w:r>
        <w:rPr>
          <w:rFonts w:hint="eastAsia" w:ascii="仿宋_GB2312" w:eastAsia="仿宋_GB2312" w:cs="Times New Roman"/>
          <w:sz w:val="28"/>
          <w:szCs w:val="28"/>
          <w:highlight w:val="none"/>
          <w:lang w:val="en-US" w:eastAsia="zh-CN"/>
        </w:rPr>
        <w:t>768148.68</w:t>
      </w:r>
      <w:r>
        <w:rPr>
          <w:rFonts w:hint="eastAsia" w:ascii="仿宋_GB2312" w:hAnsi="Times New Roman" w:eastAsia="仿宋_GB2312" w:cs="Times New Roman"/>
          <w:sz w:val="28"/>
          <w:szCs w:val="28"/>
          <w:highlight w:val="none"/>
        </w:rPr>
        <w:t>万元</w:t>
      </w:r>
      <w:r>
        <w:rPr>
          <w:rFonts w:hint="eastAsia" w:ascii="仿宋_GB2312" w:eastAsia="仿宋_GB2312" w:cs="Times New Roman"/>
          <w:sz w:val="28"/>
          <w:szCs w:val="28"/>
          <w:highlight w:val="none"/>
          <w:lang w:eastAsia="zh-CN"/>
        </w:rPr>
        <w:t>，</w:t>
      </w:r>
      <w:r>
        <w:rPr>
          <w:rFonts w:hint="eastAsia" w:ascii="仿宋_GB2312" w:eastAsia="仿宋_GB2312"/>
          <w:sz w:val="28"/>
          <w:szCs w:val="28"/>
          <w:lang w:eastAsia="zh-CN"/>
        </w:rPr>
        <w:t>完成年初预算的</w:t>
      </w:r>
      <w:r>
        <w:rPr>
          <w:rFonts w:hint="eastAsia" w:ascii="仿宋_GB2312" w:eastAsia="仿宋_GB2312" w:cs="Times New Roman"/>
          <w:sz w:val="28"/>
          <w:szCs w:val="28"/>
          <w:lang w:val="en-US" w:eastAsia="zh-CN"/>
        </w:rPr>
        <w:t>154.2</w:t>
      </w:r>
      <w:r>
        <w:rPr>
          <w:rFonts w:hint="eastAsia" w:ascii="仿宋_GB2312" w:hAnsi="Times New Roman" w:eastAsia="仿宋_GB2312" w:cs="Times New Roman"/>
          <w:sz w:val="28"/>
          <w:szCs w:val="28"/>
        </w:rPr>
        <w:t>%。</w:t>
      </w:r>
      <w:r>
        <w:rPr>
          <w:rFonts w:hint="eastAsia" w:ascii="仿宋_GB2312" w:eastAsia="仿宋_GB2312"/>
          <w:sz w:val="28"/>
          <w:szCs w:val="28"/>
        </w:rPr>
        <w:t>主要原</w:t>
      </w:r>
      <w:r>
        <w:rPr>
          <w:rFonts w:hint="eastAsia" w:ascii="仿宋_GB2312" w:hAnsi="Times New Roman" w:eastAsia="仿宋_GB2312" w:cs="Times New Roman"/>
          <w:sz w:val="28"/>
          <w:szCs w:val="28"/>
          <w:highlight w:val="none"/>
        </w:rPr>
        <w:t>因：</w:t>
      </w:r>
      <w:r>
        <w:rPr>
          <w:rFonts w:hint="eastAsia" w:ascii="仿宋_GB2312" w:eastAsia="仿宋_GB2312" w:cs="Times New Roman"/>
          <w:sz w:val="28"/>
          <w:szCs w:val="28"/>
          <w:highlight w:val="none"/>
          <w:lang w:eastAsia="zh-CN"/>
        </w:rPr>
        <w:t>根据上年清算结果</w:t>
      </w:r>
      <w:r>
        <w:rPr>
          <w:rFonts w:hint="eastAsia" w:ascii="仿宋_GB2312" w:eastAsia="仿宋_GB2312" w:cs="Times New Roman"/>
          <w:sz w:val="28"/>
          <w:szCs w:val="28"/>
          <w:highlight w:val="none"/>
          <w:lang w:val="en-US" w:eastAsia="zh-CN"/>
        </w:rPr>
        <w:t>20</w:t>
      </w:r>
      <w:r>
        <w:rPr>
          <w:rFonts w:hint="eastAsia" w:ascii="仿宋_GB2312" w:eastAsia="仿宋_GB2312"/>
          <w:sz w:val="28"/>
          <w:szCs w:val="28"/>
        </w:rPr>
        <w:t>24年</w:t>
      </w:r>
      <w:r>
        <w:rPr>
          <w:rFonts w:hint="eastAsia" w:ascii="仿宋_GB2312" w:eastAsia="仿宋_GB2312"/>
          <w:sz w:val="28"/>
          <w:szCs w:val="28"/>
          <w:lang w:eastAsia="zh-CN"/>
        </w:rPr>
        <w:t>调整</w:t>
      </w:r>
      <w:r>
        <w:rPr>
          <w:rFonts w:hint="eastAsia" w:ascii="仿宋_GB2312" w:eastAsia="仿宋_GB2312"/>
          <w:sz w:val="28"/>
          <w:szCs w:val="28"/>
        </w:rPr>
        <w:t>轨道交通政企合作项目（非ABO部分）政府补偿费用、地面公交配备乘务管理员资金等项目。</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年度政府性基金预算财政拨款支出</w:t>
      </w:r>
      <w:r>
        <w:rPr>
          <w:rFonts w:ascii="仿宋_GB2312" w:eastAsia="仿宋_GB2312"/>
          <w:sz w:val="28"/>
          <w:szCs w:val="28"/>
        </w:rPr>
        <w:t>162332.25</w:t>
      </w:r>
      <w:r>
        <w:rPr>
          <w:rFonts w:hint="eastAsia" w:ascii="仿宋_GB2312" w:eastAsia="仿宋_GB2312"/>
          <w:sz w:val="28"/>
          <w:szCs w:val="28"/>
        </w:rPr>
        <w:t>万元，主要用于以下方面：城乡社区支出</w:t>
      </w:r>
      <w:r>
        <w:rPr>
          <w:rFonts w:hint="eastAsia" w:ascii="仿宋_GB2312" w:eastAsia="仿宋_GB2312"/>
          <w:sz w:val="28"/>
          <w:szCs w:val="28"/>
          <w:lang w:val="en-US" w:eastAsia="zh-CN"/>
        </w:rPr>
        <w:t>13952.7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1.26</w:t>
      </w:r>
      <w:r>
        <w:rPr>
          <w:rFonts w:hint="eastAsia" w:ascii="仿宋_GB2312" w:eastAsia="仿宋_GB2312"/>
          <w:sz w:val="28"/>
          <w:szCs w:val="28"/>
        </w:rPr>
        <w:t>%；交通运输支出</w:t>
      </w:r>
      <w:r>
        <w:rPr>
          <w:rFonts w:hint="eastAsia" w:ascii="仿宋_GB2312" w:eastAsia="仿宋_GB2312"/>
          <w:sz w:val="28"/>
          <w:szCs w:val="28"/>
          <w:lang w:val="en-US" w:eastAsia="zh-CN"/>
        </w:rPr>
        <w:t>127379.55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11.51</w:t>
      </w:r>
      <w:r>
        <w:rPr>
          <w:rFonts w:hint="eastAsia" w:ascii="仿宋_GB2312" w:eastAsia="仿宋_GB2312"/>
          <w:sz w:val="28"/>
          <w:szCs w:val="28"/>
        </w:rPr>
        <w:t>%；资源勘探工业信息等支出21000万元，占本年财政拨款支出</w:t>
      </w:r>
      <w:r>
        <w:rPr>
          <w:rFonts w:hint="eastAsia" w:ascii="仿宋_GB2312" w:eastAsia="仿宋_GB2312"/>
          <w:sz w:val="28"/>
          <w:szCs w:val="28"/>
          <w:lang w:val="en-US" w:eastAsia="zh-CN"/>
        </w:rPr>
        <w:t>1.90</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hAnsi="Times New Roman" w:eastAsia="仿宋_GB2312" w:cs="Times New Roman"/>
          <w:sz w:val="28"/>
          <w:szCs w:val="28"/>
          <w:highlight w:val="none"/>
        </w:rPr>
      </w:pPr>
      <w:r>
        <w:rPr>
          <w:rFonts w:hint="eastAsia" w:ascii="仿宋_GB2312" w:eastAsia="仿宋_GB2312" w:cs="Times New Roman"/>
          <w:sz w:val="28"/>
          <w:szCs w:val="28"/>
          <w:highlight w:val="none"/>
          <w:lang w:val="en-US" w:eastAsia="zh-CN"/>
        </w:rPr>
        <w:t>1</w:t>
      </w:r>
      <w:r>
        <w:rPr>
          <w:rFonts w:hint="eastAsia" w:ascii="仿宋_GB2312" w:hAnsi="Times New Roman" w:eastAsia="仿宋_GB2312" w:cs="Times New Roman"/>
          <w:sz w:val="28"/>
          <w:szCs w:val="28"/>
          <w:highlight w:val="none"/>
          <w:lang w:val="en-US" w:eastAsia="zh-CN"/>
        </w:rPr>
        <w:t>.</w:t>
      </w:r>
      <w:r>
        <w:rPr>
          <w:rFonts w:hint="eastAsia" w:ascii="仿宋_GB2312" w:hAnsi="Times New Roman" w:eastAsia="仿宋_GB2312" w:cs="Times New Roman"/>
          <w:sz w:val="28"/>
          <w:szCs w:val="28"/>
          <w:highlight w:val="none"/>
        </w:rPr>
        <w:t>“城乡社区支出”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13500</w:t>
      </w:r>
      <w:r>
        <w:rPr>
          <w:rFonts w:hint="eastAsia" w:ascii="仿宋_GB2312" w:eastAsia="仿宋_GB2312"/>
          <w:sz w:val="28"/>
          <w:szCs w:val="28"/>
        </w:rPr>
        <w:t>万元，</w:t>
      </w:r>
      <w:r>
        <w:rPr>
          <w:rFonts w:hint="eastAsia" w:ascii="仿宋_GB2312" w:hAnsi="Times New Roman" w:eastAsia="仿宋_GB2312" w:cs="Times New Roman"/>
          <w:sz w:val="28"/>
          <w:szCs w:val="28"/>
          <w:highlight w:val="none"/>
        </w:rPr>
        <w:t>202</w:t>
      </w:r>
      <w:r>
        <w:rPr>
          <w:rFonts w:hint="eastAsia" w:ascii="仿宋_GB2312" w:eastAsia="仿宋_GB2312" w:cs="Times New Roman"/>
          <w:sz w:val="28"/>
          <w:szCs w:val="28"/>
          <w:highlight w:val="none"/>
          <w:lang w:val="en-US" w:eastAsia="zh-CN"/>
        </w:rPr>
        <w:t>4</w:t>
      </w:r>
      <w:r>
        <w:rPr>
          <w:rFonts w:hint="eastAsia" w:ascii="仿宋_GB2312" w:hAnsi="Times New Roman" w:eastAsia="仿宋_GB2312" w:cs="Times New Roman"/>
          <w:sz w:val="28"/>
          <w:szCs w:val="28"/>
          <w:highlight w:val="none"/>
        </w:rPr>
        <w:t>年度决算</w:t>
      </w:r>
      <w:r>
        <w:rPr>
          <w:rFonts w:hint="eastAsia" w:ascii="仿宋_GB2312" w:eastAsia="仿宋_GB2312" w:cs="Times New Roman"/>
          <w:sz w:val="28"/>
          <w:szCs w:val="28"/>
          <w:highlight w:val="none"/>
          <w:lang w:val="en-US" w:eastAsia="zh-CN"/>
        </w:rPr>
        <w:t>13952.70</w:t>
      </w:r>
      <w:r>
        <w:rPr>
          <w:rFonts w:hint="eastAsia" w:ascii="仿宋_GB2312" w:hAnsi="Times New Roman" w:eastAsia="仿宋_GB2312" w:cs="Times New Roman"/>
          <w:sz w:val="28"/>
          <w:szCs w:val="28"/>
          <w:highlight w:val="none"/>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103.35</w:t>
      </w:r>
      <w:r>
        <w:rPr>
          <w:rFonts w:hint="eastAsia" w:ascii="仿宋_GB2312" w:eastAsia="仿宋_GB2312"/>
          <w:sz w:val="28"/>
          <w:szCs w:val="28"/>
        </w:rPr>
        <w:t>%。</w:t>
      </w:r>
      <w:r>
        <w:rPr>
          <w:rFonts w:hint="eastAsia" w:ascii="仿宋_GB2312" w:hAnsi="Times New Roman" w:eastAsia="仿宋_GB2312" w:cs="Times New Roman"/>
          <w:sz w:val="28"/>
          <w:szCs w:val="28"/>
          <w:highlight w:val="none"/>
        </w:rPr>
        <w:t>其中：</w:t>
      </w:r>
    </w:p>
    <w:p>
      <w:pPr>
        <w:keepNext w:val="0"/>
        <w:keepLines w:val="0"/>
        <w:widowControl/>
        <w:suppressLineNumbers w:val="0"/>
        <w:ind w:firstLine="560" w:firstLineChars="200"/>
        <w:jc w:val="left"/>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w:t>
      </w:r>
      <w:r>
        <w:rPr>
          <w:rFonts w:hint="eastAsia" w:ascii="仿宋_GB2312" w:hAnsi="Times New Roman" w:eastAsia="仿宋_GB2312" w:cs="Times New Roman"/>
          <w:sz w:val="28"/>
          <w:szCs w:val="28"/>
          <w:highlight w:val="none"/>
          <w:lang w:val="en-US" w:eastAsia="zh-CN"/>
        </w:rPr>
        <w:t>国有土地使用权出让收入安排的支出</w:t>
      </w:r>
      <w:r>
        <w:rPr>
          <w:rFonts w:hint="eastAsia" w:ascii="仿宋_GB2312" w:hAnsi="Times New Roman" w:eastAsia="仿宋_GB2312" w:cs="Times New Roman"/>
          <w:sz w:val="28"/>
          <w:szCs w:val="28"/>
          <w:highlight w:val="none"/>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hAnsi="Times New Roman" w:eastAsia="仿宋_GB2312" w:cs="Times New Roman"/>
          <w:sz w:val="28"/>
          <w:szCs w:val="28"/>
          <w:highlight w:val="none"/>
        </w:rPr>
        <w:t>202</w:t>
      </w:r>
      <w:r>
        <w:rPr>
          <w:rFonts w:hint="eastAsia" w:ascii="仿宋_GB2312" w:hAnsi="Times New Roman" w:eastAsia="仿宋_GB2312" w:cs="Times New Roman"/>
          <w:sz w:val="28"/>
          <w:szCs w:val="28"/>
          <w:highlight w:val="none"/>
          <w:lang w:val="en-US" w:eastAsia="zh-CN"/>
        </w:rPr>
        <w:t>4</w:t>
      </w:r>
      <w:r>
        <w:rPr>
          <w:rFonts w:hint="eastAsia" w:ascii="仿宋_GB2312" w:hAnsi="Times New Roman" w:eastAsia="仿宋_GB2312" w:cs="Times New Roman"/>
          <w:sz w:val="28"/>
          <w:szCs w:val="28"/>
          <w:highlight w:val="none"/>
        </w:rPr>
        <w:t>年度决算</w:t>
      </w:r>
      <w:r>
        <w:rPr>
          <w:rFonts w:hint="eastAsia" w:ascii="仿宋_GB2312" w:eastAsia="仿宋_GB2312" w:cs="Times New Roman"/>
          <w:sz w:val="28"/>
          <w:szCs w:val="28"/>
          <w:highlight w:val="none"/>
          <w:lang w:val="en-US" w:eastAsia="zh-CN"/>
        </w:rPr>
        <w:t>452.70</w:t>
      </w:r>
      <w:r>
        <w:rPr>
          <w:rFonts w:hint="eastAsia" w:ascii="仿宋_GB2312" w:hAnsi="Times New Roman" w:eastAsia="仿宋_GB2312" w:cs="Times New Roman"/>
          <w:sz w:val="28"/>
          <w:szCs w:val="28"/>
          <w:highlight w:val="none"/>
        </w:rPr>
        <w:t>万元。主要原因：</w:t>
      </w:r>
      <w:r>
        <w:rPr>
          <w:rFonts w:hint="eastAsia" w:ascii="仿宋_GB2312" w:eastAsia="仿宋_GB2312" w:cs="Times New Roman"/>
          <w:sz w:val="28"/>
          <w:szCs w:val="28"/>
          <w:highlight w:val="none"/>
          <w:lang w:eastAsia="zh-CN"/>
        </w:rPr>
        <w:t>根据固定资产投资计划，新增</w:t>
      </w:r>
      <w:r>
        <w:rPr>
          <w:rFonts w:hint="eastAsia" w:ascii="仿宋_GB2312" w:hAnsi="Times New Roman" w:eastAsia="仿宋_GB2312" w:cs="Times New Roman"/>
          <w:sz w:val="28"/>
          <w:szCs w:val="28"/>
          <w:highlight w:val="none"/>
          <w:lang w:val="en-US" w:eastAsia="zh-CN"/>
        </w:rPr>
        <w:t>智慧水运暨大运河航运综合管理服务系统</w:t>
      </w:r>
      <w:r>
        <w:rPr>
          <w:rFonts w:hint="eastAsia" w:ascii="仿宋_GB2312" w:eastAsia="仿宋_GB2312" w:cs="Times New Roman"/>
          <w:sz w:val="28"/>
          <w:szCs w:val="28"/>
          <w:highlight w:val="none"/>
          <w:lang w:val="en-US" w:eastAsia="zh-CN"/>
        </w:rPr>
        <w:t>项目</w:t>
      </w:r>
      <w:r>
        <w:rPr>
          <w:rFonts w:hint="eastAsia" w:ascii="仿宋_GB2312" w:hAnsi="Times New Roman" w:eastAsia="仿宋_GB2312" w:cs="Times New Roman"/>
          <w:sz w:val="28"/>
          <w:szCs w:val="28"/>
          <w:highlight w:val="none"/>
          <w:lang w:val="en-US" w:eastAsia="zh-CN"/>
        </w:rPr>
        <w:t>支出。</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eastAsia="仿宋_GB2312" w:cs="Times New Roman"/>
          <w:sz w:val="28"/>
          <w:szCs w:val="28"/>
          <w:highlight w:val="none"/>
          <w:lang w:eastAsia="zh-CN"/>
        </w:rPr>
      </w:pPr>
      <w:r>
        <w:rPr>
          <w:rFonts w:hint="eastAsia" w:ascii="仿宋_GB2312" w:hAnsi="Times New Roman" w:eastAsia="仿宋_GB2312" w:cs="Times New Roman"/>
          <w:sz w:val="28"/>
          <w:szCs w:val="28"/>
          <w:highlight w:val="none"/>
        </w:rPr>
        <w:t>“</w:t>
      </w:r>
      <w:r>
        <w:rPr>
          <w:rFonts w:hint="eastAsia" w:ascii="仿宋_GB2312" w:hAnsi="Times New Roman" w:eastAsia="仿宋_GB2312" w:cs="Times New Roman"/>
          <w:sz w:val="28"/>
          <w:szCs w:val="28"/>
          <w:highlight w:val="none"/>
          <w:lang w:val="en-US" w:eastAsia="zh-CN"/>
        </w:rPr>
        <w:t>国有土地使用权出让收入对应专项债务收</w:t>
      </w:r>
      <w:r>
        <w:rPr>
          <w:rFonts w:hint="eastAsia" w:ascii="仿宋_GB2312" w:eastAsia="仿宋_GB2312" w:cs="Times New Roman"/>
          <w:sz w:val="28"/>
          <w:szCs w:val="28"/>
          <w:highlight w:val="none"/>
          <w:lang w:val="en-US" w:eastAsia="zh-CN"/>
        </w:rPr>
        <w:t>入安排的支出</w:t>
      </w:r>
      <w:r>
        <w:rPr>
          <w:rFonts w:hint="eastAsia" w:ascii="仿宋_GB2312" w:eastAsia="仿宋_GB2312" w:cs="Times New Roman"/>
          <w:sz w:val="28"/>
          <w:szCs w:val="28"/>
          <w:highlight w:val="none"/>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13500</w:t>
      </w:r>
      <w:r>
        <w:rPr>
          <w:rFonts w:hint="eastAsia" w:ascii="仿宋_GB2312" w:eastAsia="仿宋_GB2312"/>
          <w:sz w:val="28"/>
          <w:szCs w:val="28"/>
        </w:rPr>
        <w:t>万元，</w:t>
      </w:r>
      <w:r>
        <w:rPr>
          <w:rFonts w:hint="eastAsia" w:ascii="仿宋_GB2312" w:eastAsia="仿宋_GB2312" w:cs="Times New Roman"/>
          <w:sz w:val="28"/>
          <w:szCs w:val="28"/>
          <w:highlight w:val="none"/>
          <w:lang w:eastAsia="zh-CN"/>
        </w:rPr>
        <w:t>202</w:t>
      </w:r>
      <w:r>
        <w:rPr>
          <w:rFonts w:hint="eastAsia" w:ascii="仿宋_GB2312" w:eastAsia="仿宋_GB2312" w:cs="Times New Roman"/>
          <w:sz w:val="28"/>
          <w:szCs w:val="28"/>
          <w:highlight w:val="none"/>
          <w:lang w:val="en-US" w:eastAsia="zh-CN"/>
        </w:rPr>
        <w:t>4</w:t>
      </w:r>
      <w:r>
        <w:rPr>
          <w:rFonts w:hint="eastAsia" w:ascii="仿宋_GB2312" w:eastAsia="仿宋_GB2312" w:cs="Times New Roman"/>
          <w:sz w:val="28"/>
          <w:szCs w:val="28"/>
          <w:highlight w:val="none"/>
          <w:lang w:eastAsia="zh-CN"/>
        </w:rPr>
        <w:t>年度决算</w:t>
      </w:r>
      <w:r>
        <w:rPr>
          <w:rFonts w:hint="eastAsia" w:ascii="仿宋_GB2312" w:eastAsia="仿宋_GB2312" w:cs="Times New Roman"/>
          <w:sz w:val="28"/>
          <w:szCs w:val="28"/>
          <w:highlight w:val="none"/>
          <w:lang w:val="en-US" w:eastAsia="zh-CN"/>
        </w:rPr>
        <w:t>13500</w:t>
      </w:r>
      <w:r>
        <w:rPr>
          <w:rFonts w:hint="eastAsia" w:ascii="仿宋_GB2312" w:eastAsia="仿宋_GB2312" w:cs="Times New Roman"/>
          <w:sz w:val="28"/>
          <w:szCs w:val="28"/>
          <w:highlight w:val="none"/>
          <w:lang w:eastAsia="zh-CN"/>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eastAsia="仿宋_GB2312" w:cs="Times New Roman"/>
          <w:sz w:val="28"/>
          <w:szCs w:val="28"/>
          <w:highlight w:val="none"/>
          <w:lang w:eastAsia="zh-CN"/>
        </w:rPr>
      </w:pPr>
      <w:r>
        <w:rPr>
          <w:rFonts w:hint="eastAsia" w:ascii="仿宋_GB2312" w:eastAsia="仿宋_GB2312" w:cs="Times New Roman"/>
          <w:sz w:val="28"/>
          <w:szCs w:val="28"/>
          <w:highlight w:val="none"/>
          <w:lang w:val="en-US" w:eastAsia="zh-CN"/>
        </w:rPr>
        <w:t>2.</w:t>
      </w:r>
      <w:r>
        <w:rPr>
          <w:rFonts w:hint="eastAsia" w:ascii="仿宋_GB2312" w:eastAsia="仿宋_GB2312" w:cs="Times New Roman"/>
          <w:sz w:val="28"/>
          <w:szCs w:val="28"/>
          <w:highlight w:val="none"/>
          <w:lang w:eastAsia="zh-CN"/>
        </w:rPr>
        <w:t>“交通运输支出”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cs="Times New Roman"/>
          <w:sz w:val="28"/>
          <w:szCs w:val="28"/>
          <w:highlight w:val="none"/>
          <w:lang w:eastAsia="zh-CN"/>
        </w:rPr>
        <w:t>202</w:t>
      </w:r>
      <w:r>
        <w:rPr>
          <w:rFonts w:hint="eastAsia" w:ascii="仿宋_GB2312" w:eastAsia="仿宋_GB2312" w:cs="Times New Roman"/>
          <w:sz w:val="28"/>
          <w:szCs w:val="28"/>
          <w:highlight w:val="none"/>
          <w:lang w:val="en-US" w:eastAsia="zh-CN"/>
        </w:rPr>
        <w:t>4</w:t>
      </w:r>
      <w:r>
        <w:rPr>
          <w:rFonts w:hint="eastAsia" w:ascii="仿宋_GB2312" w:eastAsia="仿宋_GB2312" w:cs="Times New Roman"/>
          <w:sz w:val="28"/>
          <w:szCs w:val="28"/>
          <w:highlight w:val="none"/>
          <w:lang w:eastAsia="zh-CN"/>
        </w:rPr>
        <w:t>年度决算</w:t>
      </w:r>
      <w:r>
        <w:rPr>
          <w:rFonts w:hint="eastAsia" w:ascii="仿宋_GB2312" w:eastAsia="仿宋_GB2312" w:cs="Times New Roman"/>
          <w:sz w:val="28"/>
          <w:szCs w:val="28"/>
          <w:highlight w:val="none"/>
          <w:lang w:val="en-US" w:eastAsia="zh-CN"/>
        </w:rPr>
        <w:t>127379.56</w:t>
      </w:r>
      <w:r>
        <w:rPr>
          <w:rFonts w:hint="eastAsia" w:ascii="仿宋_GB2312" w:eastAsia="仿宋_GB2312" w:cs="Times New Roman"/>
          <w:sz w:val="28"/>
          <w:szCs w:val="28"/>
          <w:highlight w:val="none"/>
          <w:lang w:eastAsia="zh-CN"/>
        </w:rPr>
        <w:t>万元。其中：</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eastAsia="仿宋_GB2312" w:cs="Times New Roman"/>
          <w:sz w:val="28"/>
          <w:szCs w:val="28"/>
          <w:highlight w:val="none"/>
          <w:lang w:eastAsia="zh-CN"/>
        </w:rPr>
      </w:pPr>
      <w:r>
        <w:rPr>
          <w:rFonts w:hint="eastAsia" w:ascii="仿宋_GB2312" w:eastAsia="仿宋_GB2312" w:cs="Times New Roman"/>
          <w:sz w:val="28"/>
          <w:szCs w:val="28"/>
          <w:highlight w:val="none"/>
          <w:lang w:eastAsia="zh-CN"/>
        </w:rPr>
        <w:t>“</w:t>
      </w:r>
      <w:r>
        <w:rPr>
          <w:rFonts w:hint="eastAsia" w:ascii="仿宋_GB2312" w:eastAsia="仿宋_GB2312" w:cs="Times New Roman"/>
          <w:sz w:val="28"/>
          <w:szCs w:val="28"/>
          <w:highlight w:val="none"/>
          <w:lang w:val="en-US" w:eastAsia="zh-CN"/>
        </w:rPr>
        <w:t>超长期特别国债安排的支出</w:t>
      </w:r>
      <w:r>
        <w:rPr>
          <w:rFonts w:hint="eastAsia" w:ascii="仿宋_GB2312" w:eastAsia="仿宋_GB2312" w:cs="Times New Roman"/>
          <w:sz w:val="28"/>
          <w:szCs w:val="28"/>
          <w:highlight w:val="none"/>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cs="Times New Roman"/>
          <w:sz w:val="28"/>
          <w:szCs w:val="28"/>
          <w:highlight w:val="none"/>
          <w:lang w:eastAsia="zh-CN"/>
        </w:rPr>
        <w:t>202</w:t>
      </w:r>
      <w:r>
        <w:rPr>
          <w:rFonts w:hint="eastAsia" w:ascii="仿宋_GB2312" w:eastAsia="仿宋_GB2312" w:cs="Times New Roman"/>
          <w:sz w:val="28"/>
          <w:szCs w:val="28"/>
          <w:highlight w:val="none"/>
          <w:lang w:val="en-US" w:eastAsia="zh-CN"/>
        </w:rPr>
        <w:t>4</w:t>
      </w:r>
      <w:r>
        <w:rPr>
          <w:rFonts w:hint="eastAsia" w:ascii="仿宋_GB2312" w:eastAsia="仿宋_GB2312" w:cs="Times New Roman"/>
          <w:sz w:val="28"/>
          <w:szCs w:val="28"/>
          <w:highlight w:val="none"/>
          <w:lang w:eastAsia="zh-CN"/>
        </w:rPr>
        <w:t>年度决算</w:t>
      </w:r>
      <w:r>
        <w:rPr>
          <w:rFonts w:hint="eastAsia" w:ascii="仿宋_GB2312" w:eastAsia="仿宋_GB2312" w:cs="Times New Roman"/>
          <w:sz w:val="28"/>
          <w:szCs w:val="28"/>
          <w:highlight w:val="none"/>
          <w:lang w:val="en-US" w:eastAsia="zh-CN"/>
        </w:rPr>
        <w:t>127379.56</w:t>
      </w:r>
      <w:r>
        <w:rPr>
          <w:rFonts w:hint="eastAsia" w:ascii="仿宋_GB2312" w:eastAsia="仿宋_GB2312" w:cs="Times New Roman"/>
          <w:sz w:val="28"/>
          <w:szCs w:val="28"/>
          <w:highlight w:val="none"/>
          <w:lang w:eastAsia="zh-CN"/>
        </w:rPr>
        <w:t>万元。主要原因：新增</w:t>
      </w:r>
      <w:r>
        <w:rPr>
          <w:rFonts w:hint="eastAsia" w:ascii="仿宋_GB2312" w:eastAsia="仿宋_GB2312" w:cs="Times New Roman"/>
          <w:sz w:val="28"/>
          <w:szCs w:val="28"/>
          <w:highlight w:val="none"/>
          <w:lang w:val="en-US" w:eastAsia="zh-CN"/>
        </w:rPr>
        <w:t>北京市轨道交通更新改造项目支出。</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hAnsi="Times New Roman" w:eastAsia="仿宋_GB2312" w:cs="Times New Roman"/>
          <w:sz w:val="28"/>
          <w:szCs w:val="28"/>
          <w:highlight w:val="none"/>
        </w:rPr>
      </w:pPr>
      <w:r>
        <w:rPr>
          <w:rFonts w:hint="eastAsia" w:ascii="仿宋_GB2312"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lang w:val="en-US" w:eastAsia="zh-CN"/>
        </w:rPr>
        <w:t>.</w:t>
      </w:r>
      <w:r>
        <w:rPr>
          <w:rFonts w:hint="eastAsia" w:ascii="仿宋_GB2312" w:hAnsi="Times New Roman" w:eastAsia="仿宋_GB2312" w:cs="Times New Roman"/>
          <w:sz w:val="28"/>
          <w:szCs w:val="28"/>
          <w:highlight w:val="none"/>
        </w:rPr>
        <w:t>“</w:t>
      </w:r>
      <w:r>
        <w:rPr>
          <w:rFonts w:hint="eastAsia" w:ascii="仿宋_GB2312" w:eastAsia="仿宋_GB2312"/>
          <w:sz w:val="28"/>
          <w:szCs w:val="28"/>
        </w:rPr>
        <w:t>资源勘探工业信息等支出</w:t>
      </w:r>
      <w:r>
        <w:rPr>
          <w:rFonts w:hint="eastAsia" w:ascii="仿宋_GB2312" w:hAnsi="Times New Roman" w:eastAsia="仿宋_GB2312" w:cs="Times New Roman"/>
          <w:sz w:val="28"/>
          <w:szCs w:val="28"/>
          <w:highlight w:val="none"/>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hAnsi="Times New Roman" w:eastAsia="仿宋_GB2312" w:cs="Times New Roman"/>
          <w:sz w:val="28"/>
          <w:szCs w:val="28"/>
          <w:highlight w:val="none"/>
        </w:rPr>
        <w:t>202</w:t>
      </w:r>
      <w:r>
        <w:rPr>
          <w:rFonts w:hint="eastAsia" w:ascii="仿宋_GB2312" w:eastAsia="仿宋_GB2312" w:cs="Times New Roman"/>
          <w:sz w:val="28"/>
          <w:szCs w:val="28"/>
          <w:highlight w:val="none"/>
          <w:lang w:val="en-US" w:eastAsia="zh-CN"/>
        </w:rPr>
        <w:t>4</w:t>
      </w:r>
      <w:r>
        <w:rPr>
          <w:rFonts w:hint="eastAsia" w:ascii="仿宋_GB2312" w:hAnsi="Times New Roman" w:eastAsia="仿宋_GB2312" w:cs="Times New Roman"/>
          <w:sz w:val="28"/>
          <w:szCs w:val="28"/>
          <w:highlight w:val="none"/>
        </w:rPr>
        <w:t>年度决算</w:t>
      </w:r>
      <w:r>
        <w:rPr>
          <w:rFonts w:hint="eastAsia" w:ascii="仿宋_GB2312" w:eastAsia="仿宋_GB2312" w:cs="Times New Roman"/>
          <w:sz w:val="28"/>
          <w:szCs w:val="28"/>
          <w:highlight w:val="none"/>
          <w:lang w:val="en-US" w:eastAsia="zh-CN"/>
        </w:rPr>
        <w:t>21000</w:t>
      </w:r>
      <w:r>
        <w:rPr>
          <w:rFonts w:hint="eastAsia" w:ascii="仿宋_GB2312" w:hAnsi="Times New Roman" w:eastAsia="仿宋_GB2312" w:cs="Times New Roman"/>
          <w:sz w:val="28"/>
          <w:szCs w:val="28"/>
          <w:highlight w:val="none"/>
        </w:rPr>
        <w:t>万元。其中：</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hAnsi="Times New Roman" w:eastAsia="仿宋_GB2312" w:cs="Times New Roman"/>
          <w:sz w:val="28"/>
          <w:szCs w:val="28"/>
          <w:highlight w:val="none"/>
          <w:lang w:eastAsia="zh-CN"/>
        </w:rPr>
      </w:pPr>
      <w:r>
        <w:rPr>
          <w:rFonts w:hint="eastAsia" w:ascii="仿宋_GB2312" w:hAnsi="Times New Roman" w:eastAsia="仿宋_GB2312" w:cs="Times New Roman"/>
          <w:sz w:val="28"/>
          <w:szCs w:val="28"/>
          <w:highlight w:val="none"/>
        </w:rPr>
        <w:t>“</w:t>
      </w:r>
      <w:r>
        <w:rPr>
          <w:rFonts w:hint="eastAsia" w:ascii="仿宋_GB2312" w:hAnsi="Times New Roman" w:eastAsia="仿宋_GB2312" w:cs="Times New Roman"/>
          <w:sz w:val="28"/>
          <w:szCs w:val="28"/>
          <w:highlight w:val="none"/>
          <w:lang w:val="en-US" w:eastAsia="zh-CN"/>
        </w:rPr>
        <w:t>超长期特别国债安排的支出</w:t>
      </w:r>
      <w:r>
        <w:rPr>
          <w:rFonts w:hint="eastAsia" w:ascii="仿宋_GB2312" w:hAnsi="Times New Roman" w:eastAsia="仿宋_GB2312" w:cs="Times New Roman"/>
          <w:sz w:val="28"/>
          <w:szCs w:val="28"/>
          <w:highlight w:val="none"/>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hAnsi="Times New Roman" w:eastAsia="仿宋_GB2312" w:cs="Times New Roman"/>
          <w:sz w:val="28"/>
          <w:szCs w:val="28"/>
          <w:highlight w:val="none"/>
        </w:rPr>
        <w:t>202</w:t>
      </w:r>
      <w:r>
        <w:rPr>
          <w:rFonts w:hint="eastAsia" w:ascii="仿宋_GB2312" w:hAnsi="Times New Roman" w:eastAsia="仿宋_GB2312" w:cs="Times New Roman"/>
          <w:sz w:val="28"/>
          <w:szCs w:val="28"/>
          <w:highlight w:val="none"/>
          <w:lang w:val="en-US" w:eastAsia="zh-CN"/>
        </w:rPr>
        <w:t>4</w:t>
      </w:r>
      <w:r>
        <w:rPr>
          <w:rFonts w:hint="eastAsia" w:ascii="仿宋_GB2312" w:hAnsi="Times New Roman" w:eastAsia="仿宋_GB2312" w:cs="Times New Roman"/>
          <w:sz w:val="28"/>
          <w:szCs w:val="28"/>
          <w:highlight w:val="none"/>
        </w:rPr>
        <w:t>年度决算</w:t>
      </w:r>
      <w:r>
        <w:rPr>
          <w:rFonts w:hint="eastAsia" w:ascii="仿宋_GB2312" w:hAnsi="Times New Roman" w:eastAsia="仿宋_GB2312" w:cs="Times New Roman"/>
          <w:sz w:val="28"/>
          <w:szCs w:val="28"/>
          <w:highlight w:val="none"/>
          <w:lang w:val="en-US" w:eastAsia="zh-CN"/>
        </w:rPr>
        <w:t>21000</w:t>
      </w:r>
      <w:r>
        <w:rPr>
          <w:rFonts w:hint="eastAsia" w:ascii="仿宋_GB2312" w:hAnsi="Times New Roman" w:eastAsia="仿宋_GB2312" w:cs="Times New Roman"/>
          <w:sz w:val="28"/>
          <w:szCs w:val="28"/>
          <w:highlight w:val="none"/>
        </w:rPr>
        <w:t>万元</w:t>
      </w:r>
      <w:r>
        <w:rPr>
          <w:rFonts w:hint="eastAsia" w:ascii="仿宋_GB2312" w:hAnsi="Times New Roman" w:eastAsia="仿宋_GB2312" w:cs="Times New Roman"/>
          <w:color w:val="auto"/>
          <w:sz w:val="28"/>
          <w:szCs w:val="28"/>
          <w:highlight w:val="none"/>
        </w:rPr>
        <w:t>。</w:t>
      </w:r>
      <w:r>
        <w:rPr>
          <w:rFonts w:hint="eastAsia" w:ascii="仿宋_GB2312" w:hAnsi="Times New Roman" w:eastAsia="仿宋_GB2312" w:cs="Times New Roman"/>
          <w:sz w:val="28"/>
          <w:szCs w:val="28"/>
          <w:highlight w:val="none"/>
        </w:rPr>
        <w:t>主要原因：</w:t>
      </w:r>
      <w:r>
        <w:rPr>
          <w:rFonts w:hint="eastAsia" w:ascii="仿宋_GB2312" w:eastAsia="仿宋_GB2312" w:cs="Times New Roman"/>
          <w:sz w:val="28"/>
          <w:szCs w:val="28"/>
          <w:highlight w:val="none"/>
          <w:lang w:eastAsia="zh-CN"/>
        </w:rPr>
        <w:t>新增</w:t>
      </w:r>
      <w:r>
        <w:rPr>
          <w:rFonts w:hint="eastAsia" w:ascii="仿宋_GB2312" w:hAnsi="Times New Roman" w:eastAsia="仿宋_GB2312" w:cs="Times New Roman"/>
          <w:sz w:val="28"/>
          <w:szCs w:val="28"/>
          <w:highlight w:val="none"/>
          <w:lang w:val="en-US" w:eastAsia="zh-CN"/>
        </w:rPr>
        <w:t>老旧货、客车报废和更新（运营）支出。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16810.84</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165.4</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306.98</w:t>
      </w:r>
      <w:r>
        <w:rPr>
          <w:rFonts w:hint="eastAsia" w:ascii="仿宋_GB2312" w:eastAsia="仿宋_GB2312"/>
          <w:sz w:val="28"/>
          <w:szCs w:val="28"/>
        </w:rPr>
        <w:t>万元减少</w:t>
      </w:r>
      <w:r>
        <w:rPr>
          <w:rFonts w:ascii="仿宋_GB2312" w:eastAsia="仿宋_GB2312"/>
          <w:sz w:val="28"/>
          <w:szCs w:val="28"/>
        </w:rPr>
        <w:t>141.58</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115.55</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185.53</w:t>
      </w:r>
      <w:r>
        <w:rPr>
          <w:rFonts w:hint="eastAsia" w:ascii="仿宋_GB2312" w:eastAsia="仿宋_GB2312"/>
          <w:sz w:val="28"/>
          <w:szCs w:val="28"/>
        </w:rPr>
        <w:t>万元减少</w:t>
      </w:r>
      <w:r>
        <w:rPr>
          <w:rFonts w:ascii="仿宋_GB2312" w:eastAsia="仿宋_GB2312"/>
          <w:sz w:val="28"/>
          <w:szCs w:val="28"/>
        </w:rPr>
        <w:t>69.98</w:t>
      </w:r>
      <w:r>
        <w:rPr>
          <w:rFonts w:hint="eastAsia" w:ascii="仿宋_GB2312" w:eastAsia="仿宋_GB2312"/>
          <w:sz w:val="28"/>
          <w:szCs w:val="28"/>
        </w:rPr>
        <w:t>万元。主要原因：</w:t>
      </w:r>
      <w:r>
        <w:rPr>
          <w:rFonts w:hint="eastAsia" w:ascii="仿宋_GB2312" w:eastAsia="仿宋_GB2312"/>
          <w:sz w:val="28"/>
          <w:szCs w:val="28"/>
          <w:lang w:eastAsia="zh-CN"/>
        </w:rPr>
        <w:t>根据</w:t>
      </w:r>
      <w:r>
        <w:rPr>
          <w:rFonts w:hint="eastAsia" w:ascii="仿宋_GB2312" w:eastAsia="仿宋_GB2312"/>
          <w:sz w:val="28"/>
          <w:szCs w:val="28"/>
          <w:lang w:val="en-US" w:eastAsia="zh-CN"/>
        </w:rPr>
        <w:t>2024年</w:t>
      </w:r>
      <w:r>
        <w:rPr>
          <w:rFonts w:hint="eastAsia" w:ascii="仿宋_GB2312" w:eastAsia="仿宋_GB2312"/>
          <w:sz w:val="28"/>
          <w:szCs w:val="28"/>
        </w:rPr>
        <w:t>因公出国（境）组</w:t>
      </w:r>
      <w:r>
        <w:rPr>
          <w:rFonts w:hint="eastAsia" w:ascii="仿宋_GB2312" w:eastAsia="仿宋_GB2312"/>
          <w:sz w:val="28"/>
          <w:szCs w:val="28"/>
          <w:lang w:eastAsia="zh-CN"/>
        </w:rPr>
        <w:t>团工作安排</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年度因公出国（境）费用主要用于在公交</w:t>
      </w:r>
      <w:r>
        <w:rPr>
          <w:rFonts w:hint="eastAsia" w:ascii="仿宋_GB2312" w:eastAsia="仿宋_GB2312"/>
          <w:sz w:val="28"/>
          <w:szCs w:val="28"/>
          <w:lang w:eastAsia="zh-CN"/>
        </w:rPr>
        <w:t>地铁两网融合、交通综合治理、智慧交通</w:t>
      </w:r>
      <w:r>
        <w:rPr>
          <w:rFonts w:hint="eastAsia" w:ascii="仿宋_GB2312" w:eastAsia="仿宋_GB2312"/>
          <w:sz w:val="28"/>
          <w:szCs w:val="28"/>
        </w:rPr>
        <w:t>等方面与国外相关城市开展充分交流合作，为我市完善综合交通体系</w:t>
      </w:r>
      <w:r>
        <w:rPr>
          <w:rFonts w:hint="eastAsia" w:ascii="仿宋_GB2312" w:eastAsia="仿宋_GB2312"/>
          <w:sz w:val="28"/>
          <w:szCs w:val="28"/>
          <w:lang w:eastAsia="zh-CN"/>
        </w:rPr>
        <w:t>建设，提升精细化治理水平提供了</w:t>
      </w:r>
      <w:r>
        <w:rPr>
          <w:rFonts w:hint="eastAsia" w:ascii="仿宋_GB2312" w:eastAsia="仿宋_GB2312"/>
          <w:sz w:val="28"/>
          <w:szCs w:val="28"/>
        </w:rPr>
        <w:t>有益参考。202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10</w:t>
      </w:r>
      <w:r>
        <w:rPr>
          <w:rFonts w:hint="eastAsia" w:ascii="仿宋_GB2312" w:eastAsia="仿宋_GB2312"/>
          <w:sz w:val="28"/>
          <w:szCs w:val="28"/>
        </w:rPr>
        <w:t>个、</w:t>
      </w:r>
      <w:r>
        <w:rPr>
          <w:rFonts w:hint="eastAsia" w:ascii="仿宋_GB2312" w:eastAsia="仿宋_GB2312"/>
          <w:sz w:val="28"/>
          <w:szCs w:val="28"/>
          <w:lang w:eastAsia="zh-CN"/>
        </w:rPr>
        <w:t>27</w:t>
      </w:r>
      <w:r>
        <w:rPr>
          <w:rFonts w:hint="eastAsia" w:ascii="仿宋_GB2312" w:eastAsia="仿宋_GB2312"/>
          <w:sz w:val="28"/>
          <w:szCs w:val="28"/>
        </w:rPr>
        <w:t>人次。</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olor w:val="auto"/>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1.9</w:t>
      </w:r>
      <w:r>
        <w:rPr>
          <w:rFonts w:hint="eastAsia" w:ascii="仿宋_GB2312" w:eastAsia="仿宋_GB2312"/>
          <w:sz w:val="28"/>
          <w:szCs w:val="28"/>
        </w:rPr>
        <w:t>万元减少</w:t>
      </w:r>
      <w:r>
        <w:rPr>
          <w:rFonts w:ascii="仿宋_GB2312" w:eastAsia="仿宋_GB2312"/>
          <w:sz w:val="28"/>
          <w:szCs w:val="28"/>
        </w:rPr>
        <w:t>1.9</w:t>
      </w:r>
      <w:r>
        <w:rPr>
          <w:rFonts w:hint="eastAsia" w:ascii="仿宋_GB2312" w:eastAsia="仿宋_GB2312"/>
          <w:sz w:val="28"/>
          <w:szCs w:val="28"/>
        </w:rPr>
        <w:t>万元。主要原因：</w:t>
      </w:r>
      <w:r>
        <w:rPr>
          <w:rFonts w:hint="eastAsia" w:ascii="仿宋_GB2312" w:hAnsi="Times New Roman" w:eastAsia="仿宋_GB2312" w:cs="Times New Roman"/>
          <w:color w:val="auto"/>
          <w:sz w:val="28"/>
          <w:szCs w:val="28"/>
        </w:rPr>
        <w:t>我</w:t>
      </w:r>
      <w:r>
        <w:rPr>
          <w:rFonts w:hint="eastAsia" w:ascii="仿宋_GB2312" w:eastAsia="仿宋_GB2312" w:cs="Times New Roman"/>
          <w:color w:val="auto"/>
          <w:sz w:val="28"/>
          <w:szCs w:val="28"/>
          <w:lang w:eastAsia="zh-CN"/>
        </w:rPr>
        <w:t>委严格公务接待管理，</w:t>
      </w:r>
      <w:r>
        <w:rPr>
          <w:rFonts w:hint="eastAsia" w:ascii="仿宋_GB2312" w:hAnsi="Times New Roman" w:eastAsia="仿宋_GB2312" w:cs="Times New Roman"/>
          <w:color w:val="auto"/>
          <w:sz w:val="28"/>
          <w:szCs w:val="28"/>
          <w:lang w:val="en-US" w:eastAsia="zh-CN"/>
        </w:rPr>
        <w:t>202</w:t>
      </w:r>
      <w:r>
        <w:rPr>
          <w:rFonts w:hint="eastAsia" w:ascii="仿宋_GB2312" w:eastAsia="仿宋_GB2312" w:cs="Times New Roman"/>
          <w:color w:val="auto"/>
          <w:sz w:val="28"/>
          <w:szCs w:val="28"/>
          <w:lang w:val="en-US" w:eastAsia="zh-CN"/>
        </w:rPr>
        <w:t>4</w:t>
      </w:r>
      <w:r>
        <w:rPr>
          <w:rFonts w:hint="eastAsia" w:ascii="仿宋_GB2312" w:hAnsi="Times New Roman" w:eastAsia="仿宋_GB2312" w:cs="Times New Roman"/>
          <w:color w:val="auto"/>
          <w:sz w:val="28"/>
          <w:szCs w:val="28"/>
          <w:lang w:val="en-US" w:eastAsia="zh-CN"/>
        </w:rPr>
        <w:t>年</w:t>
      </w:r>
      <w:r>
        <w:rPr>
          <w:rFonts w:hint="eastAsia" w:ascii="仿宋_GB2312" w:hAnsi="Times New Roman" w:eastAsia="仿宋_GB2312" w:cs="Times New Roman"/>
          <w:color w:val="auto"/>
          <w:sz w:val="28"/>
          <w:szCs w:val="28"/>
        </w:rPr>
        <w:t>未发生支出。</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49.85</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119.55</w:t>
      </w:r>
      <w:r>
        <w:rPr>
          <w:rFonts w:hint="eastAsia" w:ascii="仿宋_GB2312" w:eastAsia="仿宋_GB2312"/>
          <w:sz w:val="28"/>
          <w:szCs w:val="28"/>
        </w:rPr>
        <w:t>万元减少</w:t>
      </w:r>
      <w:r>
        <w:rPr>
          <w:rFonts w:ascii="仿宋_GB2312" w:eastAsia="仿宋_GB2312"/>
          <w:sz w:val="28"/>
          <w:szCs w:val="28"/>
        </w:rPr>
        <w:t>69.7</w:t>
      </w:r>
      <w:r>
        <w:rPr>
          <w:rFonts w:hint="eastAsia" w:ascii="仿宋_GB2312" w:eastAsia="仿宋_GB2312"/>
          <w:sz w:val="28"/>
          <w:szCs w:val="28"/>
        </w:rPr>
        <w:t>万元。其中，公务用车运行维护费202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49.85</w:t>
      </w:r>
      <w:r>
        <w:rPr>
          <w:rFonts w:hint="eastAsia" w:ascii="仿宋_GB2312" w:eastAsia="仿宋_GB2312"/>
          <w:sz w:val="28"/>
          <w:szCs w:val="28"/>
        </w:rPr>
        <w:t>万元，主要原因：</w:t>
      </w:r>
      <w:r>
        <w:rPr>
          <w:rFonts w:hint="eastAsia" w:ascii="仿宋_GB2312" w:hAnsi="Times New Roman" w:eastAsia="仿宋_GB2312" w:cs="Times New Roman"/>
          <w:sz w:val="28"/>
          <w:szCs w:val="28"/>
          <w:lang w:eastAsia="zh-CN"/>
        </w:rPr>
        <w:t>我委加强公务用车管理，</w:t>
      </w:r>
      <w:r>
        <w:rPr>
          <w:rFonts w:hint="eastAsia" w:ascii="仿宋_GB2312" w:hAnsi="Times New Roman" w:eastAsia="仿宋_GB2312" w:cs="Times New Roman"/>
          <w:sz w:val="28"/>
          <w:szCs w:val="28"/>
        </w:rPr>
        <w:t>严格控制公务车辆运行费</w:t>
      </w:r>
      <w:r>
        <w:rPr>
          <w:rFonts w:hint="eastAsia" w:ascii="仿宋_GB2312" w:hAnsi="Times New Roman" w:eastAsia="仿宋_GB2312" w:cs="Times New Roman"/>
          <w:color w:val="auto"/>
          <w:sz w:val="28"/>
          <w:szCs w:val="28"/>
        </w:rPr>
        <w:t>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45</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keepNext w:val="0"/>
        <w:keepLines w:val="0"/>
        <w:widowControl/>
        <w:suppressLineNumbers w:val="0"/>
        <w:ind w:firstLine="560" w:firstLineChars="200"/>
        <w:jc w:val="left"/>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1275.93</w:t>
      </w:r>
      <w:r>
        <w:rPr>
          <w:rFonts w:hint="eastAsia" w:ascii="仿宋_GB2312" w:eastAsia="仿宋_GB2312"/>
          <w:sz w:val="28"/>
          <w:szCs w:val="28"/>
        </w:rPr>
        <w:t>万元，比上年减少</w:t>
      </w:r>
      <w:r>
        <w:rPr>
          <w:rFonts w:hint="eastAsia" w:ascii="仿宋_GB2312" w:eastAsia="仿宋_GB2312"/>
          <w:sz w:val="28"/>
          <w:szCs w:val="28"/>
          <w:lang w:val="en-US" w:eastAsia="zh-CN"/>
        </w:rPr>
        <w:t>1270.03</w:t>
      </w:r>
      <w:r>
        <w:rPr>
          <w:rFonts w:hint="eastAsia" w:ascii="仿宋_GB2312" w:eastAsia="仿宋_GB2312"/>
          <w:sz w:val="28"/>
          <w:szCs w:val="28"/>
        </w:rPr>
        <w:t>万元，减少原因：</w:t>
      </w:r>
      <w:r>
        <w:rPr>
          <w:rFonts w:hint="eastAsia" w:ascii="仿宋_GB2312" w:eastAsia="仿宋_GB2312"/>
          <w:sz w:val="28"/>
          <w:szCs w:val="28"/>
          <w:lang w:eastAsia="zh-CN"/>
        </w:rPr>
        <w:t>搬入通州副中心后水费、电费等部分公用经费划转机管局统一管理</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15217.03</w:t>
      </w:r>
      <w:r>
        <w:rPr>
          <w:rFonts w:hint="eastAsia" w:ascii="仿宋_GB2312" w:eastAsia="仿宋_GB2312"/>
          <w:sz w:val="28"/>
          <w:szCs w:val="28"/>
        </w:rPr>
        <w:t>万元，其中：政府采购货物支出</w:t>
      </w:r>
      <w:r>
        <w:rPr>
          <w:rFonts w:ascii="仿宋_GB2312" w:eastAsia="仿宋_GB2312"/>
          <w:sz w:val="28"/>
          <w:szCs w:val="28"/>
        </w:rPr>
        <w:t>714.08</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14502.95</w:t>
      </w:r>
      <w:r>
        <w:rPr>
          <w:rFonts w:hint="eastAsia" w:ascii="仿宋_GB2312" w:eastAsia="仿宋_GB2312"/>
          <w:sz w:val="28"/>
          <w:szCs w:val="28"/>
        </w:rPr>
        <w:t>万元。授予中小企业合同金额</w:t>
      </w:r>
      <w:r>
        <w:rPr>
          <w:rFonts w:ascii="仿宋_GB2312" w:eastAsia="仿宋_GB2312"/>
          <w:sz w:val="28"/>
          <w:szCs w:val="28"/>
        </w:rPr>
        <w:t>6289.37</w:t>
      </w:r>
      <w:r>
        <w:rPr>
          <w:rFonts w:hint="eastAsia" w:ascii="仿宋_GB2312" w:eastAsia="仿宋_GB2312"/>
          <w:sz w:val="28"/>
          <w:szCs w:val="28"/>
        </w:rPr>
        <w:t>万元，占政府采购支出总额的</w:t>
      </w:r>
      <w:r>
        <w:rPr>
          <w:rFonts w:hint="eastAsia" w:ascii="仿宋_GB2312" w:eastAsia="仿宋_GB2312"/>
          <w:sz w:val="28"/>
          <w:szCs w:val="28"/>
          <w:lang w:eastAsia="zh-CN"/>
        </w:rPr>
        <w:t>41.33</w:t>
      </w:r>
      <w:r>
        <w:rPr>
          <w:rFonts w:hint="eastAsia" w:ascii="仿宋_GB2312" w:eastAsia="仿宋_GB2312"/>
          <w:sz w:val="28"/>
          <w:szCs w:val="28"/>
        </w:rPr>
        <w:t>%，其中：授予小微企业合同金额</w:t>
      </w:r>
      <w:r>
        <w:rPr>
          <w:rFonts w:ascii="仿宋_GB2312" w:eastAsia="仿宋_GB2312"/>
          <w:sz w:val="28"/>
          <w:szCs w:val="28"/>
        </w:rPr>
        <w:t>4854.84</w:t>
      </w:r>
      <w:r>
        <w:rPr>
          <w:rFonts w:hint="eastAsia" w:ascii="仿宋_GB2312" w:eastAsia="仿宋_GB2312"/>
          <w:sz w:val="28"/>
          <w:szCs w:val="28"/>
        </w:rPr>
        <w:t>万元，占政府采购支出总额的</w:t>
      </w:r>
      <w:r>
        <w:rPr>
          <w:rFonts w:ascii="仿宋_GB2312" w:eastAsia="仿宋_GB2312"/>
          <w:sz w:val="28"/>
          <w:szCs w:val="28"/>
        </w:rPr>
        <w:t>31.9</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12月31日，北京市交通委员会(本级)</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45</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19</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政府购买服务决算20320.8</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pStyle w:val="3"/>
        <w:ind w:left="0" w:leftChars="0"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eastAsia="仿宋_GB2312"/>
          <w:sz w:val="28"/>
          <w:szCs w:val="28"/>
          <w:lang w:val="en-US" w:eastAsia="zh-CN"/>
        </w:rPr>
        <w:t>7</w:t>
      </w:r>
      <w:r>
        <w:rPr>
          <w:rFonts w:ascii="仿宋_GB2312" w:eastAsia="仿宋_GB2312"/>
          <w:sz w:val="28"/>
          <w:szCs w:val="28"/>
        </w:rPr>
        <w:t>.</w:t>
      </w:r>
      <w:r>
        <w:rPr>
          <w:rFonts w:hint="eastAsia" w:ascii="仿宋_GB2312" w:hAnsi="Times New Roman" w:eastAsia="仿宋_GB2312" w:cs="Times New Roman"/>
          <w:kern w:val="2"/>
          <w:sz w:val="28"/>
          <w:szCs w:val="28"/>
          <w:lang w:val="en-US" w:eastAsia="zh-CN" w:bidi="ar-SA"/>
        </w:rPr>
        <w:t>当年使用的所有支出功能分类名词解释：</w:t>
      </w:r>
    </w:p>
    <w:p>
      <w:pPr>
        <w:pStyle w:val="3"/>
        <w:ind w:left="0" w:leftChars="0"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国防支出（类）国防动员（款）交通战备（项）：反应用于交通战备等方面的支出。</w:t>
      </w:r>
    </w:p>
    <w:p>
      <w:pPr>
        <w:pStyle w:val="3"/>
        <w:ind w:left="0" w:leftChars="0"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教育支出（类）进修及培训（款）培训支出（项）：反映各部门安排用于培训的支出。</w:t>
      </w:r>
    </w:p>
    <w:p>
      <w:pPr>
        <w:pStyle w:val="3"/>
        <w:ind w:left="0" w:leftChars="0"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社会保障和就业支出（类）行政事业单位养老支出（款）行政单位离退休（项）：反映行政单位（包括实行公务员管理的事业单位）开支的离退休经费。</w:t>
      </w:r>
    </w:p>
    <w:p>
      <w:pPr>
        <w:pStyle w:val="3"/>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社会保障和就业支出（类）行政事业单位养老支出（款）机关事业单位基本养老保险缴费支出（项）：反映机关事业单位实施养老保险制度由单位实际缴纳的基本养老保险支出。</w:t>
      </w:r>
    </w:p>
    <w:p>
      <w:pPr>
        <w:pStyle w:val="3"/>
        <w:rPr>
          <w:rFonts w:hint="eastAsia" w:ascii="仿宋_GB2312" w:hAnsi="Times New Roman" w:eastAsia="仿宋_GB2312" w:cs="Times New Roman"/>
          <w:kern w:val="2"/>
          <w:sz w:val="28"/>
          <w:szCs w:val="28"/>
          <w:lang w:val="en" w:eastAsia="zh-CN" w:bidi="ar-SA"/>
        </w:rPr>
      </w:pPr>
      <w:r>
        <w:rPr>
          <w:rFonts w:hint="eastAsia" w:ascii="仿宋_GB2312" w:hAnsi="Times New Roman" w:eastAsia="仿宋_GB2312" w:cs="Times New Roman"/>
          <w:kern w:val="2"/>
          <w:sz w:val="28"/>
          <w:szCs w:val="28"/>
          <w:lang w:val="en-US" w:eastAsia="zh-CN" w:bidi="ar-SA"/>
        </w:rPr>
        <w:t>社会保障和就业支出（类）行政事业单位养老支出（款）机关事业单位职业年金缴费支出（项）：</w:t>
      </w:r>
      <w:r>
        <w:rPr>
          <w:rFonts w:hint="eastAsia" w:ascii="仿宋_GB2312" w:hAnsi="宋体" w:eastAsia="仿宋_GB2312"/>
          <w:sz w:val="28"/>
          <w:szCs w:val="28"/>
          <w:lang w:val="en" w:eastAsia="zh-CN"/>
        </w:rPr>
        <w:t>反映机关事业单位实施养老保险制度由单位实际缴纳的职业年金支</w:t>
      </w:r>
      <w:r>
        <w:rPr>
          <w:rFonts w:hint="eastAsia" w:ascii="仿宋_GB2312" w:hAnsi="Times New Roman" w:eastAsia="仿宋_GB2312" w:cs="Times New Roman"/>
          <w:kern w:val="2"/>
          <w:sz w:val="28"/>
          <w:szCs w:val="28"/>
          <w:lang w:val="en" w:eastAsia="zh-CN" w:bidi="ar-SA"/>
        </w:rPr>
        <w:t>出（含职业年金补记支出）。</w:t>
      </w:r>
    </w:p>
    <w:p>
      <w:pPr>
        <w:pStyle w:val="3"/>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卫生健康支出（类）行政事业单位医疗（款）行政单位医疗（项）：反映财政部门安排的行政单位（包括实行公务员管理的事业单位）基本医疗保险缴费经费，未参加医疗保险的行政单位的公费医疗经费，按国家规定享受离休人员、红军老战士待遇人员的医疗经费。</w:t>
      </w:r>
    </w:p>
    <w:p>
      <w:pPr>
        <w:pStyle w:val="3"/>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卫生健康支出（类）行政事业单位医疗（款）公务员医疗补助（项）：反映财政部门安排的公务员医疗补助经费。</w:t>
      </w:r>
    </w:p>
    <w:p>
      <w:pPr>
        <w:pStyle w:val="3"/>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节能环保支出（类）能源节约利用（款）能源节约利用（项）：反映用于能源节约利用方面的支出。</w:t>
      </w:r>
    </w:p>
    <w:p>
      <w:pPr>
        <w:pStyle w:val="3"/>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城乡社区支出（类）城乡社区公共设施（款）其他城乡社区公共设施支出（项）：反映出上述项目以外其他用于城乡社区公共设施方面的支出。</w:t>
      </w:r>
    </w:p>
    <w:p>
      <w:pPr>
        <w:pStyle w:val="3"/>
        <w:rPr>
          <w:rFonts w:hint="eastAsia" w:ascii="仿宋_GB2312" w:hAnsi="Times New Roman" w:eastAsia="仿宋_GB2312" w:cs="Times New Roman"/>
          <w:kern w:val="2"/>
          <w:sz w:val="28"/>
          <w:szCs w:val="28"/>
          <w:highlight w:val="none"/>
          <w:lang w:val="en-US" w:eastAsia="zh-CN" w:bidi="ar-SA"/>
        </w:rPr>
      </w:pPr>
      <w:r>
        <w:rPr>
          <w:rFonts w:hint="eastAsia" w:ascii="仿宋_GB2312" w:hAnsi="Times New Roman" w:eastAsia="仿宋_GB2312" w:cs="Times New Roman"/>
          <w:kern w:val="2"/>
          <w:sz w:val="28"/>
          <w:szCs w:val="28"/>
          <w:highlight w:val="none"/>
          <w:lang w:val="en-US" w:eastAsia="zh-CN" w:bidi="ar-SA"/>
        </w:rPr>
        <w:t>城乡社区支出（类）国有土地使用权出让收入安排的支出（款）城市建设支出（项）：反映土地出让收入用于完善国有土地使用功能的配套设施建设和城市基础设施建设支出。</w:t>
      </w:r>
    </w:p>
    <w:p>
      <w:pPr>
        <w:pStyle w:val="3"/>
        <w:rPr>
          <w:rFonts w:hint="eastAsia" w:ascii="仿宋_GB2312" w:hAnsi="Times New Roman" w:eastAsia="仿宋_GB2312" w:cs="Times New Roman"/>
          <w:kern w:val="2"/>
          <w:sz w:val="28"/>
          <w:szCs w:val="28"/>
          <w:highlight w:val="none"/>
          <w:lang w:val="en-US" w:eastAsia="zh-CN" w:bidi="ar-SA"/>
        </w:rPr>
      </w:pPr>
      <w:r>
        <w:rPr>
          <w:rFonts w:hint="eastAsia" w:ascii="仿宋_GB2312" w:hAnsi="Times New Roman" w:eastAsia="仿宋_GB2312" w:cs="Times New Roman"/>
          <w:kern w:val="2"/>
          <w:sz w:val="28"/>
          <w:szCs w:val="28"/>
          <w:highlight w:val="none"/>
          <w:lang w:val="en-US" w:eastAsia="zh-CN" w:bidi="ar-SA"/>
        </w:rPr>
        <w:t>城乡社区支出（类）国有土地使用权出让收入对应专项债务收入安排的支出（款）城市建设支出（项）：反映除土地储备专项债券、棚户区改造专项债券外，国有土地使用权出让收入对应其他专项债务收入安排的用于完善国有土地使用功能的配套设施建设和城市基础设施建设支出。</w:t>
      </w:r>
    </w:p>
    <w:p>
      <w:pPr>
        <w:pStyle w:val="3"/>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交通运输支出（类）公路水路运输（款）行政运行（项）：反映行政单位（包括实行公务员管理的事业单位）的基本支出。</w:t>
      </w:r>
    </w:p>
    <w:p>
      <w:pPr>
        <w:pStyle w:val="3"/>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交通运输支出（类）公路水路运输（款）一般行政管理事务（项）：反映行政单位（包括实行公务员管理的事业单位）未单独设置项级科目的其他项目支出。</w:t>
      </w:r>
    </w:p>
    <w:p>
      <w:pPr>
        <w:pStyle w:val="3"/>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交通运输支出（类）公路水路运输（款）公路养护（项）：反映公路养护支出。</w:t>
      </w:r>
    </w:p>
    <w:p>
      <w:pPr>
        <w:pStyle w:val="3"/>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交通运输支出（类）公路水路运输（款）交通运输信息化建设（项）：反映交通运输信息化建设支出。</w:t>
      </w:r>
    </w:p>
    <w:p>
      <w:pPr>
        <w:pStyle w:val="3"/>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交通运输支出（类）公路水路运输（款）公路运输管理（项）：反映公路运输管理支出和公路路政管理支出。</w:t>
      </w:r>
    </w:p>
    <w:p>
      <w:pPr>
        <w:pStyle w:val="3"/>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交通运输支出（类）公路水路运输（款）其他公路水路运输支出（项）：反映出上述项目以外其他用于公路水路运输方面的支出。</w:t>
      </w:r>
    </w:p>
    <w:p>
      <w:pPr>
        <w:keepNext w:val="0"/>
        <w:keepLines w:val="0"/>
        <w:widowControl/>
        <w:suppressLineNumbers w:val="0"/>
        <w:ind w:firstLine="560" w:firstLineChars="200"/>
        <w:jc w:val="left"/>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交通运输支出（类）超长期特别国债安排的支出（款）其他交通运输支出（项）：反映除上述项目以外的其他使用超长期特别国债收入安排的交通运输支出</w:t>
      </w:r>
    </w:p>
    <w:p>
      <w:pPr>
        <w:pStyle w:val="3"/>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交通运输支出（类）其他交通运输支出（款）公共交通运营补助（项）：反映对公共交通运输企业的补助支出。</w:t>
      </w:r>
    </w:p>
    <w:p>
      <w:pPr>
        <w:numPr>
          <w:ilvl w:val="0"/>
          <w:numId w:val="0"/>
        </w:numPr>
        <w:ind w:firstLine="560" w:firstLineChars="200"/>
        <w:rPr>
          <w:rFonts w:hint="eastAsia" w:ascii="黑体" w:eastAsia="黑体"/>
          <w:sz w:val="32"/>
          <w:szCs w:val="32"/>
        </w:rPr>
      </w:pPr>
      <w:r>
        <w:rPr>
          <w:rFonts w:hint="eastAsia" w:ascii="仿宋_GB2312" w:hAnsi="Times New Roman" w:eastAsia="仿宋_GB2312" w:cs="Times New Roman"/>
          <w:kern w:val="2"/>
          <w:sz w:val="28"/>
          <w:szCs w:val="28"/>
          <w:lang w:val="en-US" w:eastAsia="zh-CN" w:bidi="ar-SA"/>
        </w:rPr>
        <w:t>资源勘探工业信息等支出（类）超长期特别国债安排的支出（款）制造业（项）：反映使用超长期特别国债收入安排的纺织、轻工、化工、医药、机械、冶炼、建材、交通运输设备、烟草、兵器、核工、航空、航天、船舶、电子及通讯设备等制造业支出。</w:t>
      </w: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bookmarkStart w:id="0" w:name="_GoBack"/>
      <w:bookmarkEnd w:id="0"/>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ind w:firstLine="560" w:firstLineChars="200"/>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r>
        <w:rPr>
          <w:rFonts w:hint="eastAsia" w:ascii="黑体" w:eastAsia="黑体"/>
          <w:sz w:val="28"/>
          <w:szCs w:val="28"/>
          <w:lang w:val="en-US" w:eastAsia="zh-CN"/>
        </w:rPr>
        <w:t>2</w:t>
      </w:r>
      <w:r>
        <w:rPr>
          <w:rFonts w:hint="eastAsia" w:ascii="黑体" w:eastAsia="黑体"/>
          <w:sz w:val="28"/>
          <w:szCs w:val="28"/>
          <w:lang w:eastAsia="zh-CN"/>
        </w:rPr>
        <w:t>）</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3NGM3NDI2NGJmYmIwNjIzYTc3OWI5OGViNzAxY2I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33D2"/>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D1F5912"/>
    <w:rsid w:val="2EFFE297"/>
    <w:rsid w:val="301437CA"/>
    <w:rsid w:val="349D1F0A"/>
    <w:rsid w:val="34DD0473"/>
    <w:rsid w:val="3C684897"/>
    <w:rsid w:val="3DBFFBBD"/>
    <w:rsid w:val="3F135EF4"/>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FC7802B"/>
    <w:rsid w:val="60A54109"/>
    <w:rsid w:val="61D01CDF"/>
    <w:rsid w:val="64C0607C"/>
    <w:rsid w:val="65756C86"/>
    <w:rsid w:val="674D385B"/>
    <w:rsid w:val="676F09E1"/>
    <w:rsid w:val="7357290B"/>
    <w:rsid w:val="77CEA28E"/>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853E173"/>
    <w:rsid w:val="AC5F73DE"/>
    <w:rsid w:val="B5DDD2C8"/>
    <w:rsid w:val="B9DFABD9"/>
    <w:rsid w:val="BC0D83FC"/>
    <w:rsid w:val="BF3BDEFB"/>
    <w:rsid w:val="C75F6086"/>
    <w:rsid w:val="C7F7ED2D"/>
    <w:rsid w:val="CFAF854E"/>
    <w:rsid w:val="D5697930"/>
    <w:rsid w:val="D8D7928E"/>
    <w:rsid w:val="D8FE3136"/>
    <w:rsid w:val="DBCFCD83"/>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false"/>
    </c:title>
    <c:autoTitleDeleted val="false"/>
    <c:plotArea>
      <c:layout/>
      <c:pieChart>
        <c:varyColors val="true"/>
        <c:ser>
          <c:idx val="0"/>
          <c:order val="0"/>
          <c:tx>
            <c:strRef>
              <c:f>Sheet1!$B$1</c:f>
              <c:strCache>
                <c:ptCount val="1"/>
                <c:pt idx="0">
                  <c:v>收入</c:v>
                </c:pt>
              </c:strCache>
            </c:strRef>
          </c:tx>
          <c:explosion val="0"/>
          <c:dPt>
            <c:idx val="0"/>
            <c:bubble3D val="false"/>
          </c:dPt>
          <c:dPt>
            <c:idx val="1"/>
            <c:bubble3D val="false"/>
          </c:dPt>
          <c:dPt>
            <c:idx val="2"/>
            <c:bubble3D val="false"/>
          </c:dPt>
          <c:dPt>
            <c:idx val="3"/>
            <c:bubble3D val="false"/>
          </c:dPt>
          <c:dPt>
            <c:idx val="4"/>
            <c:bubble3D val="false"/>
          </c:dPt>
          <c:dPt>
            <c:idx val="5"/>
            <c:bubble3D val="false"/>
          </c:dPt>
          <c:dLbls>
            <c:dLbl>
              <c:idx val="1"/>
              <c:delete val="true"/>
            </c:dLbl>
            <c:dLbl>
              <c:idx val="2"/>
              <c:delete val="true"/>
            </c:dLbl>
            <c:dLbl>
              <c:idx val="3"/>
              <c:delete val="true"/>
            </c:dLbl>
            <c:dLbl>
              <c:idx val="4"/>
              <c:delete val="true"/>
            </c:dLbl>
            <c:dLbl>
              <c:idx val="5"/>
              <c:layout>
                <c:manualLayout>
                  <c:x val="-0.00943841434638981"/>
                  <c:y val="0.0327242977911099"/>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numFmt formatCode="0.00%" sourceLinked="false"/>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1292789.81</c:v>
                </c:pt>
                <c:pt idx="1">
                  <c:v>0</c:v>
                </c:pt>
                <c:pt idx="2">
                  <c:v>0</c:v>
                </c:pt>
                <c:pt idx="3">
                  <c:v>0</c:v>
                </c:pt>
                <c:pt idx="4">
                  <c:v>0</c:v>
                </c:pt>
                <c:pt idx="5">
                  <c:v>239.53</c:v>
                </c:pt>
              </c:numCache>
            </c:numRef>
          </c:val>
        </c:ser>
        <c:dLbls>
          <c:showLegendKey val="false"/>
          <c:showVal val="true"/>
          <c:showCatName val="false"/>
          <c:showSerName val="false"/>
          <c:showPercent val="false"/>
          <c:showBubbleSize val="false"/>
          <c:showLeaderLines val="true"/>
        </c:dLbls>
        <c:firstSliceAng val="0"/>
      </c:pieChart>
    </c:plotArea>
    <c:legend>
      <c:legendPos val="r"/>
      <c:layout/>
      <c:overlay val="false"/>
      <c:txPr>
        <a:bodyPr rot="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legend>
    <c:plotVisOnly val="true"/>
    <c:dispBlanksAs val="gap"/>
    <c:showDLblsOverMax val="false"/>
  </c:chart>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false"/>
      <c:spPr>
        <a:noFill/>
        <a:ln>
          <a:noFill/>
        </a:ln>
        <a:effectLst/>
      </c:spPr>
    </c:title>
    <c:autoTitleDeleted val="false"/>
    <c:plotArea>
      <c:layout>
        <c:manualLayout>
          <c:layoutTarget val="inner"/>
          <c:xMode val="edge"/>
          <c:yMode val="edge"/>
          <c:x val="0.325777777777778"/>
          <c:y val="0.219930555555556"/>
          <c:w val="0.352611111111111"/>
          <c:h val="0.587685185185185"/>
        </c:manualLayout>
      </c:layout>
      <c:pieChart>
        <c:varyColors val="true"/>
        <c:ser>
          <c:idx val="0"/>
          <c:order val="0"/>
          <c:tx>
            <c:strRef>
              <c:f>Sheet0!$B$1</c:f>
              <c:strCache>
                <c:ptCount val="1"/>
                <c:pt idx="0">
                  <c:v>支出</c:v>
                </c:pt>
              </c:strCache>
            </c:strRef>
          </c:tx>
          <c:explosion val="0"/>
          <c:dPt>
            <c:idx val="0"/>
            <c:bubble3D val="false"/>
            <c:spPr>
              <a:solidFill>
                <a:srgbClr val="4F81BD"/>
              </a:solidFill>
              <a:ln w="19050">
                <a:solidFill>
                  <a:srgbClr val="FFFFFF"/>
                </a:solidFill>
              </a:ln>
              <a:effectLst/>
            </c:spPr>
          </c:dPt>
          <c:dPt>
            <c:idx val="1"/>
            <c:bubble3D val="false"/>
            <c:spPr>
              <a:solidFill>
                <a:srgbClr val="C0504D"/>
              </a:solidFill>
              <a:ln w="19050">
                <a:solidFill>
                  <a:srgbClr val="FFFFFF"/>
                </a:solidFill>
              </a:ln>
              <a:effectLst/>
            </c:spPr>
          </c:dPt>
          <c:dPt>
            <c:idx val="2"/>
            <c:bubble3D val="false"/>
            <c:spPr>
              <a:solidFill>
                <a:srgbClr val="9BBB59"/>
              </a:solidFill>
              <a:ln w="19050">
                <a:solidFill>
                  <a:srgbClr val="FFFFFF"/>
                </a:solidFill>
              </a:ln>
              <a:effectLst/>
            </c:spPr>
          </c:dPt>
          <c:dPt>
            <c:idx val="3"/>
            <c:bubble3D val="false"/>
            <c:spPr>
              <a:solidFill>
                <a:srgbClr val="8064A2"/>
              </a:solidFill>
              <a:ln w="19050">
                <a:solidFill>
                  <a:srgbClr val="FFFFFF"/>
                </a:solidFill>
              </a:ln>
              <a:effectLst/>
            </c:spPr>
          </c:dPt>
          <c:dPt>
            <c:idx val="4"/>
            <c:bubble3D val="false"/>
            <c:spPr>
              <a:solidFill>
                <a:srgbClr val="4BACC6"/>
              </a:solidFill>
              <a:ln w="19050">
                <a:solidFill>
                  <a:srgbClr val="FFFFFF"/>
                </a:solidFill>
              </a:ln>
              <a:effectLst/>
            </c:spPr>
          </c:dPt>
          <c:dLbls>
            <c:dLbl>
              <c:idx val="2"/>
              <c:delete val="true"/>
            </c:dLbl>
            <c:dLbl>
              <c:idx val="3"/>
              <c:delete val="true"/>
            </c:dLbl>
            <c:dLbl>
              <c:idx val="4"/>
              <c:delete val="true"/>
            </c:dLbl>
            <c:numFmt formatCode="0.00%" sourceLinked="false"/>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16852.02</c:v>
                </c:pt>
                <c:pt idx="1">
                  <c:v>1096592.47</c:v>
                </c:pt>
                <c:pt idx="2">
                  <c:v>0</c:v>
                </c:pt>
                <c:pt idx="3">
                  <c:v>0</c:v>
                </c:pt>
                <c:pt idx="4">
                  <c:v>0</c:v>
                </c:pt>
              </c:numCache>
            </c:numRef>
          </c:val>
        </c:ser>
        <c:dLbls>
          <c:showLegendKey val="false"/>
          <c:showVal val="false"/>
          <c:showCatName val="false"/>
          <c:showSerName val="false"/>
          <c:showPercent val="true"/>
          <c:showBubbleSize val="false"/>
          <c:showLeaderLines val="true"/>
        </c:dLbls>
        <c:firstSliceAng val="0"/>
      </c:pieChart>
      <c:spPr>
        <a:noFill/>
        <a:ln>
          <a:noFill/>
        </a:ln>
        <a:effectLst/>
      </c:spPr>
    </c:plotArea>
    <c:legend>
      <c:legendPos val="b"/>
      <c:legendEntry>
        <c:idx val="0"/>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
    <c:plotVisOnly val="true"/>
    <c:dispBlanksAs val="gap"/>
    <c:showDLblsOverMax val="false"/>
  </c:chart>
  <c:spPr>
    <a:ln w="9525" cap="flat" cmpd="sng" algn="ctr">
      <a:solidFill>
        <a:srgbClr val="D9D9D9">
          <a:lumMod val="15000"/>
          <a:lumOff val="85000"/>
        </a:srgbClr>
      </a:solidFill>
      <a:prstDash val="solid"/>
      <a:round/>
    </a:ln>
    <a:effectLst/>
  </c:spPr>
  <c:txPr>
    <a:bodyPr/>
    <a:lstStyle/>
    <a:p>
      <a:pPr>
        <a:defRPr lang="zh-CN"/>
      </a:pPr>
    </a:p>
  </c:txPr>
  <c:externalData r:id="rId1">
    <c:autoUpdate val="false"/>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7004</Words>
  <Characters>8029</Characters>
  <Lines>44</Lines>
  <Paragraphs>12</Paragraphs>
  <TotalTime>36</TotalTime>
  <ScaleCrop>false</ScaleCrop>
  <LinksUpToDate>false</LinksUpToDate>
  <CharactersWithSpaces>8049</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2017-07-12T23:16:00Z</dcterms:created>
  <dc:creator>常程</dc:creator>
  <cp:lastModifiedBy>bmct-aktd</cp:lastModifiedBy>
  <cp:lastPrinted>2020-08-08T19:39:00Z</cp:lastPrinted>
  <dcterms:modified xsi:type="dcterms:W3CDTF">2025-09-10T17:22:20Z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