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03" w:rsidRDefault="00176F03">
      <w:pPr>
        <w:spacing w:line="560" w:lineRule="exact"/>
        <w:ind w:firstLineChars="200" w:firstLine="1040"/>
        <w:jc w:val="center"/>
        <w:rPr>
          <w:rFonts w:ascii="仿宋" w:eastAsia="仿宋" w:hAnsi="仿宋" w:cstheme="majorEastAsia"/>
          <w:sz w:val="52"/>
          <w:szCs w:val="52"/>
        </w:rPr>
      </w:pPr>
      <w:bookmarkStart w:id="0" w:name="_Hlk197589605"/>
    </w:p>
    <w:p w:rsidR="00176F03" w:rsidRDefault="00176F03">
      <w:pPr>
        <w:spacing w:line="560" w:lineRule="exact"/>
        <w:ind w:firstLineChars="200" w:firstLine="1040"/>
        <w:jc w:val="center"/>
        <w:rPr>
          <w:rFonts w:ascii="黑体" w:eastAsia="黑体" w:hAnsi="黑体" w:cstheme="majorEastAsia"/>
          <w:sz w:val="52"/>
          <w:szCs w:val="52"/>
        </w:rPr>
      </w:pPr>
    </w:p>
    <w:p w:rsidR="00176F03" w:rsidRDefault="00872D6E">
      <w:pPr>
        <w:spacing w:line="560" w:lineRule="exact"/>
        <w:ind w:firstLineChars="400" w:firstLine="2080"/>
        <w:rPr>
          <w:rFonts w:ascii="黑体" w:eastAsia="黑体" w:hAnsi="黑体" w:cstheme="majorEastAsia"/>
          <w:sz w:val="52"/>
          <w:szCs w:val="52"/>
        </w:rPr>
      </w:pPr>
      <w:r>
        <w:rPr>
          <w:rFonts w:ascii="黑体" w:eastAsia="黑体" w:hAnsi="黑体" w:cstheme="majorEastAsia" w:hint="eastAsia"/>
          <w:sz w:val="52"/>
          <w:szCs w:val="52"/>
        </w:rPr>
        <w:t>北京市交通委员会</w:t>
      </w:r>
    </w:p>
    <w:p w:rsidR="00176F03" w:rsidRDefault="00176F03">
      <w:pPr>
        <w:spacing w:line="560" w:lineRule="exact"/>
        <w:ind w:firstLineChars="400" w:firstLine="2080"/>
        <w:rPr>
          <w:rFonts w:ascii="黑体" w:eastAsia="黑体" w:hAnsi="黑体" w:cstheme="majorEastAsia"/>
          <w:sz w:val="52"/>
          <w:szCs w:val="52"/>
        </w:rPr>
      </w:pPr>
    </w:p>
    <w:p w:rsidR="00176F03" w:rsidRDefault="00872D6E">
      <w:pPr>
        <w:spacing w:line="560" w:lineRule="exact"/>
        <w:jc w:val="center"/>
        <w:rPr>
          <w:rFonts w:ascii="黑体" w:eastAsia="黑体" w:hAnsi="黑体" w:cstheme="majorEastAsia"/>
          <w:sz w:val="52"/>
          <w:szCs w:val="52"/>
        </w:rPr>
      </w:pPr>
      <w:r>
        <w:rPr>
          <w:rFonts w:ascii="黑体" w:eastAsia="黑体" w:hAnsi="黑体" w:cstheme="majorEastAsia" w:hint="eastAsia"/>
          <w:sz w:val="52"/>
          <w:szCs w:val="52"/>
        </w:rPr>
        <w:t>2024</w:t>
      </w:r>
      <w:r>
        <w:rPr>
          <w:rFonts w:ascii="黑体" w:eastAsia="黑体" w:hAnsi="黑体" w:cstheme="majorEastAsia" w:hint="eastAsia"/>
          <w:sz w:val="52"/>
          <w:szCs w:val="52"/>
        </w:rPr>
        <w:t>年度部门整体绩效评价报告</w:t>
      </w:r>
    </w:p>
    <w:p w:rsidR="00176F03" w:rsidRDefault="00176F03">
      <w:pPr>
        <w:pStyle w:val="a4"/>
        <w:spacing w:line="560" w:lineRule="exact"/>
        <w:ind w:firstLineChars="200" w:firstLine="600"/>
        <w:rPr>
          <w:rFonts w:ascii="仿宋" w:eastAsia="仿宋" w:hAnsi="仿宋"/>
        </w:rPr>
      </w:pPr>
    </w:p>
    <w:p w:rsidR="00176F03" w:rsidRDefault="00176F03">
      <w:pPr>
        <w:pStyle w:val="a4"/>
        <w:spacing w:line="560" w:lineRule="exact"/>
        <w:ind w:firstLineChars="200" w:firstLine="600"/>
        <w:rPr>
          <w:rFonts w:ascii="仿宋" w:eastAsia="仿宋" w:hAnsi="仿宋"/>
        </w:rPr>
      </w:pPr>
    </w:p>
    <w:p w:rsidR="00176F03" w:rsidRDefault="00176F03">
      <w:pPr>
        <w:spacing w:line="560" w:lineRule="exact"/>
        <w:ind w:firstLineChars="200" w:firstLine="640"/>
        <w:rPr>
          <w:rFonts w:ascii="仿宋" w:eastAsia="仿宋" w:hAnsi="仿宋"/>
          <w:sz w:val="32"/>
          <w:szCs w:val="32"/>
        </w:rPr>
      </w:pPr>
    </w:p>
    <w:p w:rsidR="00176F03" w:rsidRDefault="00176F03">
      <w:pPr>
        <w:spacing w:line="560" w:lineRule="exact"/>
        <w:ind w:firstLineChars="200" w:firstLine="640"/>
        <w:jc w:val="left"/>
        <w:rPr>
          <w:rFonts w:ascii="仿宋" w:eastAsia="仿宋" w:hAnsi="仿宋" w:cstheme="minorEastAsia"/>
          <w:sz w:val="32"/>
          <w:szCs w:val="32"/>
        </w:rPr>
      </w:pPr>
      <w:bookmarkStart w:id="1" w:name="_GoBack"/>
      <w:bookmarkEnd w:id="1"/>
    </w:p>
    <w:p w:rsidR="00176F03" w:rsidRDefault="00176F03">
      <w:pPr>
        <w:spacing w:line="560" w:lineRule="exact"/>
        <w:ind w:firstLineChars="200" w:firstLine="640"/>
        <w:jc w:val="left"/>
        <w:rPr>
          <w:rFonts w:ascii="仿宋" w:eastAsia="仿宋" w:hAnsi="仿宋" w:cstheme="minorEastAsia"/>
          <w:sz w:val="32"/>
          <w:szCs w:val="32"/>
        </w:rPr>
      </w:pPr>
    </w:p>
    <w:p w:rsidR="00176F03" w:rsidRDefault="00176F03">
      <w:pPr>
        <w:spacing w:line="560" w:lineRule="exact"/>
        <w:ind w:firstLineChars="200" w:firstLine="640"/>
        <w:jc w:val="left"/>
        <w:rPr>
          <w:rFonts w:ascii="仿宋" w:eastAsia="仿宋" w:hAnsi="仿宋" w:cstheme="minorEastAsia"/>
          <w:sz w:val="32"/>
          <w:szCs w:val="32"/>
        </w:rPr>
      </w:pPr>
    </w:p>
    <w:p w:rsidR="00176F03" w:rsidRDefault="00176F03">
      <w:pPr>
        <w:spacing w:line="560" w:lineRule="exact"/>
        <w:ind w:firstLineChars="200" w:firstLine="640"/>
        <w:jc w:val="left"/>
        <w:rPr>
          <w:rFonts w:ascii="仿宋" w:eastAsia="仿宋" w:hAnsi="仿宋" w:cstheme="minorEastAsia"/>
          <w:sz w:val="32"/>
          <w:szCs w:val="32"/>
        </w:rPr>
      </w:pPr>
    </w:p>
    <w:p w:rsidR="00176F03" w:rsidRDefault="00176F03">
      <w:pPr>
        <w:spacing w:line="560" w:lineRule="exact"/>
        <w:ind w:firstLineChars="200" w:firstLine="640"/>
        <w:jc w:val="left"/>
        <w:rPr>
          <w:rFonts w:ascii="仿宋" w:eastAsia="仿宋" w:hAnsi="仿宋" w:cstheme="minorEastAsia"/>
          <w:sz w:val="32"/>
          <w:szCs w:val="32"/>
        </w:rPr>
      </w:pPr>
    </w:p>
    <w:p w:rsidR="00176F03" w:rsidRDefault="00176F03">
      <w:pPr>
        <w:spacing w:line="560" w:lineRule="exact"/>
        <w:ind w:firstLineChars="200" w:firstLine="640"/>
        <w:jc w:val="left"/>
        <w:rPr>
          <w:rFonts w:ascii="仿宋" w:eastAsia="仿宋" w:hAnsi="仿宋" w:cstheme="minorEastAsia"/>
          <w:sz w:val="32"/>
          <w:szCs w:val="32"/>
        </w:rPr>
      </w:pPr>
    </w:p>
    <w:p w:rsidR="00176F03" w:rsidRDefault="00176F03">
      <w:pPr>
        <w:spacing w:line="560" w:lineRule="exact"/>
        <w:ind w:firstLineChars="200" w:firstLine="640"/>
        <w:jc w:val="left"/>
        <w:rPr>
          <w:rFonts w:ascii="仿宋" w:eastAsia="仿宋" w:hAnsi="仿宋" w:cstheme="minorEastAsia"/>
          <w:sz w:val="32"/>
          <w:szCs w:val="32"/>
        </w:rPr>
      </w:pPr>
    </w:p>
    <w:p w:rsidR="00176F03" w:rsidRDefault="00176F03">
      <w:pPr>
        <w:spacing w:line="560" w:lineRule="exact"/>
        <w:ind w:firstLineChars="200" w:firstLine="640"/>
        <w:jc w:val="left"/>
        <w:rPr>
          <w:rFonts w:ascii="仿宋" w:eastAsia="仿宋" w:hAnsi="仿宋" w:cstheme="minorEastAsia"/>
          <w:sz w:val="32"/>
          <w:szCs w:val="32"/>
        </w:rPr>
      </w:pPr>
    </w:p>
    <w:p w:rsidR="00176F03" w:rsidRDefault="00176F03">
      <w:pPr>
        <w:spacing w:line="560" w:lineRule="exact"/>
        <w:ind w:firstLineChars="200" w:firstLine="640"/>
        <w:jc w:val="left"/>
        <w:rPr>
          <w:rFonts w:ascii="仿宋" w:eastAsia="仿宋" w:hAnsi="仿宋" w:cstheme="minorEastAsia"/>
          <w:sz w:val="32"/>
          <w:szCs w:val="32"/>
        </w:rPr>
      </w:pPr>
    </w:p>
    <w:p w:rsidR="00176F03" w:rsidRDefault="00872D6E">
      <w:pPr>
        <w:spacing w:line="560" w:lineRule="exact"/>
        <w:ind w:firstLineChars="200" w:firstLine="640"/>
        <w:jc w:val="center"/>
        <w:rPr>
          <w:rFonts w:ascii="楷体" w:eastAsia="楷体" w:hAnsi="楷体" w:cs="楷体"/>
          <w:sz w:val="32"/>
          <w:szCs w:val="32"/>
        </w:rPr>
      </w:pPr>
      <w:r>
        <w:rPr>
          <w:rFonts w:ascii="楷体" w:eastAsia="楷体" w:hAnsi="楷体" w:cs="楷体" w:hint="eastAsia"/>
          <w:sz w:val="32"/>
          <w:szCs w:val="32"/>
        </w:rPr>
        <w:t>北京市交通委员会</w:t>
      </w:r>
    </w:p>
    <w:p w:rsidR="00176F03" w:rsidRDefault="00872D6E">
      <w:pPr>
        <w:spacing w:line="560" w:lineRule="exact"/>
        <w:ind w:firstLineChars="200" w:firstLine="640"/>
        <w:jc w:val="center"/>
        <w:rPr>
          <w:rFonts w:ascii="楷体" w:eastAsia="楷体" w:hAnsi="楷体" w:cs="楷体"/>
          <w:sz w:val="32"/>
          <w:szCs w:val="32"/>
        </w:rPr>
        <w:sectPr w:rsidR="00176F03">
          <w:headerReference w:type="default" r:id="rId9"/>
          <w:footerReference w:type="even" r:id="rId10"/>
          <w:footerReference w:type="default" r:id="rId11"/>
          <w:footerReference w:type="first" r:id="rId12"/>
          <w:pgSz w:w="11906" w:h="16838"/>
          <w:pgMar w:top="1440" w:right="1680" w:bottom="1440" w:left="1800" w:header="851" w:footer="852" w:gutter="0"/>
          <w:cols w:space="425"/>
          <w:docGrid w:type="lines" w:linePitch="312"/>
        </w:sectPr>
      </w:pPr>
      <w:r>
        <w:rPr>
          <w:rFonts w:ascii="楷体" w:eastAsia="楷体" w:hAnsi="楷体" w:cs="楷体" w:hint="eastAsia"/>
          <w:sz w:val="32"/>
          <w:szCs w:val="32"/>
        </w:rPr>
        <w:t>二〇二五年五月</w:t>
      </w:r>
    </w:p>
    <w:p w:rsidR="00176F03" w:rsidRDefault="00872D6E">
      <w:pPr>
        <w:spacing w:line="560" w:lineRule="exact"/>
        <w:ind w:firstLineChars="200" w:firstLine="800"/>
        <w:jc w:val="center"/>
        <w:rPr>
          <w:rFonts w:ascii="黑体" w:eastAsia="黑体" w:hAnsi="黑体" w:cs="黑体"/>
          <w:sz w:val="40"/>
          <w:szCs w:val="36"/>
        </w:rPr>
      </w:pPr>
      <w:r>
        <w:rPr>
          <w:rFonts w:ascii="黑体" w:eastAsia="黑体" w:hAnsi="黑体" w:cs="黑体" w:hint="eastAsia"/>
          <w:sz w:val="40"/>
          <w:szCs w:val="36"/>
        </w:rPr>
        <w:lastRenderedPageBreak/>
        <w:t>北京市交通委员会</w:t>
      </w:r>
    </w:p>
    <w:p w:rsidR="00176F03" w:rsidRDefault="00872D6E">
      <w:pPr>
        <w:spacing w:line="560" w:lineRule="exact"/>
        <w:ind w:firstLineChars="200" w:firstLine="800"/>
        <w:jc w:val="center"/>
        <w:rPr>
          <w:rFonts w:ascii="黑体" w:eastAsia="黑体" w:hAnsi="黑体" w:cs="黑体"/>
          <w:sz w:val="40"/>
          <w:szCs w:val="36"/>
        </w:rPr>
      </w:pPr>
      <w:r>
        <w:rPr>
          <w:rFonts w:ascii="黑体" w:eastAsia="黑体" w:hAnsi="黑体" w:cs="黑体"/>
          <w:sz w:val="40"/>
          <w:szCs w:val="36"/>
        </w:rPr>
        <w:t>202</w:t>
      </w:r>
      <w:r>
        <w:rPr>
          <w:rFonts w:ascii="黑体" w:eastAsia="黑体" w:hAnsi="黑体" w:cs="黑体" w:hint="eastAsia"/>
          <w:sz w:val="40"/>
          <w:szCs w:val="36"/>
        </w:rPr>
        <w:t>4</w:t>
      </w:r>
      <w:r>
        <w:rPr>
          <w:rFonts w:ascii="黑体" w:eastAsia="黑体" w:hAnsi="黑体" w:cs="黑体" w:hint="eastAsia"/>
          <w:sz w:val="40"/>
          <w:szCs w:val="36"/>
        </w:rPr>
        <w:t>年度部门整体绩效评价报告</w:t>
      </w:r>
    </w:p>
    <w:p w:rsidR="00176F03" w:rsidRDefault="00176F03">
      <w:pPr>
        <w:spacing w:line="560" w:lineRule="exact"/>
        <w:ind w:firstLineChars="200" w:firstLine="420"/>
        <w:jc w:val="center"/>
        <w:rPr>
          <w:rFonts w:ascii="仿宋" w:eastAsia="仿宋" w:hAnsi="仿宋"/>
          <w:szCs w:val="30"/>
        </w:rPr>
      </w:pPr>
    </w:p>
    <w:p w:rsidR="00176F03" w:rsidRDefault="00872D6E">
      <w:pPr>
        <w:pStyle w:val="1"/>
        <w:keepNext w:val="0"/>
        <w:keepLines w:val="0"/>
        <w:spacing w:before="0" w:after="0" w:line="560" w:lineRule="exact"/>
        <w:ind w:firstLineChars="200" w:firstLine="640"/>
        <w:rPr>
          <w:rFonts w:ascii="黑体" w:eastAsia="黑体" w:hAnsi="黑体" w:cs="黑体"/>
          <w:b w:val="0"/>
          <w:sz w:val="32"/>
          <w:szCs w:val="32"/>
        </w:rPr>
      </w:pPr>
      <w:bookmarkStart w:id="2" w:name="_Toc10176"/>
      <w:r>
        <w:rPr>
          <w:rFonts w:ascii="黑体" w:eastAsia="黑体" w:hAnsi="黑体" w:cs="黑体" w:hint="eastAsia"/>
          <w:b w:val="0"/>
          <w:sz w:val="32"/>
          <w:szCs w:val="32"/>
        </w:rPr>
        <w:t>一、部门概况</w:t>
      </w:r>
      <w:bookmarkEnd w:id="2"/>
    </w:p>
    <w:p w:rsidR="00176F03" w:rsidRDefault="00872D6E">
      <w:pPr>
        <w:pStyle w:val="2"/>
        <w:keepNext w:val="0"/>
        <w:keepLines w:val="0"/>
        <w:spacing w:before="0" w:after="0" w:line="560" w:lineRule="exact"/>
        <w:ind w:firstLineChars="200" w:firstLine="640"/>
        <w:rPr>
          <w:rFonts w:ascii="楷体" w:eastAsia="楷体" w:hAnsi="楷体" w:cs="楷体_GB2312"/>
          <w:b w:val="0"/>
        </w:rPr>
      </w:pPr>
      <w:bookmarkStart w:id="3" w:name="_Toc6273"/>
      <w:r>
        <w:rPr>
          <w:rFonts w:ascii="楷体" w:eastAsia="楷体" w:hAnsi="楷体" w:cs="楷体_GB2312" w:hint="eastAsia"/>
          <w:b w:val="0"/>
        </w:rPr>
        <w:t>（一）</w:t>
      </w:r>
      <w:bookmarkStart w:id="4" w:name="OLE_LINK11"/>
      <w:r>
        <w:rPr>
          <w:rFonts w:ascii="楷体" w:eastAsia="楷体" w:hAnsi="楷体" w:cs="楷体_GB2312" w:hint="eastAsia"/>
          <w:b w:val="0"/>
        </w:rPr>
        <w:t>机构设置及职责工作任务情况</w:t>
      </w:r>
      <w:bookmarkEnd w:id="3"/>
      <w:bookmarkEnd w:id="4"/>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sz w:val="32"/>
          <w:szCs w:val="32"/>
        </w:rPr>
        <w:t>机构设置</w:t>
      </w:r>
    </w:p>
    <w:p w:rsidR="00176F03" w:rsidRPr="00FE6098" w:rsidRDefault="00872D6E" w:rsidP="00FE6098">
      <w:pPr>
        <w:tabs>
          <w:tab w:val="center" w:pos="6979"/>
        </w:tabs>
        <w:spacing w:line="580" w:lineRule="exact"/>
        <w:ind w:firstLineChars="250" w:firstLine="800"/>
        <w:rPr>
          <w:rFonts w:ascii="仿宋_GB2312" w:eastAsia="仿宋_GB2312"/>
          <w:sz w:val="32"/>
          <w:szCs w:val="32"/>
        </w:rPr>
      </w:pPr>
      <w:r w:rsidRPr="00FE6098">
        <w:rPr>
          <w:rFonts w:ascii="仿宋_GB2312" w:eastAsia="仿宋_GB2312" w:hint="eastAsia"/>
          <w:sz w:val="32"/>
          <w:szCs w:val="32"/>
        </w:rPr>
        <w:t>根据《中共北京市委办公厅</w:t>
      </w:r>
      <w:r w:rsidRPr="00FE6098">
        <w:rPr>
          <w:rFonts w:ascii="仿宋_GB2312" w:eastAsia="仿宋_GB2312"/>
          <w:sz w:val="32"/>
          <w:szCs w:val="32"/>
        </w:rPr>
        <w:t xml:space="preserve"> </w:t>
      </w:r>
      <w:r w:rsidRPr="00FE6098">
        <w:rPr>
          <w:rFonts w:ascii="仿宋_GB2312" w:eastAsia="仿宋_GB2312" w:hint="eastAsia"/>
          <w:sz w:val="32"/>
          <w:szCs w:val="32"/>
        </w:rPr>
        <w:t>北京市人民政府办公厅关于印发</w:t>
      </w:r>
      <w:r w:rsidRPr="00FE6098">
        <w:rPr>
          <w:rFonts w:ascii="仿宋_GB2312" w:eastAsia="仿宋_GB2312"/>
          <w:sz w:val="32"/>
          <w:szCs w:val="32"/>
        </w:rPr>
        <w:t>&lt;</w:t>
      </w:r>
      <w:r w:rsidRPr="00FE6098">
        <w:rPr>
          <w:rFonts w:ascii="仿宋_GB2312" w:eastAsia="仿宋_GB2312" w:hint="eastAsia"/>
          <w:sz w:val="32"/>
          <w:szCs w:val="32"/>
        </w:rPr>
        <w:t>北京市交通委员会职能配置、内设机构和人员编制规定</w:t>
      </w:r>
      <w:r w:rsidRPr="00FE6098">
        <w:rPr>
          <w:rFonts w:ascii="仿宋_GB2312" w:eastAsia="仿宋_GB2312"/>
          <w:sz w:val="32"/>
          <w:szCs w:val="32"/>
        </w:rPr>
        <w:t>&gt;</w:t>
      </w:r>
      <w:r w:rsidRPr="00FE6098">
        <w:rPr>
          <w:rFonts w:ascii="仿宋_GB2312" w:eastAsia="仿宋_GB2312" w:hint="eastAsia"/>
          <w:sz w:val="32"/>
          <w:szCs w:val="32"/>
        </w:rPr>
        <w:t>的通知》（京办字〔</w:t>
      </w:r>
      <w:r w:rsidRPr="00FE6098">
        <w:rPr>
          <w:rFonts w:ascii="仿宋_GB2312" w:eastAsia="仿宋_GB2312" w:hint="eastAsia"/>
          <w:sz w:val="32"/>
          <w:szCs w:val="32"/>
        </w:rPr>
        <w:t>2019</w:t>
      </w:r>
      <w:r w:rsidRPr="00FE6098">
        <w:rPr>
          <w:rFonts w:ascii="仿宋_GB2312" w:eastAsia="仿宋_GB2312" w:hint="eastAsia"/>
          <w:sz w:val="32"/>
          <w:szCs w:val="32"/>
        </w:rPr>
        <w:t>〕</w:t>
      </w:r>
      <w:r w:rsidRPr="00FE6098">
        <w:rPr>
          <w:rFonts w:ascii="仿宋_GB2312" w:eastAsia="仿宋_GB2312" w:hint="eastAsia"/>
          <w:sz w:val="32"/>
          <w:szCs w:val="32"/>
        </w:rPr>
        <w:t>47</w:t>
      </w:r>
      <w:r w:rsidRPr="00FE6098">
        <w:rPr>
          <w:rFonts w:ascii="仿宋_GB2312" w:eastAsia="仿宋_GB2312" w:hint="eastAsia"/>
          <w:sz w:val="32"/>
          <w:szCs w:val="32"/>
        </w:rPr>
        <w:t>号），设立北京市交通委员会。部门预算共计</w:t>
      </w:r>
      <w:r w:rsidRPr="00FE6098">
        <w:rPr>
          <w:rFonts w:ascii="仿宋_GB2312" w:eastAsia="仿宋_GB2312" w:hint="eastAsia"/>
          <w:sz w:val="32"/>
          <w:szCs w:val="32"/>
        </w:rPr>
        <w:t>32</w:t>
      </w:r>
      <w:r w:rsidRPr="00FE6098">
        <w:rPr>
          <w:rFonts w:ascii="仿宋_GB2312" w:eastAsia="仿宋_GB2312" w:hint="eastAsia"/>
          <w:sz w:val="32"/>
          <w:szCs w:val="32"/>
        </w:rPr>
        <w:t>个单位。</w:t>
      </w:r>
    </w:p>
    <w:p w:rsidR="00176F03" w:rsidRPr="00FE6098" w:rsidRDefault="00872D6E" w:rsidP="00FE6098">
      <w:pPr>
        <w:tabs>
          <w:tab w:val="center" w:pos="6979"/>
        </w:tabs>
        <w:spacing w:line="580" w:lineRule="exact"/>
        <w:ind w:firstLineChars="250" w:firstLine="800"/>
        <w:rPr>
          <w:rFonts w:ascii="仿宋_GB2312" w:eastAsia="仿宋_GB2312"/>
          <w:sz w:val="32"/>
          <w:szCs w:val="32"/>
        </w:rPr>
      </w:pPr>
      <w:r w:rsidRPr="00FE6098">
        <w:rPr>
          <w:rFonts w:ascii="仿宋_GB2312" w:eastAsia="仿宋_GB2312" w:hint="eastAsia"/>
          <w:sz w:val="32"/>
          <w:szCs w:val="32"/>
        </w:rPr>
        <w:t>北京市交通委员会所属行政单位</w:t>
      </w:r>
      <w:r w:rsidRPr="00FE6098">
        <w:rPr>
          <w:rFonts w:ascii="仿宋_GB2312" w:eastAsia="仿宋_GB2312" w:hint="eastAsia"/>
          <w:sz w:val="32"/>
          <w:szCs w:val="32"/>
        </w:rPr>
        <w:t>18</w:t>
      </w:r>
      <w:r w:rsidRPr="00FE6098">
        <w:rPr>
          <w:rFonts w:ascii="仿宋_GB2312" w:eastAsia="仿宋_GB2312" w:hint="eastAsia"/>
          <w:sz w:val="32"/>
          <w:szCs w:val="32"/>
        </w:rPr>
        <w:t>个，包括：北京市交通委员会本级、北京市交通运输综合执法总队本级、北京市交通委员会东城运输管理分局、北京市交通委员会朝阳运输管理分局、北京市交通委员会海淀运输管理分局、北京市交通委员会丰台运输管理分局、北京市交通委员会石景山运输管理分局、北京市交通委员会西城运输管理分局、北京市交通委员会通</w:t>
      </w:r>
      <w:r w:rsidRPr="00FE6098">
        <w:rPr>
          <w:rFonts w:ascii="仿宋_GB2312" w:eastAsia="仿宋_GB2312" w:hint="eastAsia"/>
          <w:sz w:val="32"/>
          <w:szCs w:val="32"/>
        </w:rPr>
        <w:t>州公路分局、北京市交通委员会顺义公路分局、北京市交通委员会怀柔公路分局、北京市交通委员会平谷公路分局、北京市交通委员会大兴公路分局、北京市交通委员会房山公路分局、北京市交通委员会门头沟公路分局、北京市交通委员会昌平公路分局、北京市交通委员会延庆公路分局、北京市交通委员会密云公路分局。</w:t>
      </w:r>
    </w:p>
    <w:p w:rsidR="00176F03" w:rsidRPr="00FE6098" w:rsidRDefault="00872D6E" w:rsidP="00FE6098">
      <w:pPr>
        <w:tabs>
          <w:tab w:val="center" w:pos="6979"/>
        </w:tabs>
        <w:spacing w:line="580" w:lineRule="exact"/>
        <w:ind w:firstLineChars="250" w:firstLine="800"/>
        <w:rPr>
          <w:rFonts w:ascii="仿宋_GB2312" w:eastAsia="仿宋_GB2312"/>
          <w:sz w:val="32"/>
          <w:szCs w:val="32"/>
        </w:rPr>
      </w:pPr>
      <w:r w:rsidRPr="00FE6098">
        <w:rPr>
          <w:rFonts w:ascii="仿宋_GB2312" w:eastAsia="仿宋_GB2312" w:hint="eastAsia"/>
          <w:sz w:val="32"/>
          <w:szCs w:val="32"/>
        </w:rPr>
        <w:t>北京市交通委员会所属事业单位</w:t>
      </w:r>
      <w:r w:rsidRPr="00FE6098">
        <w:rPr>
          <w:rFonts w:ascii="仿宋_GB2312" w:eastAsia="仿宋_GB2312" w:hint="eastAsia"/>
          <w:sz w:val="32"/>
          <w:szCs w:val="32"/>
        </w:rPr>
        <w:t>14</w:t>
      </w:r>
      <w:r w:rsidRPr="00FE6098">
        <w:rPr>
          <w:rFonts w:ascii="仿宋_GB2312" w:eastAsia="仿宋_GB2312" w:hint="eastAsia"/>
          <w:sz w:val="32"/>
          <w:szCs w:val="32"/>
        </w:rPr>
        <w:t>个，包括：北京市</w:t>
      </w:r>
      <w:r w:rsidRPr="00FE6098">
        <w:rPr>
          <w:rFonts w:ascii="仿宋_GB2312" w:eastAsia="仿宋_GB2312" w:hint="eastAsia"/>
          <w:sz w:val="32"/>
          <w:szCs w:val="32"/>
        </w:rPr>
        <w:lastRenderedPageBreak/>
        <w:t>交通运输综合执法总队执法保障中心、北京市智慧交通发展中心（北京市机动车调控管理事务中心）、北京交通运输职业学院、北京市交通委员会综合事务中心、北京市交通运行监测调度中心、北京市交</w:t>
      </w:r>
      <w:r w:rsidRPr="00FE6098">
        <w:rPr>
          <w:rFonts w:ascii="仿宋_GB2312" w:eastAsia="仿宋_GB2312" w:hint="eastAsia"/>
          <w:sz w:val="32"/>
          <w:szCs w:val="32"/>
        </w:rPr>
        <w:t>通委员会安全应急事务中心、北京市交通委员会政务服务中心（北京市船舶检验所）、北京市交通综合治理事务中心、北京市交通基础设施建设项目管理中心、北京市运输事业发展中心、北京市交通运输职业资格事务中心、北京市公路事业发展中心（北京市高速公路联网收费结算中心）、北京市城市道路养护管理中心、北京市邮政业安全运行监测中心。</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sz w:val="32"/>
          <w:szCs w:val="32"/>
        </w:rPr>
        <w:t>部门主要职责及工作任务</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sz w:val="32"/>
          <w:szCs w:val="32"/>
        </w:rPr>
        <w:t>）贯彻落实国家关于交通运输方面的法律法规、规章和政策，起草本市相关地方性法规草案、政府规章草案和政策措施，并组织实施。拟订交通运输发展战略，对交通运输行业改革与发展中</w:t>
      </w:r>
      <w:r>
        <w:rPr>
          <w:rFonts w:ascii="仿宋" w:eastAsia="仿宋" w:hAnsi="仿宋" w:cs="仿宋_GB2312"/>
          <w:sz w:val="32"/>
          <w:szCs w:val="32"/>
        </w:rPr>
        <w:t>的重大问题进行调查研究，并提出对策建议。</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sz w:val="32"/>
          <w:szCs w:val="32"/>
        </w:rPr>
        <w:t>）组织编制本市交通基础设施建设和交通运输行业的中长期发展规划。参与编制综合交通规划、交通专项规划、城市轨道交通建设规划及相关规划实施的评估工作。负责大型城建项目交通影响评价的审核。负责市管道路建设项目规划设计方案中交通内容的审查。参与市级交通基础设施建设项目初步设计的审查。统筹推进重大交通基础设施建设，会同相关部门建立交通基础设施建设项目库。</w:t>
      </w:r>
      <w:r>
        <w:rPr>
          <w:rFonts w:ascii="仿宋" w:eastAsia="仿宋" w:hAnsi="仿宋" w:cs="仿宋_GB2312"/>
          <w:sz w:val="32"/>
          <w:szCs w:val="32"/>
        </w:rPr>
        <w:br/>
      </w:r>
      <w:r>
        <w:rPr>
          <w:rFonts w:ascii="仿宋" w:eastAsia="仿宋" w:hAnsi="仿宋" w:cs="仿宋_GB2312" w:hint="eastAsia"/>
          <w:sz w:val="32"/>
          <w:szCs w:val="32"/>
        </w:rPr>
        <w:t xml:space="preserve">　　（</w:t>
      </w:r>
      <w:r>
        <w:rPr>
          <w:rFonts w:ascii="仿宋" w:eastAsia="仿宋" w:hAnsi="仿宋" w:cs="仿宋_GB2312"/>
          <w:sz w:val="32"/>
          <w:szCs w:val="32"/>
        </w:rPr>
        <w:t>3</w:t>
      </w:r>
      <w:r>
        <w:rPr>
          <w:rFonts w:ascii="仿宋" w:eastAsia="仿宋" w:hAnsi="仿宋" w:cs="仿宋_GB2312"/>
          <w:sz w:val="32"/>
          <w:szCs w:val="32"/>
        </w:rPr>
        <w:t>）组织编制市级交通基础设施建设项目前期工作建</w:t>
      </w:r>
      <w:r>
        <w:rPr>
          <w:rFonts w:ascii="仿宋" w:eastAsia="仿宋" w:hAnsi="仿宋" w:cs="仿宋_GB2312"/>
          <w:sz w:val="32"/>
          <w:szCs w:val="32"/>
        </w:rPr>
        <w:lastRenderedPageBreak/>
        <w:t>议计划和年度建设建议计划。组织编制交通基础设施维修养护以及交通运输行</w:t>
      </w:r>
      <w:r>
        <w:rPr>
          <w:rFonts w:ascii="仿宋" w:eastAsia="仿宋" w:hAnsi="仿宋" w:cs="仿宋_GB2312"/>
          <w:sz w:val="32"/>
          <w:szCs w:val="32"/>
        </w:rPr>
        <w:t>业年度计划，并组织实施和监督管理。负责提出交通基础设施建设和维修养护财政性资金安排意见。</w:t>
      </w:r>
      <w:r>
        <w:rPr>
          <w:rFonts w:ascii="仿宋" w:eastAsia="仿宋" w:hAnsi="仿宋" w:cs="仿宋_GB2312" w:hint="eastAsia"/>
          <w:sz w:val="32"/>
          <w:szCs w:val="32"/>
        </w:rPr>
        <w:t>参与交通发展建设投融资政策的研究和实施。负责城市轨道交通和其他公共交通特许经营项目的具体实施和监督管理工作。提出交通运输行业收费政策及标准的建议。</w:t>
      </w:r>
      <w:r>
        <w:rPr>
          <w:rFonts w:ascii="仿宋" w:eastAsia="仿宋" w:hAnsi="仿宋" w:cs="仿宋_GB2312"/>
          <w:sz w:val="32"/>
          <w:szCs w:val="32"/>
        </w:rPr>
        <w:br/>
      </w:r>
      <w:r>
        <w:rPr>
          <w:rFonts w:ascii="仿宋" w:eastAsia="仿宋" w:hAnsi="仿宋" w:cs="仿宋_GB2312" w:hint="eastAsia"/>
          <w:sz w:val="32"/>
          <w:szCs w:val="32"/>
        </w:rPr>
        <w:t xml:space="preserve">　　（</w:t>
      </w:r>
      <w:r>
        <w:rPr>
          <w:rFonts w:ascii="仿宋" w:eastAsia="仿宋" w:hAnsi="仿宋" w:cs="仿宋_GB2312"/>
          <w:sz w:val="32"/>
          <w:szCs w:val="32"/>
        </w:rPr>
        <w:t>4</w:t>
      </w:r>
      <w:r>
        <w:rPr>
          <w:rFonts w:ascii="仿宋" w:eastAsia="仿宋" w:hAnsi="仿宋" w:cs="仿宋_GB2312"/>
          <w:sz w:val="32"/>
          <w:szCs w:val="32"/>
        </w:rPr>
        <w:t>）负责推进区域交通一体化协同发展。负责本行政区域内铁路、民航和邮政等综合运输的协调工作。组织拟订各类重点交通运输服务保障方案，并监督实施。参与编制现代物流业发展战略和规划，并提出有关政策和标准建议。</w:t>
      </w:r>
      <w:r>
        <w:rPr>
          <w:rFonts w:ascii="仿宋" w:eastAsia="仿宋" w:hAnsi="仿宋" w:cs="仿宋_GB2312"/>
          <w:sz w:val="32"/>
          <w:szCs w:val="32"/>
        </w:rPr>
        <w:br/>
      </w:r>
      <w:r>
        <w:rPr>
          <w:rFonts w:ascii="仿宋" w:eastAsia="仿宋" w:hAnsi="仿宋" w:cs="仿宋_GB2312" w:hint="eastAsia"/>
          <w:sz w:val="32"/>
          <w:szCs w:val="32"/>
        </w:rPr>
        <w:t xml:space="preserve">　　（</w:t>
      </w:r>
      <w:r>
        <w:rPr>
          <w:rFonts w:ascii="仿宋" w:eastAsia="仿宋" w:hAnsi="仿宋" w:cs="仿宋_GB2312"/>
          <w:sz w:val="32"/>
          <w:szCs w:val="32"/>
        </w:rPr>
        <w:t>5</w:t>
      </w:r>
      <w:r>
        <w:rPr>
          <w:rFonts w:ascii="仿宋" w:eastAsia="仿宋" w:hAnsi="仿宋" w:cs="仿宋_GB2312"/>
          <w:sz w:val="32"/>
          <w:szCs w:val="32"/>
        </w:rPr>
        <w:t>）负责本市交通基础设施的监督管理和交通运输业的行业管理，拟订</w:t>
      </w:r>
      <w:r>
        <w:rPr>
          <w:rFonts w:ascii="仿宋" w:eastAsia="仿宋" w:hAnsi="仿宋" w:cs="仿宋_GB2312"/>
          <w:sz w:val="32"/>
          <w:szCs w:val="32"/>
        </w:rPr>
        <w:t>有关政策和标准。负责公路建设市场和道路、水路运输市场监督管理，协调推进交通运输产业发展。负责交通运输行业的行政许可和信用体系建设工作。指导交通运输行业节能减排工作。</w:t>
      </w:r>
      <w:r>
        <w:rPr>
          <w:rFonts w:ascii="仿宋" w:eastAsia="仿宋" w:hAnsi="仿宋" w:cs="仿宋_GB2312"/>
          <w:sz w:val="32"/>
          <w:szCs w:val="32"/>
        </w:rPr>
        <w:br/>
      </w:r>
      <w:r>
        <w:rPr>
          <w:rFonts w:ascii="仿宋" w:eastAsia="仿宋" w:hAnsi="仿宋" w:cs="仿宋_GB2312" w:hint="eastAsia"/>
          <w:sz w:val="32"/>
          <w:szCs w:val="32"/>
        </w:rPr>
        <w:t xml:space="preserve">　　（</w:t>
      </w:r>
      <w:r>
        <w:rPr>
          <w:rFonts w:ascii="仿宋" w:eastAsia="仿宋" w:hAnsi="仿宋" w:cs="仿宋_GB2312"/>
          <w:sz w:val="32"/>
          <w:szCs w:val="32"/>
        </w:rPr>
        <w:t>6</w:t>
      </w:r>
      <w:r>
        <w:rPr>
          <w:rFonts w:ascii="仿宋" w:eastAsia="仿宋" w:hAnsi="仿宋" w:cs="仿宋_GB2312"/>
          <w:sz w:val="32"/>
          <w:szCs w:val="32"/>
        </w:rPr>
        <w:t>）负责本市交通基础设施和交通运输行业安全生产的监督管理。负责交通运输安全应急方面的组织协调，协助有关部门调查处理交通运输行业重大安全事故。负责重大突发事件中的运输组织和交通设施保障。负责铁路监护道口安全的管理工作。承担北京市交通安全应急指挥部的具体工作。</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7</w:t>
      </w:r>
      <w:r>
        <w:rPr>
          <w:rFonts w:ascii="仿宋" w:eastAsia="仿宋" w:hAnsi="仿宋" w:cs="仿宋_GB2312"/>
          <w:sz w:val="32"/>
          <w:szCs w:val="32"/>
        </w:rPr>
        <w:t>）负责组织协调本市交通综合治理工作。负责统筹停车管理工作，负责互联网租赁自行车</w:t>
      </w:r>
      <w:r>
        <w:rPr>
          <w:rFonts w:ascii="仿宋" w:eastAsia="仿宋" w:hAnsi="仿宋" w:cs="仿宋_GB2312"/>
          <w:sz w:val="32"/>
          <w:szCs w:val="32"/>
        </w:rPr>
        <w:t>的行业管理。</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8</w:t>
      </w:r>
      <w:r>
        <w:rPr>
          <w:rFonts w:ascii="仿宋" w:eastAsia="仿宋" w:hAnsi="仿宋" w:cs="仿宋_GB2312"/>
          <w:sz w:val="32"/>
          <w:szCs w:val="32"/>
        </w:rPr>
        <w:t>）负责本市地方海事工作。</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9</w:t>
      </w:r>
      <w:r>
        <w:rPr>
          <w:rFonts w:ascii="仿宋" w:eastAsia="仿宋" w:hAnsi="仿宋" w:cs="仿宋_GB2312"/>
          <w:sz w:val="32"/>
          <w:szCs w:val="32"/>
        </w:rPr>
        <w:t>）制定本市交通运输科技和智能交通发展规划、年</w:t>
      </w:r>
      <w:r>
        <w:rPr>
          <w:rFonts w:ascii="仿宋" w:eastAsia="仿宋" w:hAnsi="仿宋" w:cs="仿宋_GB2312"/>
          <w:sz w:val="32"/>
          <w:szCs w:val="32"/>
        </w:rPr>
        <w:lastRenderedPageBreak/>
        <w:t>度计划、政策。组织指导交通运输信息化建设，推动智能交通系统建设。组织指导重大交通科技项目立项、研究、开发和成果推广、应用工作。</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10</w:t>
      </w:r>
      <w:r>
        <w:rPr>
          <w:rFonts w:ascii="仿宋" w:eastAsia="仿宋" w:hAnsi="仿宋" w:cs="仿宋_GB2312"/>
          <w:sz w:val="32"/>
          <w:szCs w:val="32"/>
        </w:rPr>
        <w:t>）负责本市交通运输行业的宣传教育工作，组织开展交通运输行业精神文明建设工作。负责交通运输行业对外交流与合作。</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11</w:t>
      </w:r>
      <w:r>
        <w:rPr>
          <w:rFonts w:ascii="仿宋" w:eastAsia="仿宋" w:hAnsi="仿宋" w:cs="仿宋_GB2312"/>
          <w:sz w:val="32"/>
          <w:szCs w:val="32"/>
        </w:rPr>
        <w:t>）指导本市交通运输综合执法工作。</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12</w:t>
      </w:r>
      <w:r>
        <w:rPr>
          <w:rFonts w:ascii="仿宋" w:eastAsia="仿宋" w:hAnsi="仿宋" w:cs="仿宋_GB2312"/>
          <w:sz w:val="32"/>
          <w:szCs w:val="32"/>
        </w:rPr>
        <w:t>）指导、协调和监督各区的交通运输工作。</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13</w:t>
      </w:r>
      <w:r>
        <w:rPr>
          <w:rFonts w:ascii="仿宋" w:eastAsia="仿宋" w:hAnsi="仿宋" w:cs="仿宋_GB2312"/>
          <w:sz w:val="32"/>
          <w:szCs w:val="32"/>
        </w:rPr>
        <w:t>）承担北京市国防动员委员会交通战备办公室工作。</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14</w:t>
      </w:r>
      <w:r>
        <w:rPr>
          <w:rFonts w:ascii="仿宋" w:eastAsia="仿宋" w:hAnsi="仿宋" w:cs="仿宋_GB2312"/>
          <w:sz w:val="32"/>
          <w:szCs w:val="32"/>
        </w:rPr>
        <w:t>）完成市委、市政府交办的其他任务。</w:t>
      </w:r>
    </w:p>
    <w:p w:rsidR="00176F03" w:rsidRDefault="00872D6E">
      <w:pPr>
        <w:pStyle w:val="2"/>
        <w:keepNext w:val="0"/>
        <w:keepLines w:val="0"/>
        <w:spacing w:before="0" w:after="0" w:line="560" w:lineRule="exact"/>
        <w:ind w:firstLineChars="200" w:firstLine="640"/>
        <w:rPr>
          <w:rFonts w:ascii="楷体" w:eastAsia="楷体" w:hAnsi="楷体" w:cs="楷体_GB2312"/>
          <w:b w:val="0"/>
        </w:rPr>
      </w:pPr>
      <w:bookmarkStart w:id="5" w:name="_Toc12401"/>
      <w:r>
        <w:rPr>
          <w:rFonts w:ascii="楷体" w:eastAsia="楷体" w:hAnsi="楷体" w:cs="楷体_GB2312" w:hint="eastAsia"/>
          <w:b w:val="0"/>
        </w:rPr>
        <w:t>（二）部门整体绩效目标设立情况</w:t>
      </w:r>
      <w:bookmarkEnd w:id="5"/>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1.</w:t>
      </w:r>
      <w:bookmarkStart w:id="6" w:name="OLE_LINK5"/>
      <w:r>
        <w:rPr>
          <w:rFonts w:ascii="仿宋" w:eastAsia="仿宋" w:hAnsi="仿宋" w:cs="仿宋_GB2312" w:hint="eastAsia"/>
          <w:sz w:val="32"/>
          <w:szCs w:val="32"/>
        </w:rPr>
        <w:t>绩效目标设立依据</w:t>
      </w:r>
      <w:bookmarkEnd w:id="6"/>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市交通委绩效目标设立从预算管理、绩效管理等方面出发，按照市委市政府重点工作部署、“十四五”交通规划，聚焦政府工作报告重点任务，结合部门职能、中长期发展规划、年度工作计划，参考交通行业历史数据、标准及事前评估结果，围绕保重点、保安全、强服务等目标进行部门整体支出绩效目标设置，确保绩效目标与政策导向、部门职责相契合，具有可衡量性与可操作性。</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目标与职责任务匹配情况</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市交通委部门整体支出绩效目标是依据机构设置及主要职</w:t>
      </w:r>
      <w:r>
        <w:rPr>
          <w:rFonts w:ascii="仿宋" w:eastAsia="仿宋" w:hAnsi="仿宋" w:cs="仿宋_GB2312" w:hint="eastAsia"/>
          <w:sz w:val="32"/>
          <w:szCs w:val="32"/>
        </w:rPr>
        <w:t>责，结合《北京城市总体规划（</w:t>
      </w:r>
      <w:r>
        <w:rPr>
          <w:rFonts w:ascii="仿宋" w:eastAsia="仿宋" w:hAnsi="仿宋" w:cs="仿宋_GB2312"/>
          <w:sz w:val="32"/>
          <w:szCs w:val="32"/>
        </w:rPr>
        <w:t>2016-2035</w:t>
      </w:r>
      <w:r>
        <w:rPr>
          <w:rFonts w:ascii="仿宋" w:eastAsia="仿宋" w:hAnsi="仿宋" w:cs="仿宋_GB2312"/>
          <w:sz w:val="32"/>
          <w:szCs w:val="32"/>
        </w:rPr>
        <w:t>年）》《北京市</w:t>
      </w:r>
      <w:r>
        <w:rPr>
          <w:rFonts w:ascii="仿宋" w:eastAsia="仿宋" w:hAnsi="仿宋" w:cs="仿宋_GB2312"/>
          <w:sz w:val="32"/>
          <w:szCs w:val="32"/>
        </w:rPr>
        <w:t>“</w:t>
      </w:r>
      <w:r>
        <w:rPr>
          <w:rFonts w:ascii="仿宋" w:eastAsia="仿宋" w:hAnsi="仿宋" w:cs="仿宋_GB2312"/>
          <w:sz w:val="32"/>
          <w:szCs w:val="32"/>
        </w:rPr>
        <w:t>十四五</w:t>
      </w:r>
      <w:r>
        <w:rPr>
          <w:rFonts w:ascii="仿宋" w:eastAsia="仿宋" w:hAnsi="仿宋" w:cs="仿宋_GB2312"/>
          <w:sz w:val="32"/>
          <w:szCs w:val="32"/>
        </w:rPr>
        <w:t>”</w:t>
      </w:r>
      <w:r>
        <w:rPr>
          <w:rFonts w:ascii="仿宋" w:eastAsia="仿宋" w:hAnsi="仿宋" w:cs="仿宋_GB2312"/>
          <w:sz w:val="32"/>
          <w:szCs w:val="32"/>
        </w:rPr>
        <w:t>时期交通发展建设规划》、市委市政府和交通运输部下达的年度重点任务等设置，依据充分、合理，与</w:t>
      </w:r>
      <w:r>
        <w:rPr>
          <w:rFonts w:ascii="仿宋" w:eastAsia="仿宋" w:hAnsi="仿宋" w:cs="仿宋_GB2312"/>
          <w:sz w:val="32"/>
          <w:szCs w:val="32"/>
        </w:rPr>
        <w:lastRenderedPageBreak/>
        <w:t>市交通委的职责、任务良好匹配。</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目标合理性</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部门整体绩效目标设定与单位预算、职责、支出内容等有效衔接，与预算额度、部门职责任务匹配度较高，可衡量性较强，目标及指标设置较为合理。</w:t>
      </w:r>
    </w:p>
    <w:p w:rsidR="00176F03" w:rsidRDefault="00872D6E">
      <w:pPr>
        <w:pStyle w:val="1"/>
        <w:keepNext w:val="0"/>
        <w:keepLines w:val="0"/>
        <w:spacing w:before="0" w:after="0" w:line="560" w:lineRule="exact"/>
        <w:ind w:firstLineChars="200" w:firstLine="640"/>
        <w:rPr>
          <w:rFonts w:ascii="黑体" w:eastAsia="黑体" w:hAnsi="黑体" w:cs="黑体"/>
          <w:b w:val="0"/>
          <w:sz w:val="32"/>
          <w:szCs w:val="32"/>
        </w:rPr>
      </w:pPr>
      <w:bookmarkStart w:id="7" w:name="_Toc11130"/>
      <w:r>
        <w:rPr>
          <w:rFonts w:ascii="黑体" w:eastAsia="黑体" w:hAnsi="黑体" w:cs="黑体" w:hint="eastAsia"/>
          <w:b w:val="0"/>
          <w:sz w:val="32"/>
          <w:szCs w:val="32"/>
        </w:rPr>
        <w:t>二、当年预算执行情况</w:t>
      </w:r>
      <w:bookmarkEnd w:id="7"/>
    </w:p>
    <w:p w:rsidR="00176F03" w:rsidRDefault="00872D6E">
      <w:pPr>
        <w:spacing w:line="560" w:lineRule="exact"/>
        <w:ind w:firstLineChars="200" w:firstLine="640"/>
        <w:rPr>
          <w:rFonts w:ascii="仿宋_GB2312" w:eastAsia="仿宋_GB2312" w:hAnsi="仿宋_GB2312" w:cs="仿宋_GB2312"/>
          <w:sz w:val="32"/>
          <w:szCs w:val="32"/>
        </w:rPr>
      </w:pPr>
      <w:bookmarkStart w:id="8" w:name="OLE_LINK33"/>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年全年预算数</w:t>
      </w:r>
      <w:bookmarkStart w:id="9" w:name="OLE_LINK2"/>
      <w:r>
        <w:rPr>
          <w:rFonts w:ascii="仿宋_GB2312" w:eastAsia="仿宋_GB2312" w:hAnsi="仿宋_GB2312" w:cs="仿宋_GB2312" w:hint="eastAsia"/>
          <w:sz w:val="32"/>
          <w:szCs w:val="32"/>
        </w:rPr>
        <w:t>2,939,979.00</w:t>
      </w:r>
      <w:bookmarkEnd w:id="9"/>
      <w:r>
        <w:rPr>
          <w:rFonts w:ascii="仿宋_GB2312" w:eastAsia="仿宋_GB2312" w:hAnsi="仿宋_GB2312" w:cs="仿宋_GB2312" w:hint="eastAsia"/>
          <w:sz w:val="32"/>
          <w:szCs w:val="32"/>
        </w:rPr>
        <w:t>万元，其中，基本支出预算数</w:t>
      </w:r>
      <w:r>
        <w:rPr>
          <w:rFonts w:ascii="仿宋_GB2312" w:eastAsia="仿宋_GB2312" w:hAnsi="仿宋_GB2312" w:cs="仿宋_GB2312" w:hint="eastAsia"/>
          <w:sz w:val="32"/>
          <w:szCs w:val="32"/>
        </w:rPr>
        <w:t>159,423.71</w:t>
      </w:r>
      <w:r>
        <w:rPr>
          <w:rFonts w:ascii="仿宋_GB2312" w:eastAsia="仿宋_GB2312" w:hAnsi="仿宋_GB2312" w:cs="仿宋_GB2312" w:hint="eastAsia"/>
          <w:sz w:val="32"/>
          <w:szCs w:val="32"/>
        </w:rPr>
        <w:t>万元，项目支出预算数</w:t>
      </w:r>
      <w:r>
        <w:rPr>
          <w:rFonts w:ascii="仿宋_GB2312" w:eastAsia="仿宋_GB2312" w:hAnsi="仿宋_GB2312" w:cs="仿宋_GB2312" w:hint="eastAsia"/>
          <w:sz w:val="32"/>
          <w:szCs w:val="32"/>
        </w:rPr>
        <w:t>2,780,153.56</w:t>
      </w:r>
      <w:r>
        <w:rPr>
          <w:rFonts w:ascii="仿宋_GB2312" w:eastAsia="仿宋_GB2312" w:hAnsi="仿宋_GB2312" w:cs="仿宋_GB2312" w:hint="eastAsia"/>
          <w:sz w:val="32"/>
          <w:szCs w:val="32"/>
        </w:rPr>
        <w:t>万元，经营支出</w:t>
      </w:r>
      <w:r>
        <w:rPr>
          <w:rFonts w:ascii="仿宋_GB2312" w:eastAsia="仿宋_GB2312" w:hAnsi="仿宋_GB2312" w:cs="仿宋_GB2312" w:hint="eastAsia"/>
          <w:sz w:val="32"/>
          <w:szCs w:val="32"/>
        </w:rPr>
        <w:t>401.73</w:t>
      </w:r>
      <w:r>
        <w:rPr>
          <w:rFonts w:ascii="仿宋_GB2312" w:eastAsia="仿宋_GB2312" w:hAnsi="仿宋_GB2312" w:cs="仿宋_GB2312" w:hint="eastAsia"/>
          <w:sz w:val="32"/>
          <w:szCs w:val="32"/>
        </w:rPr>
        <w:t>万元。全年支出</w:t>
      </w:r>
      <w:r>
        <w:rPr>
          <w:rFonts w:ascii="仿宋_GB2312" w:eastAsia="仿宋_GB2312" w:hAnsi="仿宋_GB2312" w:cs="仿宋_GB2312" w:hint="eastAsia"/>
          <w:sz w:val="32"/>
          <w:szCs w:val="32"/>
        </w:rPr>
        <w:t>2,501,503.30</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133,426.89</w:t>
      </w:r>
      <w:r>
        <w:rPr>
          <w:rFonts w:ascii="仿宋_GB2312" w:eastAsia="仿宋_GB2312" w:hAnsi="仿宋_GB2312" w:cs="仿宋_GB2312" w:hint="eastAsia"/>
          <w:sz w:val="32"/>
          <w:szCs w:val="32"/>
        </w:rPr>
        <w:t>万元，项目支出</w:t>
      </w:r>
      <w:r>
        <w:rPr>
          <w:rFonts w:ascii="仿宋_GB2312" w:eastAsia="仿宋_GB2312" w:hAnsi="仿宋_GB2312" w:cs="仿宋_GB2312" w:hint="eastAsia"/>
          <w:sz w:val="32"/>
          <w:szCs w:val="32"/>
        </w:rPr>
        <w:t>2,367,819.45</w:t>
      </w:r>
      <w:r>
        <w:rPr>
          <w:rFonts w:ascii="仿宋_GB2312" w:eastAsia="仿宋_GB2312" w:hAnsi="仿宋_GB2312" w:cs="仿宋_GB2312" w:hint="eastAsia"/>
          <w:sz w:val="32"/>
          <w:szCs w:val="32"/>
        </w:rPr>
        <w:t>万元，经营支出</w:t>
      </w:r>
      <w:r>
        <w:rPr>
          <w:rFonts w:ascii="仿宋_GB2312" w:eastAsia="仿宋_GB2312" w:hAnsi="仿宋_GB2312" w:cs="仿宋_GB2312" w:hint="eastAsia"/>
          <w:sz w:val="32"/>
          <w:szCs w:val="32"/>
        </w:rPr>
        <w:t>256.97</w:t>
      </w:r>
      <w:r>
        <w:rPr>
          <w:rFonts w:ascii="仿宋_GB2312" w:eastAsia="仿宋_GB2312" w:hAnsi="仿宋_GB2312" w:cs="仿宋_GB2312" w:hint="eastAsia"/>
          <w:sz w:val="32"/>
          <w:szCs w:val="32"/>
        </w:rPr>
        <w:t>万元。</w:t>
      </w:r>
      <w:bookmarkEnd w:id="8"/>
      <w:r>
        <w:rPr>
          <w:rFonts w:ascii="仿宋_GB2312" w:eastAsia="仿宋_GB2312" w:hAnsi="仿宋_GB2312" w:cs="仿宋_GB2312" w:hint="eastAsia"/>
          <w:sz w:val="32"/>
          <w:szCs w:val="32"/>
        </w:rPr>
        <w:t>预算执行率为</w:t>
      </w:r>
      <w:r>
        <w:rPr>
          <w:rFonts w:ascii="仿宋_GB2312" w:eastAsia="仿宋_GB2312" w:hAnsi="仿宋_GB2312" w:cs="仿宋_GB2312" w:hint="eastAsia"/>
          <w:sz w:val="32"/>
          <w:szCs w:val="32"/>
        </w:rPr>
        <w:t>85.09%</w:t>
      </w:r>
      <w:r>
        <w:rPr>
          <w:rFonts w:ascii="仿宋_GB2312" w:eastAsia="仿宋_GB2312" w:hAnsi="仿宋_GB2312" w:cs="仿宋_GB2312" w:hint="eastAsia"/>
          <w:sz w:val="32"/>
          <w:szCs w:val="32"/>
        </w:rPr>
        <w:t>。</w:t>
      </w:r>
    </w:p>
    <w:p w:rsidR="00176F03" w:rsidRDefault="00872D6E">
      <w:pPr>
        <w:spacing w:line="560" w:lineRule="exact"/>
        <w:ind w:firstLineChars="200" w:firstLine="640"/>
        <w:outlineLvl w:val="0"/>
        <w:rPr>
          <w:rFonts w:ascii="黑体" w:eastAsia="黑体" w:hAnsi="黑体" w:cs="宋体"/>
          <w:szCs w:val="32"/>
        </w:rPr>
      </w:pPr>
      <w:bookmarkStart w:id="10" w:name="_Toc11646"/>
      <w:r>
        <w:rPr>
          <w:rFonts w:ascii="黑体" w:eastAsia="黑体" w:hAnsi="黑体" w:cs="宋体" w:hint="eastAsia"/>
          <w:sz w:val="32"/>
          <w:szCs w:val="32"/>
        </w:rPr>
        <w:t>三、整体绩效目标实现情况</w:t>
      </w:r>
      <w:bookmarkEnd w:id="10"/>
    </w:p>
    <w:p w:rsidR="00176F03" w:rsidRDefault="00872D6E">
      <w:pPr>
        <w:spacing w:line="560" w:lineRule="exact"/>
        <w:ind w:firstLineChars="200" w:firstLine="640"/>
        <w:outlineLvl w:val="1"/>
        <w:rPr>
          <w:rFonts w:ascii="仿宋" w:eastAsia="仿宋" w:hAnsi="仿宋" w:cs="宋体"/>
          <w:sz w:val="32"/>
          <w:szCs w:val="32"/>
        </w:rPr>
      </w:pPr>
      <w:r>
        <w:rPr>
          <w:rFonts w:ascii="楷体" w:eastAsia="楷体" w:hAnsi="楷体" w:cs="宋体" w:hint="eastAsia"/>
          <w:sz w:val="32"/>
          <w:szCs w:val="32"/>
        </w:rPr>
        <w:t>（一）</w:t>
      </w:r>
      <w:bookmarkStart w:id="11" w:name="_Toc23303"/>
      <w:r>
        <w:rPr>
          <w:rFonts w:ascii="楷体" w:eastAsia="楷体" w:hAnsi="楷体" w:cs="宋体" w:hint="eastAsia"/>
          <w:sz w:val="32"/>
          <w:szCs w:val="32"/>
        </w:rPr>
        <w:t>产出完成情况分析</w:t>
      </w:r>
    </w:p>
    <w:p w:rsidR="00176F03" w:rsidRDefault="00872D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年，市交通委坚定不移的推动首都交通高质量发展，全市交通行业着力强硬件、促便捷、治拥堵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基础设施建设加快推进。</w:t>
      </w:r>
    </w:p>
    <w:p w:rsidR="00176F03" w:rsidRDefault="00872D6E">
      <w:pPr>
        <w:spacing w:line="56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w:t>
      </w:r>
      <w:r>
        <w:rPr>
          <w:rFonts w:ascii="仿宋" w:eastAsia="仿宋" w:hAnsi="仿宋" w:cs="宋体" w:hint="eastAsia"/>
          <w:sz w:val="32"/>
          <w:szCs w:val="32"/>
        </w:rPr>
        <w:t>产出数量</w:t>
      </w:r>
    </w:p>
    <w:p w:rsidR="00176F03" w:rsidRDefault="00872D6E">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推动重点项目建设，朝阳站综合交通枢纽开通，厂通路等道路建成通车；优化公交线路</w:t>
      </w:r>
      <w:r>
        <w:rPr>
          <w:rFonts w:ascii="仿宋" w:eastAsia="仿宋" w:hAnsi="仿宋" w:cs="宋体"/>
          <w:sz w:val="32"/>
          <w:szCs w:val="32"/>
        </w:rPr>
        <w:t>143</w:t>
      </w:r>
      <w:r>
        <w:rPr>
          <w:rFonts w:ascii="仿宋" w:eastAsia="仿宋" w:hAnsi="仿宋" w:cs="宋体"/>
          <w:sz w:val="32"/>
          <w:szCs w:val="32"/>
        </w:rPr>
        <w:t>条，市民出行更加便捷顺畅；按计划完成普通公路建养项目和城市道路桥梁养护项目，延长桥梁设施使用寿命，改善道路通行条件及路域整体环境；完成</w:t>
      </w:r>
      <w:r>
        <w:rPr>
          <w:rFonts w:ascii="仿宋" w:eastAsia="仿宋" w:hAnsi="仿宋" w:cs="宋体"/>
          <w:sz w:val="32"/>
          <w:szCs w:val="32"/>
        </w:rPr>
        <w:t xml:space="preserve"> 20 </w:t>
      </w:r>
      <w:r>
        <w:rPr>
          <w:rFonts w:ascii="仿宋" w:eastAsia="仿宋" w:hAnsi="仿宋" w:cs="宋体"/>
          <w:sz w:val="32"/>
          <w:szCs w:val="32"/>
        </w:rPr>
        <w:t>项市级疏堵工程，有效缓解了交通拥堵难题等。</w:t>
      </w:r>
      <w:r>
        <w:rPr>
          <w:rFonts w:ascii="仿宋" w:eastAsia="仿宋" w:hAnsi="仿宋" w:cs="宋体"/>
          <w:sz w:val="32"/>
          <w:szCs w:val="32"/>
        </w:rPr>
        <w:t xml:space="preserve"> </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sz w:val="32"/>
          <w:szCs w:val="32"/>
        </w:rPr>
        <w:t>产出质量</w:t>
      </w:r>
    </w:p>
    <w:p w:rsidR="00176F03" w:rsidRDefault="00872D6E">
      <w:pPr>
        <w:overflowPunct w:val="0"/>
        <w:spacing w:line="560" w:lineRule="exact"/>
        <w:ind w:firstLineChars="200" w:firstLine="640"/>
        <w:rPr>
          <w:rFonts w:ascii="仿宋" w:eastAsia="仿宋" w:hAnsi="仿宋" w:cs="宋体"/>
          <w:sz w:val="32"/>
          <w:szCs w:val="32"/>
        </w:rPr>
      </w:pPr>
      <w:r>
        <w:rPr>
          <w:rFonts w:ascii="仿宋" w:eastAsia="仿宋" w:hAnsi="仿宋" w:cs="宋体"/>
          <w:sz w:val="32"/>
          <w:szCs w:val="32"/>
        </w:rPr>
        <w:lastRenderedPageBreak/>
        <w:t>2024</w:t>
      </w:r>
      <w:r>
        <w:rPr>
          <w:rFonts w:ascii="仿宋" w:eastAsia="仿宋" w:hAnsi="仿宋" w:cs="宋体"/>
          <w:sz w:val="32"/>
          <w:szCs w:val="32"/>
        </w:rPr>
        <w:t>年，市交通委各项工作质量完成较好，城市道路、普通公路建设养护等项目质量均达到预期目标。</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w:t>
      </w:r>
      <w:r>
        <w:rPr>
          <w:rFonts w:ascii="仿宋" w:eastAsia="仿宋" w:hAnsi="仿宋" w:cs="仿宋_GB2312"/>
          <w:sz w:val="32"/>
          <w:szCs w:val="32"/>
        </w:rPr>
        <w:t>产出进度</w:t>
      </w:r>
    </w:p>
    <w:p w:rsidR="00176F03" w:rsidRDefault="00872D6E">
      <w:pPr>
        <w:overflowPunct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落实委内督查督办机制，全年跟踪重点事项进展情况；加强调度，市政府实事、折子工程、重大活动保障等重点工作按期完成，工程项</w:t>
      </w:r>
      <w:r>
        <w:rPr>
          <w:rFonts w:ascii="仿宋" w:eastAsia="仿宋" w:hAnsi="仿宋" w:cs="宋体" w:hint="eastAsia"/>
          <w:sz w:val="32"/>
          <w:szCs w:val="32"/>
        </w:rPr>
        <w:t>目按计划实施，管理和改革事项按计划推进，执法工作有序开展；资金支付与项目推进相结合，并在项目执行过程中，开展绩效运行监控工作，督促提醒进度滞后的项目单位，各项工作稳步推进，全年工作进度执行情况良好。</w:t>
      </w:r>
    </w:p>
    <w:p w:rsidR="00176F03" w:rsidRDefault="00872D6E">
      <w:pPr>
        <w:overflowPunct w:val="0"/>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w:t>
      </w:r>
      <w:r>
        <w:rPr>
          <w:rFonts w:ascii="仿宋" w:eastAsia="仿宋" w:hAnsi="仿宋" w:cs="仿宋_GB2312"/>
          <w:sz w:val="32"/>
          <w:szCs w:val="32"/>
        </w:rPr>
        <w:t>产出成本</w:t>
      </w:r>
    </w:p>
    <w:p w:rsidR="00176F03" w:rsidRDefault="00872D6E">
      <w:pPr>
        <w:spacing w:line="560" w:lineRule="exact"/>
        <w:ind w:firstLineChars="200" w:firstLine="640"/>
        <w:rPr>
          <w:rFonts w:ascii="仿宋" w:eastAsia="仿宋" w:hAnsi="仿宋" w:cs="宋体"/>
          <w:kern w:val="0"/>
          <w:sz w:val="32"/>
          <w:szCs w:val="32"/>
        </w:rPr>
      </w:pPr>
      <w:bookmarkStart w:id="12" w:name="_Toc20703"/>
      <w:bookmarkEnd w:id="11"/>
      <w:r>
        <w:rPr>
          <w:rFonts w:ascii="仿宋" w:eastAsia="仿宋" w:hAnsi="仿宋" w:cs="宋体" w:hint="eastAsia"/>
          <w:kern w:val="0"/>
          <w:sz w:val="32"/>
          <w:szCs w:val="32"/>
        </w:rPr>
        <w:t>市交通委通过事前绩效评估、概（预）算审核、结（决）算评审、规范开展招投标等方式，全面控制项目成本。</w:t>
      </w:r>
      <w:r>
        <w:rPr>
          <w:rFonts w:ascii="仿宋" w:eastAsia="仿宋" w:hAnsi="仿宋" w:cs="宋体"/>
          <w:kern w:val="0"/>
          <w:sz w:val="32"/>
          <w:szCs w:val="32"/>
        </w:rPr>
        <w:t>2024</w:t>
      </w:r>
      <w:r>
        <w:rPr>
          <w:rFonts w:ascii="仿宋" w:eastAsia="仿宋" w:hAnsi="仿宋" w:cs="宋体"/>
          <w:kern w:val="0"/>
          <w:sz w:val="32"/>
          <w:szCs w:val="32"/>
        </w:rPr>
        <w:t>年对</w:t>
      </w:r>
      <w:r>
        <w:rPr>
          <w:rFonts w:ascii="仿宋" w:eastAsia="仿宋" w:hAnsi="仿宋" w:cs="宋体"/>
          <w:kern w:val="0"/>
          <w:sz w:val="32"/>
          <w:szCs w:val="32"/>
        </w:rPr>
        <w:t>200</w:t>
      </w:r>
      <w:r>
        <w:rPr>
          <w:rFonts w:ascii="仿宋" w:eastAsia="仿宋" w:hAnsi="仿宋" w:cs="宋体"/>
          <w:kern w:val="0"/>
          <w:sz w:val="32"/>
          <w:szCs w:val="32"/>
        </w:rPr>
        <w:t>个新增项目开展事前绩效评估，</w:t>
      </w:r>
      <w:r>
        <w:rPr>
          <w:rFonts w:ascii="仿宋" w:eastAsia="仿宋" w:hAnsi="仿宋" w:cs="宋体" w:hint="eastAsia"/>
          <w:kern w:val="0"/>
          <w:sz w:val="32"/>
          <w:szCs w:val="32"/>
        </w:rPr>
        <w:t>对</w:t>
      </w:r>
      <w:r>
        <w:rPr>
          <w:rFonts w:ascii="仿宋" w:eastAsia="仿宋" w:hAnsi="仿宋" w:cs="宋体"/>
          <w:kern w:val="0"/>
          <w:sz w:val="32"/>
          <w:szCs w:val="32"/>
        </w:rPr>
        <w:t>380</w:t>
      </w:r>
      <w:r>
        <w:rPr>
          <w:rFonts w:ascii="仿宋" w:eastAsia="仿宋" w:hAnsi="仿宋" w:cs="宋体"/>
          <w:kern w:val="0"/>
          <w:sz w:val="32"/>
          <w:szCs w:val="32"/>
        </w:rPr>
        <w:t>个项目开展预算评审</w:t>
      </w:r>
      <w:r>
        <w:rPr>
          <w:rFonts w:ascii="仿宋" w:eastAsia="仿宋" w:hAnsi="仿宋" w:cs="宋体" w:hint="eastAsia"/>
          <w:kern w:val="0"/>
          <w:sz w:val="32"/>
          <w:szCs w:val="32"/>
        </w:rPr>
        <w:t>；对超</w:t>
      </w:r>
      <w:r>
        <w:rPr>
          <w:rFonts w:ascii="仿宋" w:eastAsia="仿宋" w:hAnsi="仿宋" w:cs="宋体"/>
          <w:kern w:val="0"/>
          <w:sz w:val="32"/>
          <w:szCs w:val="32"/>
        </w:rPr>
        <w:t>150</w:t>
      </w:r>
      <w:r>
        <w:rPr>
          <w:rFonts w:ascii="仿宋" w:eastAsia="仿宋" w:hAnsi="仿宋" w:cs="宋体"/>
          <w:kern w:val="0"/>
          <w:sz w:val="32"/>
          <w:szCs w:val="32"/>
        </w:rPr>
        <w:t>个工程项目开展结算评审</w:t>
      </w:r>
      <w:r>
        <w:rPr>
          <w:rFonts w:ascii="仿宋" w:eastAsia="仿宋" w:hAnsi="仿宋" w:cs="宋体" w:hint="eastAsia"/>
          <w:kern w:val="0"/>
          <w:sz w:val="32"/>
          <w:szCs w:val="32"/>
        </w:rPr>
        <w:t>。</w:t>
      </w:r>
    </w:p>
    <w:p w:rsidR="00176F03" w:rsidRDefault="00872D6E">
      <w:pPr>
        <w:spacing w:line="560" w:lineRule="exact"/>
        <w:ind w:firstLineChars="200" w:firstLine="640"/>
        <w:outlineLvl w:val="1"/>
        <w:rPr>
          <w:rFonts w:ascii="楷体" w:eastAsia="楷体" w:hAnsi="楷体"/>
          <w:sz w:val="32"/>
          <w:szCs w:val="32"/>
        </w:rPr>
      </w:pPr>
      <w:r>
        <w:rPr>
          <w:rFonts w:ascii="楷体" w:eastAsia="楷体" w:hAnsi="楷体" w:hint="eastAsia"/>
          <w:sz w:val="32"/>
          <w:szCs w:val="32"/>
        </w:rPr>
        <w:t>（二）效果实现情况分析</w:t>
      </w:r>
      <w:bookmarkEnd w:id="12"/>
    </w:p>
    <w:p w:rsidR="00176F03" w:rsidRDefault="00872D6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2024</w:t>
      </w:r>
      <w:r>
        <w:rPr>
          <w:rFonts w:ascii="仿宋_GB2312" w:eastAsia="仿宋_GB2312" w:hAnsi="仿宋_GB2312" w:cs="仿宋_GB2312" w:hint="eastAsia"/>
          <w:kern w:val="0"/>
          <w:sz w:val="32"/>
          <w:szCs w:val="32"/>
        </w:rPr>
        <w:t>年，市交通委工作效益显著。区域交通网络持续完善，京蔚高速北京段、厂通路、通清路、西太路实现通车。一体化服务水平持续提升，</w:t>
      </w:r>
      <w:r>
        <w:rPr>
          <w:rFonts w:ascii="仿宋_GB2312" w:eastAsia="仿宋_GB2312" w:hAnsi="仿宋_GB2312" w:cs="仿宋_GB2312" w:hint="eastAsia"/>
          <w:kern w:val="0"/>
          <w:sz w:val="32"/>
          <w:szCs w:val="32"/>
        </w:rPr>
        <w:t>38</w:t>
      </w:r>
      <w:r>
        <w:rPr>
          <w:rFonts w:ascii="仿宋_GB2312" w:eastAsia="仿宋_GB2312" w:hAnsi="仿宋_GB2312" w:cs="仿宋_GB2312" w:hint="eastAsia"/>
          <w:kern w:val="0"/>
          <w:sz w:val="32"/>
          <w:szCs w:val="32"/>
        </w:rPr>
        <w:t>条跨省公交线路常态化运营，定制快巴</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条主线</w:t>
      </w:r>
      <w:r>
        <w:rPr>
          <w:rFonts w:ascii="仿宋_GB2312" w:eastAsia="仿宋_GB2312" w:hAnsi="仿宋_GB2312" w:cs="仿宋_GB2312" w:hint="eastAsia"/>
          <w:kern w:val="0"/>
          <w:sz w:val="32"/>
          <w:szCs w:val="32"/>
        </w:rPr>
        <w:t>39</w:t>
      </w:r>
      <w:r>
        <w:rPr>
          <w:rFonts w:ascii="仿宋_GB2312" w:eastAsia="仿宋_GB2312" w:hAnsi="仿宋_GB2312" w:cs="仿宋_GB2312" w:hint="eastAsia"/>
          <w:kern w:val="0"/>
          <w:sz w:val="32"/>
          <w:szCs w:val="32"/>
        </w:rPr>
        <w:t>条支线覆盖津冀重点环京通勤地区，环京通行效率大幅提升。加强交通治理，提高道路通行能力和行车速度、减少拥堵时间、方便群众出行，改善出行环境。核心区、城市副中心等重点部位和儿童医院、复兴门桥、天坛等常发堵点周边平均车速提升</w:t>
      </w:r>
      <w:r>
        <w:rPr>
          <w:rFonts w:ascii="仿宋_GB2312" w:eastAsia="仿宋_GB2312" w:hAnsi="仿宋_GB2312" w:cs="仿宋_GB2312" w:hint="eastAsia"/>
          <w:kern w:val="0"/>
          <w:sz w:val="32"/>
          <w:szCs w:val="32"/>
        </w:rPr>
        <w:t>19.6%,</w:t>
      </w:r>
      <w:r>
        <w:rPr>
          <w:rFonts w:ascii="仿宋_GB2312" w:eastAsia="仿宋_GB2312" w:hAnsi="仿宋_GB2312" w:cs="仿宋_GB2312" w:hint="eastAsia"/>
          <w:kern w:val="0"/>
          <w:sz w:val="32"/>
          <w:szCs w:val="32"/>
        </w:rPr>
        <w:t>中心城区高峰时段</w:t>
      </w:r>
      <w:r>
        <w:rPr>
          <w:rFonts w:ascii="仿宋_GB2312" w:eastAsia="仿宋_GB2312" w:hAnsi="仿宋_GB2312" w:cs="仿宋_GB2312" w:hint="eastAsia"/>
          <w:kern w:val="0"/>
          <w:sz w:val="32"/>
          <w:szCs w:val="32"/>
        </w:rPr>
        <w:lastRenderedPageBreak/>
        <w:t>平均道路交通指数降至</w:t>
      </w:r>
      <w:r>
        <w:rPr>
          <w:rFonts w:ascii="仿宋_GB2312" w:eastAsia="仿宋_GB2312" w:hAnsi="仿宋_GB2312" w:cs="仿宋_GB2312" w:hint="eastAsia"/>
          <w:kern w:val="0"/>
          <w:sz w:val="32"/>
          <w:szCs w:val="32"/>
        </w:rPr>
        <w:t>6.08,</w:t>
      </w:r>
      <w:r>
        <w:rPr>
          <w:rFonts w:ascii="仿宋_GB2312" w:eastAsia="仿宋_GB2312" w:hAnsi="仿宋_GB2312" w:cs="仿宋_GB2312" w:hint="eastAsia"/>
          <w:kern w:val="0"/>
          <w:sz w:val="32"/>
          <w:szCs w:val="32"/>
        </w:rPr>
        <w:t>交通运行效率有效提升</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群众出行获得感、幸福感、安全感得到</w:t>
      </w:r>
      <w:r>
        <w:rPr>
          <w:rFonts w:ascii="仿宋_GB2312" w:eastAsia="仿宋_GB2312" w:hAnsi="仿宋_GB2312" w:cs="仿宋_GB2312" w:hint="eastAsia"/>
          <w:kern w:val="0"/>
          <w:sz w:val="32"/>
          <w:szCs w:val="32"/>
        </w:rPr>
        <w:t>提高。完成</w:t>
      </w:r>
      <w:r>
        <w:rPr>
          <w:rFonts w:ascii="仿宋_GB2312" w:eastAsia="仿宋_GB2312" w:hAnsi="仿宋_GB2312" w:cs="仿宋_GB2312" w:hint="eastAsia"/>
          <w:kern w:val="0"/>
          <w:sz w:val="32"/>
          <w:szCs w:val="32"/>
        </w:rPr>
        <w:t>53</w:t>
      </w:r>
      <w:r>
        <w:rPr>
          <w:rFonts w:ascii="仿宋_GB2312" w:eastAsia="仿宋_GB2312" w:hAnsi="仿宋_GB2312" w:cs="仿宋_GB2312" w:hint="eastAsia"/>
          <w:kern w:val="0"/>
          <w:sz w:val="32"/>
          <w:szCs w:val="32"/>
        </w:rPr>
        <w:t>个重点地铁站点非机动车停放秩序治理，提供</w:t>
      </w:r>
      <w:r>
        <w:rPr>
          <w:rFonts w:ascii="仿宋_GB2312" w:eastAsia="仿宋_GB2312" w:hAnsi="仿宋_GB2312" w:cs="仿宋_GB2312" w:hint="eastAsia"/>
          <w:kern w:val="0"/>
          <w:sz w:val="32"/>
          <w:szCs w:val="32"/>
        </w:rPr>
        <w:t>4.2</w:t>
      </w:r>
      <w:r>
        <w:rPr>
          <w:rFonts w:ascii="仿宋_GB2312" w:eastAsia="仿宋_GB2312" w:hAnsi="仿宋_GB2312" w:cs="仿宋_GB2312" w:hint="eastAsia"/>
          <w:kern w:val="0"/>
          <w:sz w:val="32"/>
          <w:szCs w:val="32"/>
        </w:rPr>
        <w:t>万个停车位；优化中心城区停车供给，增加</w:t>
      </w:r>
      <w:r>
        <w:rPr>
          <w:rFonts w:ascii="仿宋_GB2312" w:eastAsia="仿宋_GB2312" w:hAnsi="仿宋_GB2312" w:cs="仿宋_GB2312" w:hint="eastAsia"/>
          <w:kern w:val="0"/>
          <w:sz w:val="32"/>
          <w:szCs w:val="32"/>
        </w:rPr>
        <w:t>3.8</w:t>
      </w:r>
      <w:r>
        <w:rPr>
          <w:rFonts w:ascii="仿宋_GB2312" w:eastAsia="仿宋_GB2312" w:hAnsi="仿宋_GB2312" w:cs="仿宋_GB2312" w:hint="eastAsia"/>
          <w:kern w:val="0"/>
          <w:sz w:val="32"/>
          <w:szCs w:val="32"/>
        </w:rPr>
        <w:t>万个新建、错时共享停车位，有效缓解停车难题。</w:t>
      </w:r>
      <w:bookmarkStart w:id="13" w:name="_Toc26736"/>
    </w:p>
    <w:p w:rsidR="00176F03" w:rsidRDefault="00872D6E">
      <w:pPr>
        <w:spacing w:line="560" w:lineRule="exact"/>
        <w:ind w:firstLineChars="200" w:firstLine="640"/>
        <w:rPr>
          <w:rFonts w:ascii="黑体" w:eastAsia="黑体" w:hAnsi="黑体" w:cs="黑体"/>
          <w:b/>
          <w:sz w:val="32"/>
          <w:szCs w:val="32"/>
        </w:rPr>
      </w:pPr>
      <w:r>
        <w:rPr>
          <w:rFonts w:ascii="黑体" w:eastAsia="黑体" w:hAnsi="黑体" w:cs="黑体" w:hint="eastAsia"/>
          <w:sz w:val="32"/>
          <w:szCs w:val="32"/>
        </w:rPr>
        <w:t>四、预算管理情况分析</w:t>
      </w:r>
      <w:bookmarkEnd w:id="13"/>
    </w:p>
    <w:p w:rsidR="00176F03" w:rsidRDefault="00872D6E">
      <w:pPr>
        <w:pStyle w:val="2"/>
        <w:keepNext w:val="0"/>
        <w:keepLines w:val="0"/>
        <w:spacing w:before="0" w:after="0" w:line="560" w:lineRule="exact"/>
        <w:ind w:firstLineChars="200" w:firstLine="640"/>
        <w:rPr>
          <w:rFonts w:ascii="楷体" w:eastAsia="楷体" w:hAnsi="楷体" w:cs="楷体_GB2312"/>
          <w:b w:val="0"/>
        </w:rPr>
      </w:pPr>
      <w:bookmarkStart w:id="14" w:name="_Toc6432"/>
      <w:r>
        <w:rPr>
          <w:rFonts w:ascii="楷体" w:eastAsia="楷体" w:hAnsi="楷体" w:cs="楷体_GB2312" w:hint="eastAsia"/>
          <w:b w:val="0"/>
        </w:rPr>
        <w:t>（一）财务管理</w:t>
      </w:r>
      <w:bookmarkEnd w:id="14"/>
    </w:p>
    <w:p w:rsidR="00176F03" w:rsidRDefault="00872D6E">
      <w:pPr>
        <w:spacing w:line="560" w:lineRule="exact"/>
        <w:ind w:leftChars="50" w:left="105"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财务管理制度健全性</w:t>
      </w:r>
    </w:p>
    <w:p w:rsidR="00176F03" w:rsidRDefault="00872D6E">
      <w:pPr>
        <w:tabs>
          <w:tab w:val="left" w:pos="5250"/>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市交通委建立了较为完善的财务管理制度体系，包括预算管理办法等一系列制度，从预算管理、收支管理、政府采购、专项资金管理等方面进行规范约束，从制度上保证了财务工作的规范有序开展。</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sz w:val="32"/>
          <w:szCs w:val="32"/>
        </w:rPr>
        <w:t>资金使用合规性和安全性</w:t>
      </w:r>
    </w:p>
    <w:p w:rsidR="00176F03" w:rsidRDefault="00872D6E">
      <w:pPr>
        <w:tabs>
          <w:tab w:val="left" w:pos="5250"/>
        </w:tabs>
        <w:spacing w:line="560" w:lineRule="exact"/>
        <w:ind w:firstLineChars="200" w:firstLine="640"/>
        <w:rPr>
          <w:rFonts w:ascii="仿宋" w:eastAsia="仿宋" w:hAnsi="仿宋"/>
          <w:sz w:val="32"/>
          <w:szCs w:val="32"/>
        </w:rPr>
      </w:pPr>
      <w:r>
        <w:rPr>
          <w:rFonts w:ascii="仿宋" w:eastAsia="仿宋" w:hAnsi="仿宋" w:hint="eastAsia"/>
          <w:sz w:val="32"/>
          <w:szCs w:val="32"/>
        </w:rPr>
        <w:t>市交通委严格遵守《预算法》《预算法实施条例》等法律法规和财政部、市财政局有关财政、财务规章制度，并制定了适合本单位的内控制度，规范财政资金管理，量入为出，统筹兼顾，突出重点，讲究实效，防范风险，合理使用各项建设资金，建设项目预算支出整体受控。</w:t>
      </w:r>
    </w:p>
    <w:p w:rsidR="00176F03" w:rsidRDefault="00872D6E">
      <w:pPr>
        <w:tabs>
          <w:tab w:val="left" w:pos="5250"/>
        </w:tabs>
        <w:spacing w:line="560" w:lineRule="exact"/>
        <w:ind w:firstLineChars="200" w:firstLine="640"/>
        <w:rPr>
          <w:rFonts w:ascii="仿宋" w:eastAsia="仿宋" w:hAnsi="仿宋"/>
          <w:sz w:val="32"/>
          <w:szCs w:val="32"/>
        </w:rPr>
      </w:pPr>
      <w:r>
        <w:rPr>
          <w:rFonts w:ascii="仿宋" w:eastAsia="仿宋" w:hAnsi="仿宋" w:hint="eastAsia"/>
          <w:sz w:val="32"/>
          <w:szCs w:val="32"/>
        </w:rPr>
        <w:t>按照市财政局预算管理及我委预算管理办法规定，做好预算申报工作。预算批复后，严格执行</w:t>
      </w:r>
      <w:r>
        <w:rPr>
          <w:rFonts w:ascii="仿宋" w:eastAsia="仿宋" w:hAnsi="仿宋" w:cs="宋体" w:hint="eastAsia"/>
          <w:kern w:val="0"/>
          <w:sz w:val="32"/>
          <w:szCs w:val="32"/>
        </w:rPr>
        <w:t>本市和本单位相关</w:t>
      </w:r>
      <w:r>
        <w:rPr>
          <w:rFonts w:ascii="仿宋" w:eastAsia="仿宋" w:hAnsi="仿宋" w:hint="eastAsia"/>
          <w:sz w:val="32"/>
          <w:szCs w:val="32"/>
        </w:rPr>
        <w:t>要求，开展政府采购，严格按照相关制度办理项目资金收支，积极防范资金风险。资金的拨付有完整的审批程序和手续，基本支出、项目支出均符合部门预算批复的用途，无截留、挤占、挪用情</w:t>
      </w:r>
      <w:r>
        <w:rPr>
          <w:rFonts w:ascii="仿宋" w:eastAsia="仿宋" w:hAnsi="仿宋" w:hint="eastAsia"/>
          <w:sz w:val="32"/>
          <w:szCs w:val="32"/>
        </w:rPr>
        <w:t>况。</w:t>
      </w:r>
    </w:p>
    <w:p w:rsidR="00176F03" w:rsidRDefault="00872D6E">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3.</w:t>
      </w:r>
      <w:r>
        <w:rPr>
          <w:rFonts w:ascii="仿宋" w:eastAsia="仿宋" w:hAnsi="仿宋" w:cs="宋体"/>
          <w:kern w:val="0"/>
          <w:sz w:val="32"/>
          <w:szCs w:val="32"/>
        </w:rPr>
        <w:t>会计基础信息完善性</w:t>
      </w:r>
    </w:p>
    <w:p w:rsidR="00176F03" w:rsidRDefault="00872D6E">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市交通委严格按照《中华人民共和国预算法》《政府会计准则——基本准则》等法律法规要求进行会计核算，采用财务会计、预算会计双轨并行的会计记账方式，全面、客观、如实反映市交通委发生的各项经济业务，基础数据信息和会计信息资料真实、完整、准确。</w:t>
      </w:r>
    </w:p>
    <w:p w:rsidR="00176F03" w:rsidRDefault="00872D6E">
      <w:pPr>
        <w:pStyle w:val="2"/>
        <w:keepNext w:val="0"/>
        <w:keepLines w:val="0"/>
        <w:spacing w:before="0" w:after="0" w:line="560" w:lineRule="exact"/>
        <w:ind w:firstLineChars="200" w:firstLine="640"/>
        <w:rPr>
          <w:rFonts w:ascii="楷体" w:eastAsia="楷体" w:hAnsi="楷体" w:cs="楷体_GB2312"/>
          <w:b w:val="0"/>
        </w:rPr>
      </w:pPr>
      <w:bookmarkStart w:id="15" w:name="_Toc14545"/>
      <w:r>
        <w:rPr>
          <w:rFonts w:ascii="楷体" w:eastAsia="楷体" w:hAnsi="楷体" w:cs="楷体_GB2312" w:hint="eastAsia"/>
          <w:b w:val="0"/>
        </w:rPr>
        <w:t>（二）资产管理</w:t>
      </w:r>
      <w:bookmarkEnd w:id="15"/>
    </w:p>
    <w:p w:rsidR="00176F03" w:rsidRDefault="00872D6E">
      <w:pPr>
        <w:spacing w:line="560" w:lineRule="exact"/>
        <w:ind w:leftChars="50" w:left="105" w:firstLineChars="200" w:firstLine="64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sz w:val="32"/>
          <w:szCs w:val="32"/>
        </w:rPr>
        <w:t>制度建设</w:t>
      </w:r>
    </w:p>
    <w:p w:rsidR="00176F03" w:rsidRDefault="00872D6E">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为严格落实国有资产管理相关要求，规范市交通委资产管理，制订了资产管理相关制度，从资产购置、盘点、日常管理、处置、核算等方面明确了管理要求，为维护资产安全完整、提升资产使用效率、发挥资产功能价值方面提供了良好的制度保障</w:t>
      </w:r>
      <w:r>
        <w:rPr>
          <w:rFonts w:ascii="仿宋" w:eastAsia="仿宋" w:hAnsi="仿宋" w:cs="宋体" w:hint="eastAsia"/>
          <w:kern w:val="0"/>
          <w:sz w:val="32"/>
          <w:szCs w:val="32"/>
        </w:rPr>
        <w:t>。</w:t>
      </w:r>
    </w:p>
    <w:p w:rsidR="00176F03" w:rsidRDefault="00872D6E">
      <w:pPr>
        <w:spacing w:line="560" w:lineRule="exact"/>
        <w:ind w:leftChars="50" w:left="105"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sz w:val="32"/>
          <w:szCs w:val="32"/>
        </w:rPr>
        <w:t>管理措施</w:t>
      </w:r>
    </w:p>
    <w:p w:rsidR="00176F03" w:rsidRDefault="00872D6E">
      <w:pPr>
        <w:spacing w:line="560" w:lineRule="exact"/>
        <w:ind w:leftChars="50" w:left="105"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市交通委根据资产管理制度的规定，每年定期对资产进行盘点，确保账账、账实、账表核对一致，做到摸清家底，并完善资产台账。加强对固定资产的配置、采购、报废等环节的科学决策，实现资产管理的规范化、科学化、合理化。</w:t>
      </w:r>
    </w:p>
    <w:p w:rsidR="00176F03" w:rsidRDefault="00872D6E">
      <w:pPr>
        <w:pStyle w:val="2"/>
        <w:keepNext w:val="0"/>
        <w:keepLines w:val="0"/>
        <w:spacing w:before="0" w:after="0" w:line="560" w:lineRule="exact"/>
        <w:ind w:firstLineChars="200" w:firstLine="640"/>
        <w:rPr>
          <w:rFonts w:ascii="楷体" w:eastAsia="楷体" w:hAnsi="楷体" w:cs="楷体_GB2312"/>
          <w:b w:val="0"/>
        </w:rPr>
      </w:pPr>
      <w:bookmarkStart w:id="16" w:name="_Toc15535"/>
      <w:r>
        <w:rPr>
          <w:rFonts w:ascii="楷体" w:eastAsia="楷体" w:hAnsi="楷体" w:cs="楷体_GB2312" w:hint="eastAsia"/>
          <w:b w:val="0"/>
        </w:rPr>
        <w:t>（三）绩效管理</w:t>
      </w:r>
      <w:bookmarkEnd w:id="16"/>
    </w:p>
    <w:p w:rsidR="00176F03" w:rsidRDefault="00872D6E">
      <w:pPr>
        <w:spacing w:line="560" w:lineRule="exact"/>
        <w:ind w:leftChars="50" w:left="105" w:firstLineChars="200" w:firstLine="64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sz w:val="32"/>
          <w:szCs w:val="32"/>
        </w:rPr>
        <w:t>组织架构</w:t>
      </w:r>
    </w:p>
    <w:p w:rsidR="00176F03" w:rsidRDefault="00872D6E">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为按时、高质量地完成部门绩效评价工作，切实提高全委预算管理水平，成立预算部门绩效评价领导小组，负责交通委部门绩效评价的总体协调、监督。</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sz w:val="32"/>
          <w:szCs w:val="32"/>
        </w:rPr>
        <w:t>制度建设</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制定了预算绩效管理规定，按照项目类别制定了绩效目标模板，将绩效目标设定、事前绩效评估、绩效监控、绩效评价及结</w:t>
      </w:r>
      <w:r>
        <w:rPr>
          <w:rFonts w:ascii="仿宋" w:eastAsia="仿宋" w:hAnsi="仿宋" w:cs="仿宋_GB2312" w:hint="eastAsia"/>
          <w:sz w:val="32"/>
          <w:szCs w:val="32"/>
        </w:rPr>
        <w:t>果应用纳入预算编制、执行、监督全过程，以提高全面预算绩效管理水平。</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sz w:val="32"/>
          <w:szCs w:val="32"/>
        </w:rPr>
        <w:t>工作开展情况</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市交通委严格落实预算绩效管理主体责任，扎实开展了一系列部门预算绩效管理相关工作。</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是开展项目事前绩效评审和预算评审。市交通委连续多年聘请专业机构对部门预算项目开展事前绩效评估和预算评审工作，事前绩效评估范围由重点项目逐步扩展到部门所有新增项目，预算评审基本实现项目全覆盖。</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二是扎实推进部门绩效自评。</w:t>
      </w:r>
      <w:r>
        <w:rPr>
          <w:rFonts w:ascii="仿宋" w:eastAsia="仿宋" w:hAnsi="仿宋" w:cs="仿宋_GB2312"/>
          <w:sz w:val="32"/>
          <w:szCs w:val="32"/>
        </w:rPr>
        <w:t>1.</w:t>
      </w:r>
      <w:r>
        <w:rPr>
          <w:rFonts w:ascii="仿宋" w:eastAsia="仿宋" w:hAnsi="仿宋" w:cs="仿宋_GB2312"/>
          <w:sz w:val="32"/>
          <w:szCs w:val="32"/>
        </w:rPr>
        <w:t>部门重点项目绩效评价严格按照预算绩效管理工作的要求，优先选取本部门资金体量较大、延续时间长的重点项目开展。采用专家评议法、比较法等多种方式相结合对部门重点支出项目进行绩效评价。</w:t>
      </w:r>
      <w:r>
        <w:rPr>
          <w:rFonts w:ascii="仿宋" w:eastAsia="仿宋" w:hAnsi="仿宋" w:cs="仿宋_GB2312"/>
          <w:sz w:val="32"/>
          <w:szCs w:val="32"/>
        </w:rPr>
        <w:t>2.</w:t>
      </w:r>
      <w:r>
        <w:rPr>
          <w:rFonts w:ascii="仿宋" w:eastAsia="仿宋" w:hAnsi="仿宋" w:cs="仿宋_GB2312"/>
          <w:sz w:val="32"/>
          <w:szCs w:val="32"/>
        </w:rPr>
        <w:t>组织对所有申报了绩效目标的项目开展绩效自评工作，通过项目自评打分真实、客观反映项目预算执行情况和绩效目标完成情况。</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是开展绩效运行监控工作。加强对项目执行过程、预算支出进度的动态监控，年度中期向市财政局报送绩效运行监控报告，对项目执行中的问题及时纠偏，密切关注财政资金使用效率，提前预判项目执行和预算支出情况，根据项目执行情况调整预算和绩效目标，提高财政资金使用效率。</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四是继续开展成本预算绩效分析，选取有代表性的项目</w:t>
      </w:r>
      <w:r>
        <w:rPr>
          <w:rFonts w:ascii="仿宋" w:eastAsia="仿宋" w:hAnsi="仿宋" w:cs="仿宋_GB2312" w:hint="eastAsia"/>
          <w:sz w:val="32"/>
          <w:szCs w:val="32"/>
        </w:rPr>
        <w:lastRenderedPageBreak/>
        <w:t>按程序开展，并将分析评价结果与预算挂钩。</w:t>
      </w:r>
    </w:p>
    <w:p w:rsidR="00176F03" w:rsidRDefault="00872D6E">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五是坚持通过公开接受监督。部门预决算及绩效评价情况在政府门户网站上进行公开，接受社会监督，以促进建立科学、规范、高效的财政资金分配管理体制和预算决策机制，合理配置政府</w:t>
      </w:r>
      <w:r>
        <w:rPr>
          <w:rFonts w:ascii="仿宋" w:eastAsia="仿宋" w:hAnsi="仿宋" w:cs="仿宋_GB2312" w:hint="eastAsia"/>
          <w:sz w:val="32"/>
          <w:szCs w:val="32"/>
        </w:rPr>
        <w:t>财政资源，提高财政资金使用效益。</w:t>
      </w:r>
    </w:p>
    <w:p w:rsidR="00176F03" w:rsidRDefault="00872D6E">
      <w:pPr>
        <w:pStyle w:val="2"/>
        <w:keepNext w:val="0"/>
        <w:keepLines w:val="0"/>
        <w:spacing w:before="0" w:after="0" w:line="560" w:lineRule="exact"/>
        <w:ind w:firstLineChars="200" w:firstLine="640"/>
        <w:rPr>
          <w:rFonts w:ascii="楷体" w:eastAsia="楷体" w:hAnsi="楷体" w:cs="楷体_GB2312"/>
          <w:b w:val="0"/>
        </w:rPr>
      </w:pPr>
      <w:bookmarkStart w:id="17" w:name="_Toc24503"/>
      <w:r>
        <w:rPr>
          <w:rFonts w:ascii="楷体" w:eastAsia="楷体" w:hAnsi="楷体" w:cs="楷体_GB2312" w:hint="eastAsia"/>
          <w:b w:val="0"/>
        </w:rPr>
        <w:t>（四）结转结余率</w:t>
      </w:r>
      <w:bookmarkEnd w:id="17"/>
    </w:p>
    <w:p w:rsidR="00176F03" w:rsidRDefault="00872D6E">
      <w:pPr>
        <w:spacing w:line="560" w:lineRule="exact"/>
        <w:ind w:firstLineChars="200" w:firstLine="640"/>
        <w:rPr>
          <w:rFonts w:ascii="仿宋_GB2312" w:eastAsia="仿宋_GB2312" w:hAnsi="仿宋_GB2312" w:cs="仿宋_GB2312"/>
          <w:sz w:val="32"/>
          <w:szCs w:val="32"/>
        </w:rPr>
      </w:pPr>
      <w:bookmarkStart w:id="18" w:name="OLE_LINK9"/>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年部门结转结余总额</w:t>
      </w:r>
      <w:r>
        <w:rPr>
          <w:rFonts w:ascii="仿宋_GB2312" w:eastAsia="仿宋_GB2312" w:hAnsi="仿宋_GB2312" w:cs="仿宋_GB2312" w:hint="eastAsia"/>
          <w:sz w:val="32"/>
          <w:szCs w:val="32"/>
        </w:rPr>
        <w:t>438,476.56</w:t>
      </w:r>
      <w:r>
        <w:rPr>
          <w:rFonts w:ascii="仿宋_GB2312" w:eastAsia="仿宋_GB2312" w:hAnsi="仿宋_GB2312" w:cs="仿宋_GB2312" w:hint="eastAsia"/>
          <w:sz w:val="32"/>
          <w:szCs w:val="32"/>
        </w:rPr>
        <w:t>万元，全年支出预算数</w:t>
      </w:r>
      <w:r>
        <w:rPr>
          <w:rFonts w:ascii="仿宋_GB2312" w:eastAsia="仿宋_GB2312" w:hAnsi="仿宋_GB2312" w:cs="仿宋_GB2312" w:hint="eastAsia"/>
          <w:sz w:val="32"/>
          <w:szCs w:val="32"/>
        </w:rPr>
        <w:t>2,939,979.00</w:t>
      </w:r>
      <w:r>
        <w:rPr>
          <w:rFonts w:ascii="仿宋_GB2312" w:eastAsia="仿宋_GB2312" w:hAnsi="仿宋_GB2312" w:cs="仿宋_GB2312" w:hint="eastAsia"/>
          <w:sz w:val="32"/>
          <w:szCs w:val="32"/>
        </w:rPr>
        <w:t>万元</w:t>
      </w:r>
      <w:bookmarkEnd w:id="18"/>
      <w:r>
        <w:rPr>
          <w:rFonts w:ascii="仿宋_GB2312" w:eastAsia="仿宋_GB2312" w:hAnsi="仿宋_GB2312" w:cs="仿宋_GB2312" w:hint="eastAsia"/>
          <w:sz w:val="32"/>
          <w:szCs w:val="32"/>
        </w:rPr>
        <w:t>，结转结余率</w:t>
      </w:r>
      <w:bookmarkStart w:id="19" w:name="OLE_LINK12"/>
      <w:r>
        <w:rPr>
          <w:rFonts w:ascii="仿宋_GB2312" w:eastAsia="仿宋_GB2312" w:hAnsi="仿宋_GB2312" w:cs="仿宋_GB2312" w:hint="eastAsia"/>
          <w:sz w:val="32"/>
          <w:szCs w:val="32"/>
        </w:rPr>
        <w:t>14.91%</w:t>
      </w:r>
      <w:bookmarkEnd w:id="19"/>
      <w:r>
        <w:rPr>
          <w:rFonts w:ascii="仿宋_GB2312" w:eastAsia="仿宋_GB2312" w:hAnsi="仿宋_GB2312" w:cs="仿宋_GB2312" w:hint="eastAsia"/>
          <w:sz w:val="32"/>
          <w:szCs w:val="32"/>
        </w:rPr>
        <w:t>。</w:t>
      </w:r>
      <w:bookmarkStart w:id="20" w:name="_Toc9318"/>
    </w:p>
    <w:p w:rsidR="00176F03" w:rsidRDefault="00872D6E">
      <w:pPr>
        <w:pStyle w:val="2"/>
        <w:keepNext w:val="0"/>
        <w:keepLines w:val="0"/>
        <w:spacing w:before="0" w:after="0" w:line="560" w:lineRule="exact"/>
        <w:ind w:firstLineChars="200" w:firstLine="640"/>
        <w:rPr>
          <w:rFonts w:ascii="楷体" w:eastAsia="楷体" w:hAnsi="楷体" w:cs="楷体_GB2312"/>
          <w:b w:val="0"/>
        </w:rPr>
      </w:pPr>
      <w:r>
        <w:rPr>
          <w:rFonts w:ascii="楷体" w:eastAsia="楷体" w:hAnsi="楷体" w:cs="楷体_GB2312" w:hint="eastAsia"/>
          <w:b w:val="0"/>
        </w:rPr>
        <w:t>（五）部门预决算差异率</w:t>
      </w:r>
      <w:bookmarkEnd w:id="20"/>
    </w:p>
    <w:p w:rsidR="00176F03" w:rsidRDefault="00872D6E">
      <w:pPr>
        <w:spacing w:line="560"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年部门决算数</w:t>
      </w:r>
      <w:r>
        <w:rPr>
          <w:rFonts w:ascii="仿宋_GB2312" w:eastAsia="仿宋_GB2312" w:hAnsi="仿宋_GB2312" w:cs="仿宋_GB2312" w:hint="eastAsia"/>
          <w:sz w:val="32"/>
          <w:szCs w:val="32"/>
        </w:rPr>
        <w:t>2,501,503.30</w:t>
      </w:r>
      <w:r>
        <w:rPr>
          <w:rFonts w:ascii="仿宋_GB2312" w:eastAsia="仿宋_GB2312" w:hAnsi="仿宋_GB2312" w:cs="仿宋_GB2312" w:hint="eastAsia"/>
          <w:sz w:val="32"/>
          <w:szCs w:val="32"/>
        </w:rPr>
        <w:t>万元，与年初部门预算数</w:t>
      </w:r>
      <w:r>
        <w:rPr>
          <w:rFonts w:ascii="仿宋_GB2312" w:eastAsia="仿宋_GB2312" w:hAnsi="仿宋_GB2312" w:cs="仿宋_GB2312" w:hint="eastAsia"/>
          <w:sz w:val="32"/>
          <w:szCs w:val="32"/>
        </w:rPr>
        <w:t>1,679,903.45</w:t>
      </w:r>
      <w:r>
        <w:rPr>
          <w:rFonts w:ascii="仿宋_GB2312" w:eastAsia="仿宋_GB2312" w:hAnsi="仿宋_GB2312" w:cs="仿宋_GB2312" w:hint="eastAsia"/>
          <w:sz w:val="32"/>
          <w:szCs w:val="32"/>
        </w:rPr>
        <w:t>万元相比，部门预决算差异率为</w:t>
      </w:r>
      <w:r>
        <w:rPr>
          <w:rFonts w:ascii="仿宋_GB2312" w:eastAsia="仿宋_GB2312" w:hAnsi="仿宋_GB2312" w:cs="仿宋_GB2312" w:hint="eastAsia"/>
          <w:sz w:val="32"/>
          <w:szCs w:val="32"/>
        </w:rPr>
        <w:t>48.91%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主要原因是为提高资金使用效率，根据工作计划，分批次批复下达资金。</w:t>
      </w:r>
    </w:p>
    <w:p w:rsidR="00176F03" w:rsidRDefault="00872D6E">
      <w:pPr>
        <w:pStyle w:val="1"/>
        <w:keepNext w:val="0"/>
        <w:keepLines w:val="0"/>
        <w:spacing w:before="0" w:after="0" w:line="560" w:lineRule="exact"/>
        <w:ind w:firstLineChars="200" w:firstLine="640"/>
        <w:rPr>
          <w:rFonts w:ascii="黑体" w:eastAsia="黑体" w:hAnsi="黑体" w:cs="黑体"/>
          <w:b w:val="0"/>
          <w:sz w:val="32"/>
          <w:szCs w:val="32"/>
        </w:rPr>
      </w:pPr>
      <w:bookmarkStart w:id="21" w:name="_Toc24562"/>
      <w:r>
        <w:rPr>
          <w:rFonts w:ascii="黑体" w:eastAsia="黑体" w:hAnsi="黑体" w:cs="黑体" w:hint="eastAsia"/>
          <w:b w:val="0"/>
          <w:sz w:val="32"/>
          <w:szCs w:val="32"/>
        </w:rPr>
        <w:t>五、总体评价结论</w:t>
      </w:r>
      <w:bookmarkEnd w:id="21"/>
    </w:p>
    <w:p w:rsidR="00176F03" w:rsidRDefault="00872D6E">
      <w:pPr>
        <w:pStyle w:val="2"/>
        <w:keepNext w:val="0"/>
        <w:keepLines w:val="0"/>
        <w:spacing w:before="0" w:after="0" w:line="560" w:lineRule="exact"/>
        <w:ind w:firstLineChars="200" w:firstLine="640"/>
        <w:rPr>
          <w:rFonts w:ascii="楷体" w:eastAsia="楷体" w:hAnsi="楷体" w:cs="楷体_GB2312"/>
          <w:b w:val="0"/>
        </w:rPr>
      </w:pPr>
      <w:bookmarkStart w:id="22" w:name="_Toc6069"/>
      <w:r>
        <w:rPr>
          <w:rFonts w:ascii="楷体" w:eastAsia="楷体" w:hAnsi="楷体" w:cs="楷体_GB2312" w:hint="eastAsia"/>
          <w:b w:val="0"/>
        </w:rPr>
        <w:t>（一）评价得分情况</w:t>
      </w:r>
      <w:bookmarkEnd w:id="22"/>
    </w:p>
    <w:p w:rsidR="00176F03" w:rsidRDefault="00872D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部门整体绩效目标实现情况良好，完成了年初制定的各项重点工作任务；财务管理制度健</w:t>
      </w:r>
      <w:r>
        <w:rPr>
          <w:rFonts w:ascii="仿宋_GB2312" w:eastAsia="仿宋_GB2312" w:hAnsi="仿宋_GB2312" w:cs="仿宋_GB2312" w:hint="eastAsia"/>
          <w:sz w:val="32"/>
          <w:szCs w:val="32"/>
        </w:rPr>
        <w:t>全，资金使用规范，资产使用及处置合规。部门整体绩效评价得分为</w:t>
      </w:r>
      <w:r>
        <w:rPr>
          <w:rFonts w:ascii="仿宋_GB2312" w:eastAsia="仿宋_GB2312" w:hAnsi="仿宋_GB2312" w:cs="仿宋_GB2312" w:hint="eastAsia"/>
          <w:sz w:val="32"/>
          <w:szCs w:val="32"/>
        </w:rPr>
        <w:t>91.76</w:t>
      </w:r>
      <w:r>
        <w:rPr>
          <w:rFonts w:ascii="仿宋_GB2312" w:eastAsia="仿宋_GB2312" w:hAnsi="仿宋_GB2312" w:cs="仿宋_GB2312" w:hint="eastAsia"/>
          <w:sz w:val="32"/>
          <w:szCs w:val="32"/>
        </w:rPr>
        <w:t>。</w:t>
      </w:r>
    </w:p>
    <w:p w:rsidR="00176F03" w:rsidRDefault="00872D6E">
      <w:pPr>
        <w:pStyle w:val="2"/>
        <w:keepNext w:val="0"/>
        <w:keepLines w:val="0"/>
        <w:spacing w:before="0" w:after="0" w:line="560" w:lineRule="exact"/>
        <w:ind w:firstLineChars="200" w:firstLine="640"/>
        <w:rPr>
          <w:rFonts w:ascii="楷体" w:eastAsia="楷体" w:hAnsi="楷体" w:cs="楷体_GB2312"/>
          <w:b w:val="0"/>
        </w:rPr>
      </w:pPr>
      <w:bookmarkStart w:id="23" w:name="_Toc23461"/>
      <w:r>
        <w:rPr>
          <w:rFonts w:ascii="楷体" w:eastAsia="楷体" w:hAnsi="楷体" w:cs="楷体_GB2312" w:hint="eastAsia"/>
          <w:b w:val="0"/>
        </w:rPr>
        <w:t>（二）存在的问题及原因分析</w:t>
      </w:r>
      <w:bookmarkEnd w:id="23"/>
    </w:p>
    <w:p w:rsidR="00176F03" w:rsidRDefault="00872D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在绩效评价过程中，发现如下问题：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个别项目绩效指标设置的系统性不强。如有的跨年项目仅设置总体绩效指标，未设置当年目标，导致自评工作缺乏参照指标。此类问题在设置</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预算项目绩效目标时已关注到，并补充了相关内容。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个别项目绩效目标设置缺乏可衡量性。如有的项目产</w:t>
      </w:r>
      <w:r>
        <w:rPr>
          <w:rFonts w:ascii="仿宋_GB2312" w:eastAsia="仿宋_GB2312" w:hAnsi="仿宋_GB2312" w:cs="仿宋_GB2312" w:hint="eastAsia"/>
          <w:sz w:val="32"/>
          <w:szCs w:val="32"/>
        </w:rPr>
        <w:lastRenderedPageBreak/>
        <w:t>出指标未能充分反应项目成果，项目效益指标为主观描述，难以准确衡量等。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受实施方案未完全确定或有变更等影响，个别项目未达到预期绩效目标，但未及时申</w:t>
      </w:r>
      <w:r>
        <w:rPr>
          <w:rFonts w:ascii="仿宋_GB2312" w:eastAsia="仿宋_GB2312" w:hAnsi="仿宋_GB2312" w:cs="仿宋_GB2312" w:hint="eastAsia"/>
          <w:sz w:val="32"/>
          <w:szCs w:val="32"/>
        </w:rPr>
        <w:t>请调整预算及绩效目标。</w:t>
      </w:r>
    </w:p>
    <w:p w:rsidR="00176F03" w:rsidRDefault="00872D6E">
      <w:pPr>
        <w:spacing w:line="560" w:lineRule="exact"/>
        <w:ind w:firstLineChars="200" w:firstLine="640"/>
        <w:rPr>
          <w:rFonts w:ascii="黑体" w:eastAsia="黑体" w:hAnsi="黑体" w:cs="黑体"/>
          <w:b/>
          <w:sz w:val="32"/>
          <w:szCs w:val="32"/>
        </w:rPr>
      </w:pPr>
      <w:bookmarkStart w:id="24" w:name="_Toc3803"/>
      <w:r>
        <w:rPr>
          <w:rFonts w:ascii="黑体" w:eastAsia="黑体" w:hAnsi="黑体" w:cs="黑体" w:hint="eastAsia"/>
          <w:sz w:val="32"/>
          <w:szCs w:val="32"/>
        </w:rPr>
        <w:t>六、</w:t>
      </w:r>
      <w:bookmarkEnd w:id="24"/>
      <w:r>
        <w:rPr>
          <w:rFonts w:ascii="黑体" w:eastAsia="黑体" w:hAnsi="黑体" w:cs="黑体" w:hint="eastAsia"/>
          <w:sz w:val="32"/>
          <w:szCs w:val="32"/>
        </w:rPr>
        <w:t>措施建议</w:t>
      </w:r>
    </w:p>
    <w:p w:rsidR="00176F03" w:rsidRDefault="00872D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（一）进一步宣贯预算绩效管理理念，科学合理系统设置项目绩效目标。项目执行出现偏差时，及时调整预算及绩效目标表。</w:t>
      </w:r>
    </w:p>
    <w:p w:rsidR="00176F03" w:rsidRDefault="00872D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bookmarkEnd w:id="0"/>
      <w:r>
        <w:rPr>
          <w:rFonts w:ascii="仿宋_GB2312" w:eastAsia="仿宋_GB2312" w:hAnsi="仿宋_GB2312" w:cs="仿宋_GB2312" w:hint="eastAsia"/>
          <w:sz w:val="32"/>
          <w:szCs w:val="32"/>
        </w:rPr>
        <w:t>强化绩效过程管理、结果应用。进一步规范预算项目的编制和执行，使预算执行与绩效目标充分结合，促进项目资金使用更加合理规范和透明，确保财政资金最大限度发挥作用。</w:t>
      </w:r>
    </w:p>
    <w:p w:rsidR="00176F03" w:rsidRDefault="00872D6E">
      <w:pPr>
        <w:spacing w:line="560" w:lineRule="exact"/>
        <w:ind w:firstLineChars="200" w:firstLine="640"/>
        <w:rPr>
          <w:rFonts w:ascii="仿宋" w:eastAsia="仿宋" w:hAnsi="仿宋" w:cs="仿宋_GB2312"/>
          <w:sz w:val="32"/>
          <w:szCs w:val="32"/>
        </w:rPr>
      </w:pPr>
      <w:bookmarkStart w:id="25" w:name="_Toc103006301"/>
      <w:bookmarkStart w:id="26" w:name="OLE_LINK13"/>
      <w:r>
        <w:rPr>
          <w:rFonts w:ascii="黑体" w:eastAsia="黑体" w:hAnsi="黑体" w:cs="黑体" w:hint="eastAsia"/>
          <w:bCs/>
          <w:sz w:val="32"/>
          <w:szCs w:val="32"/>
        </w:rPr>
        <w:t>七、</w:t>
      </w:r>
      <w:r>
        <w:rPr>
          <w:rFonts w:ascii="黑体" w:eastAsia="黑体" w:hAnsi="黑体" w:cs="黑体"/>
          <w:bCs/>
          <w:sz w:val="32"/>
          <w:szCs w:val="32"/>
        </w:rPr>
        <w:t>2024</w:t>
      </w:r>
      <w:r>
        <w:rPr>
          <w:rFonts w:ascii="黑体" w:eastAsia="黑体" w:hAnsi="黑体" w:cs="黑体"/>
          <w:bCs/>
          <w:sz w:val="32"/>
          <w:szCs w:val="32"/>
        </w:rPr>
        <w:t>年部门整体绩效评价指标体系评分表</w:t>
      </w:r>
      <w:bookmarkEnd w:id="25"/>
    </w:p>
    <w:bookmarkEnd w:id="26"/>
    <w:p w:rsidR="00176F03" w:rsidRDefault="00176F03">
      <w:pPr>
        <w:spacing w:line="560" w:lineRule="exact"/>
        <w:ind w:firstLineChars="200" w:firstLine="640"/>
        <w:rPr>
          <w:rFonts w:ascii="仿宋" w:eastAsia="仿宋" w:hAnsi="仿宋" w:cs="仿宋_GB2312"/>
          <w:sz w:val="32"/>
          <w:szCs w:val="32"/>
        </w:rPr>
      </w:pPr>
    </w:p>
    <w:p w:rsidR="00176F03" w:rsidRDefault="00176F03">
      <w:pPr>
        <w:spacing w:line="560" w:lineRule="exact"/>
        <w:ind w:firstLineChars="200" w:firstLine="640"/>
        <w:rPr>
          <w:rFonts w:ascii="仿宋" w:eastAsia="仿宋" w:hAnsi="仿宋" w:cs="仿宋_GB2312"/>
          <w:sz w:val="32"/>
          <w:szCs w:val="32"/>
        </w:rPr>
      </w:pPr>
    </w:p>
    <w:p w:rsidR="00176F03" w:rsidRDefault="00176F03">
      <w:pPr>
        <w:spacing w:line="560" w:lineRule="exact"/>
        <w:ind w:firstLineChars="200" w:firstLine="640"/>
        <w:rPr>
          <w:rFonts w:ascii="仿宋" w:eastAsia="仿宋" w:hAnsi="仿宋" w:cs="仿宋_GB2312"/>
          <w:sz w:val="32"/>
          <w:szCs w:val="32"/>
        </w:rPr>
      </w:pPr>
    </w:p>
    <w:p w:rsidR="00176F03" w:rsidRDefault="00176F03">
      <w:pPr>
        <w:spacing w:line="560" w:lineRule="exact"/>
        <w:ind w:firstLineChars="200" w:firstLine="640"/>
        <w:rPr>
          <w:rFonts w:ascii="仿宋" w:eastAsia="仿宋" w:hAnsi="仿宋" w:cs="仿宋_GB2312"/>
          <w:sz w:val="32"/>
          <w:szCs w:val="32"/>
        </w:rPr>
      </w:pPr>
    </w:p>
    <w:p w:rsidR="00176F03" w:rsidRDefault="00176F03">
      <w:pPr>
        <w:spacing w:line="560" w:lineRule="exact"/>
        <w:ind w:firstLineChars="200" w:firstLine="640"/>
        <w:rPr>
          <w:rFonts w:ascii="仿宋" w:eastAsia="仿宋" w:hAnsi="仿宋" w:cs="仿宋_GB2312"/>
          <w:sz w:val="32"/>
          <w:szCs w:val="32"/>
        </w:rPr>
      </w:pPr>
    </w:p>
    <w:p w:rsidR="00176F03" w:rsidRDefault="00176F03">
      <w:pPr>
        <w:spacing w:line="560" w:lineRule="exact"/>
        <w:ind w:firstLineChars="200" w:firstLine="640"/>
        <w:rPr>
          <w:rFonts w:ascii="仿宋" w:eastAsia="仿宋" w:hAnsi="仿宋" w:cs="仿宋_GB2312"/>
          <w:sz w:val="32"/>
          <w:szCs w:val="32"/>
        </w:rPr>
      </w:pPr>
    </w:p>
    <w:p w:rsidR="00176F03" w:rsidRDefault="00176F03">
      <w:pPr>
        <w:spacing w:line="560" w:lineRule="exact"/>
        <w:rPr>
          <w:rFonts w:ascii="仿宋" w:eastAsia="仿宋" w:hAnsi="仿宋" w:cs="仿宋_GB2312"/>
          <w:sz w:val="32"/>
          <w:szCs w:val="32"/>
        </w:rPr>
        <w:sectPr w:rsidR="00176F03">
          <w:footerReference w:type="default" r:id="rId13"/>
          <w:pgSz w:w="11906" w:h="16838"/>
          <w:pgMar w:top="1580" w:right="1800" w:bottom="1580" w:left="1800" w:header="851" w:footer="964" w:gutter="0"/>
          <w:pgNumType w:start="1"/>
          <w:cols w:space="425"/>
          <w:docGrid w:type="lines" w:linePitch="435"/>
        </w:sectPr>
      </w:pPr>
    </w:p>
    <w:tbl>
      <w:tblPr>
        <w:tblW w:w="14187"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1369"/>
        <w:gridCol w:w="1613"/>
        <w:gridCol w:w="1807"/>
        <w:gridCol w:w="3000"/>
        <w:gridCol w:w="4830"/>
        <w:gridCol w:w="780"/>
        <w:gridCol w:w="788"/>
      </w:tblGrid>
      <w:tr w:rsidR="00176F03">
        <w:trPr>
          <w:trHeight w:val="538"/>
        </w:trPr>
        <w:tc>
          <w:tcPr>
            <w:tcW w:w="14187" w:type="dxa"/>
            <w:gridSpan w:val="7"/>
            <w:tcBorders>
              <w:bottom w:val="single" w:sz="4" w:space="0" w:color="auto"/>
            </w:tcBorders>
            <w:vAlign w:val="center"/>
          </w:tcPr>
          <w:p w:rsidR="00176F03" w:rsidRDefault="00872D6E">
            <w:pPr>
              <w:widowControl/>
              <w:spacing w:line="240" w:lineRule="exact"/>
              <w:jc w:val="left"/>
              <w:rPr>
                <w:rFonts w:ascii="宋体" w:hAnsi="宋体" w:cs="宋体"/>
                <w:kern w:val="0"/>
                <w:sz w:val="20"/>
                <w:szCs w:val="20"/>
              </w:rPr>
            </w:pPr>
            <w:r>
              <w:rPr>
                <w:rFonts w:ascii="宋体" w:hAnsi="宋体" w:cs="宋体" w:hint="eastAsia"/>
                <w:kern w:val="0"/>
                <w:sz w:val="20"/>
                <w:szCs w:val="20"/>
              </w:rPr>
              <w:lastRenderedPageBreak/>
              <w:t>一、当年预算执行情况（</w:t>
            </w:r>
            <w:r>
              <w:rPr>
                <w:rFonts w:ascii="宋体" w:hAnsi="宋体" w:cs="宋体"/>
                <w:kern w:val="0"/>
                <w:sz w:val="20"/>
                <w:szCs w:val="20"/>
              </w:rPr>
              <w:t>20</w:t>
            </w:r>
            <w:r>
              <w:rPr>
                <w:rFonts w:ascii="宋体" w:hAnsi="宋体" w:cs="宋体"/>
                <w:kern w:val="0"/>
                <w:sz w:val="20"/>
                <w:szCs w:val="20"/>
              </w:rPr>
              <w:t>分）</w:t>
            </w:r>
          </w:p>
        </w:tc>
      </w:tr>
      <w:tr w:rsidR="00176F03">
        <w:trPr>
          <w:trHeight w:val="850"/>
        </w:trPr>
        <w:tc>
          <w:tcPr>
            <w:tcW w:w="1369" w:type="dxa"/>
            <w:tcBorders>
              <w:bottom w:val="single" w:sz="4" w:space="0" w:color="auto"/>
              <w:right w:val="single" w:sz="4" w:space="0" w:color="auto"/>
            </w:tcBorders>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一级</w:t>
            </w:r>
          </w:p>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 xml:space="preserve">指标　</w:t>
            </w:r>
          </w:p>
        </w:tc>
        <w:tc>
          <w:tcPr>
            <w:tcW w:w="1613" w:type="dxa"/>
            <w:tcBorders>
              <w:left w:val="nil"/>
              <w:bottom w:val="single" w:sz="4" w:space="0" w:color="auto"/>
              <w:right w:val="single" w:sz="4" w:space="0" w:color="auto"/>
            </w:tcBorders>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 xml:space="preserve">二级指标　</w:t>
            </w:r>
          </w:p>
        </w:tc>
        <w:tc>
          <w:tcPr>
            <w:tcW w:w="1807" w:type="dxa"/>
            <w:tcBorders>
              <w:left w:val="nil"/>
              <w:bottom w:val="single" w:sz="4" w:space="0" w:color="auto"/>
              <w:right w:val="single" w:sz="4" w:space="0" w:color="auto"/>
            </w:tcBorders>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预算数</w:t>
            </w:r>
          </w:p>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（万元）</w:t>
            </w:r>
          </w:p>
        </w:tc>
        <w:tc>
          <w:tcPr>
            <w:tcW w:w="3000" w:type="dxa"/>
            <w:tcBorders>
              <w:left w:val="nil"/>
              <w:bottom w:val="single" w:sz="4" w:space="0" w:color="auto"/>
              <w:right w:val="single" w:sz="4" w:space="0" w:color="auto"/>
            </w:tcBorders>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执行数</w:t>
            </w:r>
          </w:p>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（万元）</w:t>
            </w:r>
          </w:p>
        </w:tc>
        <w:tc>
          <w:tcPr>
            <w:tcW w:w="4830" w:type="dxa"/>
            <w:tcBorders>
              <w:left w:val="nil"/>
              <w:bottom w:val="single" w:sz="4" w:space="0" w:color="auto"/>
              <w:right w:val="single" w:sz="4" w:space="0" w:color="auto"/>
            </w:tcBorders>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预算执行率</w:t>
            </w:r>
          </w:p>
        </w:tc>
        <w:tc>
          <w:tcPr>
            <w:tcW w:w="780" w:type="dxa"/>
            <w:tcBorders>
              <w:left w:val="nil"/>
              <w:bottom w:val="single" w:sz="4" w:space="0" w:color="auto"/>
              <w:right w:val="single" w:sz="4" w:space="0" w:color="auto"/>
            </w:tcBorders>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分值</w:t>
            </w:r>
          </w:p>
        </w:tc>
        <w:tc>
          <w:tcPr>
            <w:tcW w:w="788" w:type="dxa"/>
            <w:tcBorders>
              <w:left w:val="nil"/>
              <w:bottom w:val="single" w:sz="4" w:space="0" w:color="auto"/>
            </w:tcBorders>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得分</w:t>
            </w:r>
          </w:p>
        </w:tc>
      </w:tr>
      <w:tr w:rsidR="00176F03">
        <w:trPr>
          <w:trHeight w:val="850"/>
        </w:trPr>
        <w:tc>
          <w:tcPr>
            <w:tcW w:w="1369" w:type="dxa"/>
            <w:vMerge w:val="restart"/>
            <w:tcBorders>
              <w:top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当年预算执行情况（</w:t>
            </w:r>
            <w:r>
              <w:rPr>
                <w:rFonts w:ascii="宋体" w:hAnsi="宋体" w:cs="宋体"/>
                <w:kern w:val="0"/>
                <w:sz w:val="20"/>
                <w:szCs w:val="20"/>
              </w:rPr>
              <w:t>20</w:t>
            </w:r>
            <w:r>
              <w:rPr>
                <w:rFonts w:ascii="宋体" w:hAnsi="宋体" w:cs="宋体"/>
                <w:kern w:val="0"/>
                <w:sz w:val="20"/>
                <w:szCs w:val="20"/>
              </w:rPr>
              <w:t>）</w:t>
            </w:r>
          </w:p>
        </w:tc>
        <w:tc>
          <w:tcPr>
            <w:tcW w:w="1613"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资金总体</w:t>
            </w:r>
          </w:p>
        </w:tc>
        <w:tc>
          <w:tcPr>
            <w:tcW w:w="1807"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2,939,979.00</w:t>
            </w:r>
          </w:p>
        </w:tc>
        <w:tc>
          <w:tcPr>
            <w:tcW w:w="3000"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2,501,503.30</w:t>
            </w:r>
          </w:p>
        </w:tc>
        <w:tc>
          <w:tcPr>
            <w:tcW w:w="4830"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85.09%</w:t>
            </w:r>
          </w:p>
        </w:tc>
        <w:tc>
          <w:tcPr>
            <w:tcW w:w="780" w:type="dxa"/>
            <w:vMerge w:val="restart"/>
            <w:tcBorders>
              <w:top w:val="nil"/>
              <w:left w:val="single" w:sz="4" w:space="0" w:color="auto"/>
              <w:bottom w:val="single" w:sz="4" w:space="0" w:color="auto"/>
              <w:right w:val="single" w:sz="4" w:space="0" w:color="auto"/>
            </w:tcBorders>
            <w:noWrap/>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20</w:t>
            </w:r>
          </w:p>
        </w:tc>
        <w:tc>
          <w:tcPr>
            <w:tcW w:w="788" w:type="dxa"/>
            <w:vMerge w:val="restart"/>
            <w:tcBorders>
              <w:top w:val="nil"/>
              <w:left w:val="single" w:sz="4" w:space="0" w:color="auto"/>
              <w:bottom w:val="single" w:sz="4" w:space="0" w:color="auto"/>
            </w:tcBorders>
            <w:noWrap/>
            <w:vAlign w:val="center"/>
          </w:tcPr>
          <w:p w:rsidR="00176F03" w:rsidRDefault="00872D6E">
            <w:pPr>
              <w:widowControl/>
              <w:rPr>
                <w:rFonts w:ascii="宋体" w:hAnsi="宋体" w:cs="宋体"/>
                <w:kern w:val="0"/>
                <w:sz w:val="20"/>
                <w:szCs w:val="20"/>
              </w:rPr>
            </w:pPr>
            <w:r>
              <w:rPr>
                <w:rFonts w:ascii="宋体" w:hAnsi="宋体" w:cs="宋体"/>
                <w:kern w:val="0"/>
                <w:sz w:val="20"/>
                <w:szCs w:val="20"/>
              </w:rPr>
              <w:t xml:space="preserve">17.02 </w:t>
            </w:r>
          </w:p>
        </w:tc>
      </w:tr>
      <w:tr w:rsidR="00176F03">
        <w:trPr>
          <w:trHeight w:val="850"/>
        </w:trPr>
        <w:tc>
          <w:tcPr>
            <w:tcW w:w="1369" w:type="dxa"/>
            <w:vMerge/>
            <w:tcBorders>
              <w:top w:val="nil"/>
              <w:bottom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1613"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基本支出</w:t>
            </w:r>
          </w:p>
        </w:tc>
        <w:tc>
          <w:tcPr>
            <w:tcW w:w="1807"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159,423.71</w:t>
            </w:r>
          </w:p>
        </w:tc>
        <w:tc>
          <w:tcPr>
            <w:tcW w:w="3000"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133,426.89</w:t>
            </w:r>
          </w:p>
        </w:tc>
        <w:tc>
          <w:tcPr>
            <w:tcW w:w="4830" w:type="dxa"/>
            <w:vMerge w:val="restart"/>
            <w:tcBorders>
              <w:top w:val="nil"/>
              <w:left w:val="single" w:sz="4" w:space="0" w:color="auto"/>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w:t>
            </w:r>
          </w:p>
        </w:tc>
        <w:tc>
          <w:tcPr>
            <w:tcW w:w="780" w:type="dxa"/>
            <w:vMerge/>
            <w:tcBorders>
              <w:top w:val="nil"/>
              <w:left w:val="single" w:sz="4" w:space="0" w:color="auto"/>
              <w:bottom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788" w:type="dxa"/>
            <w:vMerge/>
            <w:tcBorders>
              <w:top w:val="nil"/>
              <w:left w:val="single" w:sz="4" w:space="0" w:color="auto"/>
              <w:bottom w:val="single" w:sz="4" w:space="0" w:color="auto"/>
            </w:tcBorders>
            <w:vAlign w:val="center"/>
          </w:tcPr>
          <w:p w:rsidR="00176F03" w:rsidRDefault="00176F03">
            <w:pPr>
              <w:widowControl/>
              <w:jc w:val="left"/>
              <w:rPr>
                <w:rFonts w:ascii="宋体" w:hAnsi="宋体" w:cs="宋体"/>
                <w:kern w:val="0"/>
                <w:sz w:val="20"/>
                <w:szCs w:val="20"/>
              </w:rPr>
            </w:pPr>
          </w:p>
        </w:tc>
      </w:tr>
      <w:tr w:rsidR="00176F03">
        <w:trPr>
          <w:trHeight w:val="850"/>
        </w:trPr>
        <w:tc>
          <w:tcPr>
            <w:tcW w:w="1369" w:type="dxa"/>
            <w:vMerge/>
            <w:tcBorders>
              <w:top w:val="nil"/>
              <w:bottom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1613"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项目支出</w:t>
            </w:r>
          </w:p>
        </w:tc>
        <w:tc>
          <w:tcPr>
            <w:tcW w:w="1807"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2,780,153.56</w:t>
            </w:r>
          </w:p>
        </w:tc>
        <w:tc>
          <w:tcPr>
            <w:tcW w:w="3000"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2,367,819.45</w:t>
            </w:r>
          </w:p>
        </w:tc>
        <w:tc>
          <w:tcPr>
            <w:tcW w:w="4830" w:type="dxa"/>
            <w:vMerge/>
            <w:tcBorders>
              <w:top w:val="nil"/>
              <w:left w:val="single" w:sz="4" w:space="0" w:color="auto"/>
              <w:bottom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780" w:type="dxa"/>
            <w:vMerge/>
            <w:tcBorders>
              <w:top w:val="nil"/>
              <w:left w:val="single" w:sz="4" w:space="0" w:color="auto"/>
              <w:bottom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788" w:type="dxa"/>
            <w:vMerge/>
            <w:tcBorders>
              <w:top w:val="nil"/>
              <w:left w:val="single" w:sz="4" w:space="0" w:color="auto"/>
              <w:bottom w:val="single" w:sz="4" w:space="0" w:color="auto"/>
            </w:tcBorders>
            <w:vAlign w:val="center"/>
          </w:tcPr>
          <w:p w:rsidR="00176F03" w:rsidRDefault="00176F03">
            <w:pPr>
              <w:widowControl/>
              <w:jc w:val="left"/>
              <w:rPr>
                <w:rFonts w:ascii="宋体" w:hAnsi="宋体" w:cs="宋体"/>
                <w:kern w:val="0"/>
                <w:sz w:val="20"/>
                <w:szCs w:val="20"/>
              </w:rPr>
            </w:pPr>
          </w:p>
        </w:tc>
      </w:tr>
      <w:tr w:rsidR="00176F03">
        <w:trPr>
          <w:trHeight w:val="850"/>
        </w:trPr>
        <w:tc>
          <w:tcPr>
            <w:tcW w:w="1369" w:type="dxa"/>
            <w:vMerge/>
            <w:tcBorders>
              <w:top w:val="nil"/>
              <w:right w:val="single" w:sz="4" w:space="0" w:color="auto"/>
            </w:tcBorders>
            <w:vAlign w:val="center"/>
          </w:tcPr>
          <w:p w:rsidR="00176F03" w:rsidRDefault="00176F03">
            <w:pPr>
              <w:widowControl/>
              <w:jc w:val="left"/>
              <w:rPr>
                <w:rFonts w:ascii="宋体" w:hAnsi="宋体" w:cs="宋体"/>
                <w:kern w:val="0"/>
                <w:sz w:val="20"/>
                <w:szCs w:val="20"/>
              </w:rPr>
            </w:pPr>
          </w:p>
        </w:tc>
        <w:tc>
          <w:tcPr>
            <w:tcW w:w="1613" w:type="dxa"/>
            <w:tcBorders>
              <w:top w:val="nil"/>
              <w:left w:val="nil"/>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其他</w:t>
            </w:r>
          </w:p>
        </w:tc>
        <w:tc>
          <w:tcPr>
            <w:tcW w:w="1807" w:type="dxa"/>
            <w:tcBorders>
              <w:top w:val="nil"/>
              <w:left w:val="nil"/>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401.73</w:t>
            </w:r>
          </w:p>
        </w:tc>
        <w:tc>
          <w:tcPr>
            <w:tcW w:w="3000" w:type="dxa"/>
            <w:tcBorders>
              <w:top w:val="nil"/>
              <w:left w:val="nil"/>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256.97</w:t>
            </w:r>
          </w:p>
        </w:tc>
        <w:tc>
          <w:tcPr>
            <w:tcW w:w="4830" w:type="dxa"/>
            <w:vMerge/>
            <w:tcBorders>
              <w:top w:val="nil"/>
              <w:left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780" w:type="dxa"/>
            <w:vMerge/>
            <w:tcBorders>
              <w:top w:val="nil"/>
              <w:left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788" w:type="dxa"/>
            <w:vMerge/>
            <w:tcBorders>
              <w:top w:val="nil"/>
              <w:left w:val="single" w:sz="4" w:space="0" w:color="auto"/>
            </w:tcBorders>
            <w:vAlign w:val="center"/>
          </w:tcPr>
          <w:p w:rsidR="00176F03" w:rsidRDefault="00176F03">
            <w:pPr>
              <w:widowControl/>
              <w:jc w:val="left"/>
              <w:rPr>
                <w:rFonts w:ascii="宋体" w:hAnsi="宋体" w:cs="宋体"/>
                <w:kern w:val="0"/>
                <w:sz w:val="20"/>
                <w:szCs w:val="20"/>
              </w:rPr>
            </w:pPr>
          </w:p>
        </w:tc>
      </w:tr>
    </w:tbl>
    <w:p w:rsidR="00176F03" w:rsidRDefault="00872D6E">
      <w:bookmarkStart w:id="27" w:name="_Hlk206669579"/>
      <w:r>
        <w:br w:type="page"/>
      </w:r>
    </w:p>
    <w:tbl>
      <w:tblPr>
        <w:tblW w:w="14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605"/>
        <w:gridCol w:w="8"/>
        <w:gridCol w:w="1807"/>
        <w:gridCol w:w="3000"/>
        <w:gridCol w:w="4830"/>
        <w:gridCol w:w="780"/>
        <w:gridCol w:w="15"/>
        <w:gridCol w:w="758"/>
        <w:gridCol w:w="15"/>
      </w:tblGrid>
      <w:tr w:rsidR="00176F03">
        <w:trPr>
          <w:cantSplit/>
          <w:trHeight w:val="567"/>
        </w:trPr>
        <w:tc>
          <w:tcPr>
            <w:tcW w:w="14187" w:type="dxa"/>
            <w:gridSpan w:val="10"/>
            <w:vAlign w:val="center"/>
          </w:tcPr>
          <w:p w:rsidR="00176F03" w:rsidRDefault="00872D6E">
            <w:pPr>
              <w:widowControl/>
              <w:spacing w:line="240" w:lineRule="exact"/>
              <w:jc w:val="left"/>
              <w:rPr>
                <w:rFonts w:ascii="宋体" w:hAnsi="宋体" w:cs="宋体"/>
                <w:kern w:val="0"/>
                <w:sz w:val="20"/>
                <w:szCs w:val="20"/>
              </w:rPr>
            </w:pPr>
            <w:r>
              <w:rPr>
                <w:rFonts w:ascii="宋体" w:hAnsi="宋体" w:cs="宋体" w:hint="eastAsia"/>
                <w:kern w:val="0"/>
                <w:sz w:val="20"/>
                <w:szCs w:val="20"/>
              </w:rPr>
              <w:lastRenderedPageBreak/>
              <w:t>二、整体绩效目标实现情况（</w:t>
            </w:r>
            <w:r>
              <w:rPr>
                <w:rFonts w:ascii="宋体" w:hAnsi="宋体" w:cs="宋体"/>
                <w:kern w:val="0"/>
                <w:sz w:val="20"/>
                <w:szCs w:val="20"/>
              </w:rPr>
              <w:t>60</w:t>
            </w:r>
            <w:r>
              <w:rPr>
                <w:rFonts w:ascii="宋体" w:hAnsi="宋体" w:cs="宋体"/>
                <w:kern w:val="0"/>
                <w:sz w:val="20"/>
                <w:szCs w:val="20"/>
              </w:rPr>
              <w:t>分）</w:t>
            </w:r>
          </w:p>
        </w:tc>
      </w:tr>
      <w:tr w:rsidR="00176F03">
        <w:trPr>
          <w:cantSplit/>
          <w:trHeight w:val="567"/>
        </w:trPr>
        <w:tc>
          <w:tcPr>
            <w:tcW w:w="1369" w:type="dxa"/>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一级</w:t>
            </w:r>
            <w:r>
              <w:rPr>
                <w:rFonts w:ascii="宋体" w:hAnsi="宋体" w:cs="宋体"/>
                <w:kern w:val="0"/>
                <w:sz w:val="20"/>
                <w:szCs w:val="20"/>
              </w:rPr>
              <w:br/>
            </w:r>
            <w:r>
              <w:rPr>
                <w:rFonts w:ascii="宋体" w:hAnsi="宋体" w:cs="宋体" w:hint="eastAsia"/>
                <w:kern w:val="0"/>
                <w:sz w:val="20"/>
                <w:szCs w:val="20"/>
              </w:rPr>
              <w:t>指标</w:t>
            </w:r>
          </w:p>
        </w:tc>
        <w:tc>
          <w:tcPr>
            <w:tcW w:w="1613" w:type="dxa"/>
            <w:gridSpan w:val="2"/>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二级</w:t>
            </w:r>
            <w:r>
              <w:rPr>
                <w:rFonts w:ascii="宋体" w:hAnsi="宋体" w:cs="宋体"/>
                <w:kern w:val="0"/>
                <w:sz w:val="20"/>
                <w:szCs w:val="20"/>
              </w:rPr>
              <w:br/>
            </w:r>
            <w:r>
              <w:rPr>
                <w:rFonts w:ascii="宋体" w:hAnsi="宋体" w:cs="宋体" w:hint="eastAsia"/>
                <w:kern w:val="0"/>
                <w:sz w:val="20"/>
                <w:szCs w:val="20"/>
              </w:rPr>
              <w:t xml:space="preserve">指标　</w:t>
            </w:r>
          </w:p>
        </w:tc>
        <w:tc>
          <w:tcPr>
            <w:tcW w:w="1807" w:type="dxa"/>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三级</w:t>
            </w:r>
            <w:r>
              <w:rPr>
                <w:rFonts w:ascii="宋体" w:hAnsi="宋体" w:cs="宋体"/>
                <w:kern w:val="0"/>
                <w:sz w:val="20"/>
                <w:szCs w:val="20"/>
              </w:rPr>
              <w:br/>
            </w:r>
            <w:r>
              <w:rPr>
                <w:rFonts w:ascii="宋体" w:hAnsi="宋体" w:cs="宋体" w:hint="eastAsia"/>
                <w:kern w:val="0"/>
                <w:sz w:val="20"/>
                <w:szCs w:val="20"/>
              </w:rPr>
              <w:t xml:space="preserve">指标　</w:t>
            </w:r>
          </w:p>
        </w:tc>
        <w:tc>
          <w:tcPr>
            <w:tcW w:w="3000" w:type="dxa"/>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指标值</w:t>
            </w:r>
          </w:p>
        </w:tc>
        <w:tc>
          <w:tcPr>
            <w:tcW w:w="4830" w:type="dxa"/>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完成值</w:t>
            </w:r>
          </w:p>
        </w:tc>
        <w:tc>
          <w:tcPr>
            <w:tcW w:w="780" w:type="dxa"/>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分值</w:t>
            </w:r>
          </w:p>
        </w:tc>
        <w:tc>
          <w:tcPr>
            <w:tcW w:w="788" w:type="dxa"/>
            <w:gridSpan w:val="3"/>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得分</w:t>
            </w:r>
          </w:p>
        </w:tc>
      </w:tr>
      <w:bookmarkEnd w:id="27"/>
      <w:tr w:rsidR="00176F03">
        <w:trPr>
          <w:cantSplit/>
          <w:trHeight w:val="567"/>
        </w:trPr>
        <w:tc>
          <w:tcPr>
            <w:tcW w:w="1369" w:type="dxa"/>
            <w:vMerge w:val="restart"/>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整体绩效目标实现情况（</w:t>
            </w:r>
            <w:r>
              <w:rPr>
                <w:rFonts w:ascii="宋体" w:hAnsi="宋体" w:cs="宋体"/>
                <w:kern w:val="0"/>
                <w:sz w:val="20"/>
                <w:szCs w:val="20"/>
              </w:rPr>
              <w:t>60</w:t>
            </w:r>
            <w:r>
              <w:rPr>
                <w:rFonts w:ascii="宋体" w:hAnsi="宋体" w:cs="宋体"/>
                <w:kern w:val="0"/>
                <w:sz w:val="20"/>
                <w:szCs w:val="20"/>
              </w:rPr>
              <w:t>）</w:t>
            </w:r>
          </w:p>
        </w:tc>
        <w:tc>
          <w:tcPr>
            <w:tcW w:w="1613" w:type="dxa"/>
            <w:gridSpan w:val="2"/>
            <w:vMerge w:val="restart"/>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产出（</w:t>
            </w:r>
            <w:r>
              <w:rPr>
                <w:rFonts w:ascii="宋体" w:hAnsi="宋体" w:cs="宋体"/>
                <w:kern w:val="0"/>
                <w:sz w:val="20"/>
                <w:szCs w:val="20"/>
              </w:rPr>
              <w:t>30</w:t>
            </w:r>
            <w:r>
              <w:rPr>
                <w:rFonts w:ascii="宋体" w:hAnsi="宋体" w:cs="宋体"/>
                <w:kern w:val="0"/>
                <w:sz w:val="20"/>
                <w:szCs w:val="20"/>
              </w:rPr>
              <w:t>）</w:t>
            </w: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kern w:val="0"/>
                <w:sz w:val="20"/>
                <w:szCs w:val="20"/>
              </w:rPr>
              <w:t>2024</w:t>
            </w:r>
            <w:r>
              <w:rPr>
                <w:rFonts w:ascii="宋体" w:hAnsi="宋体" w:cs="宋体"/>
                <w:kern w:val="0"/>
                <w:sz w:val="20"/>
                <w:szCs w:val="20"/>
              </w:rPr>
              <w:t>年度投资及工程计划数量</w:t>
            </w:r>
            <w:r>
              <w:rPr>
                <w:rFonts w:ascii="宋体" w:hAnsi="宋体" w:cs="宋体"/>
                <w:kern w:val="0"/>
                <w:sz w:val="20"/>
                <w:szCs w:val="20"/>
              </w:rPr>
              <w:t>≥2</w:t>
            </w:r>
            <w:r>
              <w:rPr>
                <w:rFonts w:ascii="宋体" w:hAnsi="宋体" w:cs="宋体"/>
                <w:kern w:val="0"/>
                <w:sz w:val="20"/>
                <w:szCs w:val="20"/>
              </w:rPr>
              <w:t>项</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w:t>
            </w:r>
            <w:r>
              <w:rPr>
                <w:rFonts w:ascii="宋体" w:hAnsi="宋体" w:cs="宋体"/>
                <w:kern w:val="0"/>
                <w:sz w:val="20"/>
                <w:szCs w:val="20"/>
              </w:rPr>
              <w:t>项</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北京</w:t>
            </w:r>
            <w:r>
              <w:rPr>
                <w:rFonts w:ascii="宋体" w:hAnsi="宋体" w:cs="宋体"/>
                <w:kern w:val="0"/>
                <w:sz w:val="20"/>
                <w:szCs w:val="20"/>
              </w:rPr>
              <w:t>MaaS</w:t>
            </w:r>
            <w:r>
              <w:rPr>
                <w:rFonts w:ascii="宋体" w:hAnsi="宋体" w:cs="宋体"/>
                <w:kern w:val="0"/>
                <w:sz w:val="20"/>
                <w:szCs w:val="20"/>
              </w:rPr>
              <w:t>场景服务运行支撑和效果评价成果数量</w:t>
            </w:r>
            <w:r>
              <w:rPr>
                <w:rFonts w:ascii="宋体" w:hAnsi="宋体" w:cs="宋体"/>
                <w:kern w:val="0"/>
                <w:sz w:val="20"/>
                <w:szCs w:val="20"/>
              </w:rPr>
              <w:t>≥3</w:t>
            </w:r>
            <w:r>
              <w:rPr>
                <w:rFonts w:ascii="宋体" w:hAnsi="宋体" w:cs="宋体"/>
                <w:kern w:val="0"/>
                <w:sz w:val="20"/>
                <w:szCs w:val="20"/>
              </w:rPr>
              <w:t>项</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w:t>
            </w:r>
            <w:r>
              <w:rPr>
                <w:rFonts w:ascii="宋体" w:hAnsi="宋体" w:cs="宋体"/>
                <w:kern w:val="0"/>
                <w:sz w:val="20"/>
                <w:szCs w:val="20"/>
              </w:rPr>
              <w:t>项</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 xml:space="preserve">0.67 </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城市道路桥梁养护计划完成率</w:t>
            </w:r>
            <w:r>
              <w:rPr>
                <w:rFonts w:ascii="宋体" w:hAnsi="宋体" w:cs="宋体"/>
                <w:kern w:val="0"/>
                <w:sz w:val="20"/>
                <w:szCs w:val="20"/>
              </w:rPr>
              <w:t>100%</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100%</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纯电动出租汽车更新规模≥</w:t>
            </w:r>
            <w:r>
              <w:rPr>
                <w:rFonts w:ascii="宋体" w:hAnsi="宋体" w:cs="宋体"/>
                <w:kern w:val="0"/>
                <w:sz w:val="20"/>
                <w:szCs w:val="20"/>
              </w:rPr>
              <w:t>11000</w:t>
            </w:r>
            <w:r>
              <w:rPr>
                <w:rFonts w:ascii="宋体" w:hAnsi="宋体" w:cs="宋体"/>
                <w:kern w:val="0"/>
                <w:sz w:val="20"/>
                <w:szCs w:val="20"/>
              </w:rPr>
              <w:t>辆</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13000</w:t>
            </w:r>
            <w:r>
              <w:rPr>
                <w:rFonts w:ascii="宋体" w:hAnsi="宋体" w:cs="宋体"/>
                <w:kern w:val="0"/>
                <w:sz w:val="20"/>
                <w:szCs w:val="20"/>
              </w:rPr>
              <w:t>辆</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地方标准实施情况评估数量≥</w:t>
            </w:r>
            <w:r>
              <w:rPr>
                <w:rFonts w:ascii="宋体" w:hAnsi="宋体" w:cs="宋体"/>
                <w:kern w:val="0"/>
                <w:sz w:val="20"/>
                <w:szCs w:val="20"/>
              </w:rPr>
              <w:t>10</w:t>
            </w:r>
            <w:r>
              <w:rPr>
                <w:rFonts w:ascii="宋体" w:hAnsi="宋体" w:cs="宋体"/>
                <w:kern w:val="0"/>
                <w:sz w:val="20"/>
                <w:szCs w:val="20"/>
              </w:rPr>
              <w:t>项</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10</w:t>
            </w:r>
            <w:r>
              <w:rPr>
                <w:rFonts w:ascii="宋体" w:hAnsi="宋体" w:cs="宋体"/>
                <w:kern w:val="0"/>
                <w:sz w:val="20"/>
                <w:szCs w:val="20"/>
              </w:rPr>
              <w:t>项</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地方标准修订数量≥</w:t>
            </w:r>
            <w:r>
              <w:rPr>
                <w:rFonts w:ascii="宋体" w:hAnsi="宋体" w:cs="宋体"/>
                <w:kern w:val="0"/>
                <w:sz w:val="20"/>
                <w:szCs w:val="20"/>
              </w:rPr>
              <w:t>2</w:t>
            </w:r>
            <w:r>
              <w:rPr>
                <w:rFonts w:ascii="宋体" w:hAnsi="宋体" w:cs="宋体"/>
                <w:kern w:val="0"/>
                <w:sz w:val="20"/>
                <w:szCs w:val="20"/>
              </w:rPr>
              <w:t>项</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w:t>
            </w:r>
            <w:r>
              <w:rPr>
                <w:rFonts w:ascii="宋体" w:hAnsi="宋体" w:cs="宋体"/>
                <w:kern w:val="0"/>
                <w:sz w:val="20"/>
                <w:szCs w:val="20"/>
              </w:rPr>
              <w:t>项</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轨道新线初期运营前安全评估项目数量≥</w:t>
            </w:r>
            <w:r>
              <w:rPr>
                <w:rFonts w:ascii="宋体" w:hAnsi="宋体" w:cs="宋体"/>
                <w:kern w:val="0"/>
                <w:sz w:val="20"/>
                <w:szCs w:val="20"/>
              </w:rPr>
              <w:t>2</w:t>
            </w:r>
            <w:r>
              <w:rPr>
                <w:rFonts w:ascii="宋体" w:hAnsi="宋体" w:cs="宋体"/>
                <w:kern w:val="0"/>
                <w:sz w:val="20"/>
                <w:szCs w:val="20"/>
              </w:rPr>
              <w:t>项</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3</w:t>
            </w:r>
            <w:r>
              <w:rPr>
                <w:rFonts w:ascii="宋体" w:hAnsi="宋体" w:cs="宋体"/>
                <w:kern w:val="0"/>
                <w:sz w:val="20"/>
                <w:szCs w:val="20"/>
              </w:rPr>
              <w:t>项</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交通基础设施项目入库数量≥</w:t>
            </w:r>
            <w:r>
              <w:rPr>
                <w:rFonts w:ascii="宋体" w:hAnsi="宋体" w:cs="宋体"/>
                <w:kern w:val="0"/>
                <w:sz w:val="20"/>
                <w:szCs w:val="20"/>
              </w:rPr>
              <w:t>30</w:t>
            </w:r>
            <w:r>
              <w:rPr>
                <w:rFonts w:ascii="宋体" w:hAnsi="宋体" w:cs="宋体"/>
                <w:kern w:val="0"/>
                <w:sz w:val="20"/>
                <w:szCs w:val="20"/>
              </w:rPr>
              <w:t>项</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31</w:t>
            </w:r>
            <w:r>
              <w:rPr>
                <w:rFonts w:ascii="宋体" w:hAnsi="宋体" w:cs="宋体"/>
                <w:kern w:val="0"/>
                <w:sz w:val="20"/>
                <w:szCs w:val="20"/>
              </w:rPr>
              <w:t>项</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交通行业科技计划完成率</w:t>
            </w:r>
            <w:r>
              <w:rPr>
                <w:rFonts w:ascii="宋体" w:hAnsi="宋体" w:cs="宋体"/>
                <w:kern w:val="0"/>
                <w:sz w:val="20"/>
                <w:szCs w:val="20"/>
              </w:rPr>
              <w:t>100%</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88.62%</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 xml:space="preserve">0.89 </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京津冀道路灾后提升需求研究报告数量≥</w:t>
            </w:r>
            <w:r>
              <w:rPr>
                <w:rFonts w:ascii="宋体" w:hAnsi="宋体" w:cs="宋体"/>
                <w:kern w:val="0"/>
                <w:sz w:val="20"/>
                <w:szCs w:val="20"/>
              </w:rPr>
              <w:t>1</w:t>
            </w:r>
            <w:r>
              <w:rPr>
                <w:rFonts w:ascii="宋体" w:hAnsi="宋体" w:cs="宋体"/>
                <w:kern w:val="0"/>
                <w:sz w:val="20"/>
                <w:szCs w:val="20"/>
              </w:rPr>
              <w:t>项</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r>
              <w:rPr>
                <w:rFonts w:ascii="宋体" w:hAnsi="宋体" w:cs="宋体"/>
                <w:kern w:val="0"/>
                <w:sz w:val="20"/>
                <w:szCs w:val="20"/>
              </w:rPr>
              <w:t>项</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京津冀对接公路项目库、对接公路图册更新数量≥</w:t>
            </w:r>
            <w:r>
              <w:rPr>
                <w:rFonts w:ascii="宋体" w:hAnsi="宋体" w:cs="宋体"/>
                <w:kern w:val="0"/>
                <w:sz w:val="20"/>
                <w:szCs w:val="20"/>
              </w:rPr>
              <w:t>1</w:t>
            </w:r>
            <w:r>
              <w:rPr>
                <w:rFonts w:ascii="宋体" w:hAnsi="宋体" w:cs="宋体"/>
                <w:kern w:val="0"/>
                <w:sz w:val="20"/>
                <w:szCs w:val="20"/>
              </w:rPr>
              <w:t>项</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r>
              <w:rPr>
                <w:rFonts w:ascii="宋体" w:hAnsi="宋体" w:cs="宋体"/>
                <w:kern w:val="0"/>
                <w:sz w:val="20"/>
                <w:szCs w:val="20"/>
              </w:rPr>
              <w:t>项</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立法调研报告数量≥</w:t>
            </w:r>
            <w:r>
              <w:rPr>
                <w:rFonts w:ascii="宋体" w:hAnsi="宋体" w:cs="宋体"/>
                <w:kern w:val="0"/>
                <w:sz w:val="20"/>
                <w:szCs w:val="20"/>
              </w:rPr>
              <w:t>1</w:t>
            </w:r>
            <w:r>
              <w:rPr>
                <w:rFonts w:ascii="宋体" w:hAnsi="宋体" w:cs="宋体"/>
                <w:kern w:val="0"/>
                <w:sz w:val="20"/>
                <w:szCs w:val="20"/>
              </w:rPr>
              <w:t>篇</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r>
              <w:rPr>
                <w:rFonts w:ascii="宋体" w:hAnsi="宋体" w:cs="宋体"/>
                <w:kern w:val="0"/>
                <w:sz w:val="20"/>
                <w:szCs w:val="20"/>
              </w:rPr>
              <w:t>篇</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普通公路建设计划完成率</w:t>
            </w:r>
            <w:r>
              <w:rPr>
                <w:rFonts w:ascii="宋体" w:hAnsi="宋体" w:cs="宋体"/>
                <w:kern w:val="0"/>
                <w:sz w:val="20"/>
                <w:szCs w:val="20"/>
              </w:rPr>
              <w:t>100%</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100%</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普通公路养护计划完成率</w:t>
            </w:r>
            <w:r>
              <w:rPr>
                <w:rFonts w:ascii="宋体" w:hAnsi="宋体" w:cs="宋体"/>
                <w:kern w:val="0"/>
                <w:sz w:val="20"/>
                <w:szCs w:val="20"/>
              </w:rPr>
              <w:t>100%</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100%</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施工图设计文件咨询报告、施工图设计变更咨询报告数量≥</w:t>
            </w:r>
            <w:r>
              <w:rPr>
                <w:rFonts w:ascii="宋体" w:hAnsi="宋体" w:cs="宋体"/>
                <w:kern w:val="0"/>
                <w:sz w:val="20"/>
                <w:szCs w:val="20"/>
              </w:rPr>
              <w:t>17</w:t>
            </w:r>
            <w:r>
              <w:rPr>
                <w:rFonts w:ascii="宋体" w:hAnsi="宋体" w:cs="宋体"/>
                <w:kern w:val="0"/>
                <w:sz w:val="20"/>
                <w:szCs w:val="20"/>
              </w:rPr>
              <w:t>份</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24</w:t>
            </w:r>
            <w:r>
              <w:rPr>
                <w:rFonts w:ascii="宋体" w:hAnsi="宋体" w:cs="宋体"/>
                <w:kern w:val="0"/>
                <w:sz w:val="20"/>
                <w:szCs w:val="20"/>
              </w:rPr>
              <w:t>份</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市委市政府实事、折子工程等重点工作完成率</w:t>
            </w:r>
            <w:r>
              <w:rPr>
                <w:rFonts w:ascii="宋体" w:hAnsi="宋体" w:cs="宋体"/>
                <w:kern w:val="0"/>
                <w:sz w:val="20"/>
                <w:szCs w:val="20"/>
              </w:rPr>
              <w:t>100%</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100%</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推进重点建设项目数量≥</w:t>
            </w:r>
            <w:r>
              <w:rPr>
                <w:rFonts w:ascii="宋体" w:hAnsi="宋体" w:cs="宋体"/>
                <w:kern w:val="0"/>
                <w:sz w:val="20"/>
                <w:szCs w:val="20"/>
              </w:rPr>
              <w:t>6</w:t>
            </w:r>
            <w:r>
              <w:rPr>
                <w:rFonts w:ascii="宋体" w:hAnsi="宋体" w:cs="宋体"/>
                <w:kern w:val="0"/>
                <w:sz w:val="20"/>
                <w:szCs w:val="20"/>
              </w:rPr>
              <w:t>项</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6</w:t>
            </w:r>
            <w:r>
              <w:rPr>
                <w:rFonts w:ascii="宋体" w:hAnsi="宋体" w:cs="宋体"/>
                <w:kern w:val="0"/>
                <w:sz w:val="20"/>
                <w:szCs w:val="20"/>
              </w:rPr>
              <w:t>项</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cantSplit/>
          <w:trHeight w:val="1093"/>
        </w:trPr>
        <w:tc>
          <w:tcPr>
            <w:tcW w:w="1369" w:type="dxa"/>
            <w:vMerge/>
            <w:vAlign w:val="center"/>
          </w:tcPr>
          <w:p w:rsidR="00176F03" w:rsidRDefault="00176F03">
            <w:pPr>
              <w:widowControl/>
              <w:jc w:val="left"/>
              <w:rPr>
                <w:rFonts w:ascii="宋体" w:hAnsi="宋体" w:cs="宋体"/>
                <w:kern w:val="0"/>
                <w:sz w:val="20"/>
                <w:szCs w:val="20"/>
              </w:rPr>
            </w:pPr>
          </w:p>
        </w:tc>
        <w:tc>
          <w:tcPr>
            <w:tcW w:w="1613" w:type="dxa"/>
            <w:gridSpan w:val="2"/>
            <w:vMerge/>
            <w:vAlign w:val="center"/>
          </w:tcPr>
          <w:p w:rsidR="00176F03" w:rsidRDefault="00176F03">
            <w:pPr>
              <w:widowControl/>
              <w:jc w:val="left"/>
              <w:rPr>
                <w:rFonts w:ascii="宋体" w:hAnsi="宋体" w:cs="宋体"/>
                <w:kern w:val="0"/>
                <w:sz w:val="20"/>
                <w:szCs w:val="20"/>
              </w:rPr>
            </w:pPr>
          </w:p>
        </w:tc>
        <w:tc>
          <w:tcPr>
            <w:tcW w:w="180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完成年度疏堵工程建设项目数量≥</w:t>
            </w:r>
            <w:r>
              <w:rPr>
                <w:rFonts w:ascii="宋体" w:hAnsi="宋体" w:cs="宋体"/>
                <w:kern w:val="0"/>
                <w:sz w:val="20"/>
                <w:szCs w:val="20"/>
              </w:rPr>
              <w:t>20</w:t>
            </w:r>
            <w:r>
              <w:rPr>
                <w:rFonts w:ascii="宋体" w:hAnsi="宋体" w:cs="宋体"/>
                <w:kern w:val="0"/>
                <w:sz w:val="20"/>
                <w:szCs w:val="20"/>
              </w:rPr>
              <w:t>项</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20</w:t>
            </w:r>
            <w:r>
              <w:rPr>
                <w:rFonts w:ascii="宋体" w:hAnsi="宋体" w:cs="宋体"/>
                <w:kern w:val="0"/>
                <w:sz w:val="20"/>
                <w:szCs w:val="20"/>
              </w:rPr>
              <w:t>项</w:t>
            </w:r>
          </w:p>
        </w:tc>
        <w:tc>
          <w:tcPr>
            <w:tcW w:w="78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88" w:type="dxa"/>
            <w:gridSpan w:val="3"/>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restart"/>
            <w:vAlign w:val="center"/>
          </w:tcPr>
          <w:p w:rsidR="00176F03" w:rsidRDefault="00176F03">
            <w:pPr>
              <w:widowControl/>
              <w:jc w:val="left"/>
              <w:rPr>
                <w:rFonts w:ascii="宋体" w:hAnsi="宋体" w:cs="宋体"/>
                <w:kern w:val="0"/>
                <w:sz w:val="20"/>
                <w:szCs w:val="20"/>
              </w:rPr>
            </w:pPr>
          </w:p>
        </w:tc>
        <w:tc>
          <w:tcPr>
            <w:tcW w:w="1605" w:type="dxa"/>
            <w:vMerge w:val="restart"/>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spacing w:line="240" w:lineRule="exact"/>
              <w:jc w:val="left"/>
              <w:rPr>
                <w:rFonts w:ascii="宋体" w:hAnsi="宋体" w:cs="宋体"/>
                <w:kern w:val="0"/>
                <w:sz w:val="20"/>
                <w:szCs w:val="20"/>
              </w:rPr>
            </w:pPr>
            <w:r>
              <w:rPr>
                <w:rFonts w:ascii="宋体" w:hAnsi="宋体" w:cs="宋体" w:hint="eastAsia"/>
                <w:kern w:val="0"/>
                <w:sz w:val="20"/>
                <w:szCs w:val="20"/>
              </w:rPr>
              <w:t>完成职业教育招生人数≥</w:t>
            </w:r>
            <w:r>
              <w:rPr>
                <w:rFonts w:ascii="宋体" w:hAnsi="宋体" w:cs="宋体"/>
                <w:kern w:val="0"/>
                <w:sz w:val="20"/>
                <w:szCs w:val="20"/>
              </w:rPr>
              <w:t>1300</w:t>
            </w:r>
            <w:r>
              <w:rPr>
                <w:rFonts w:ascii="宋体" w:hAnsi="宋体" w:cs="宋体"/>
                <w:kern w:val="0"/>
                <w:sz w:val="20"/>
                <w:szCs w:val="20"/>
              </w:rPr>
              <w:t>人</w:t>
            </w:r>
            <w:r>
              <w:rPr>
                <w:rFonts w:ascii="宋体" w:hAnsi="宋体" w:cs="宋体"/>
                <w:kern w:val="0"/>
                <w:sz w:val="20"/>
                <w:szCs w:val="20"/>
              </w:rPr>
              <w:t>/</w:t>
            </w:r>
            <w:r>
              <w:rPr>
                <w:rFonts w:ascii="宋体" w:hAnsi="宋体" w:cs="宋体"/>
                <w:kern w:val="0"/>
                <w:sz w:val="20"/>
                <w:szCs w:val="20"/>
              </w:rPr>
              <w:t>次</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1833</w:t>
            </w:r>
            <w:r>
              <w:rPr>
                <w:rFonts w:ascii="宋体" w:hAnsi="宋体" w:cs="宋体"/>
                <w:kern w:val="0"/>
                <w:sz w:val="20"/>
                <w:szCs w:val="20"/>
              </w:rPr>
              <w:t>人</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spacing w:line="240" w:lineRule="exact"/>
              <w:jc w:val="left"/>
              <w:rPr>
                <w:rFonts w:ascii="宋体" w:hAnsi="宋体" w:cs="宋体"/>
                <w:kern w:val="0"/>
                <w:sz w:val="20"/>
                <w:szCs w:val="20"/>
              </w:rPr>
            </w:pPr>
            <w:r>
              <w:rPr>
                <w:rFonts w:ascii="宋体" w:hAnsi="宋体" w:cs="宋体" w:hint="eastAsia"/>
                <w:kern w:val="0"/>
                <w:sz w:val="20"/>
                <w:szCs w:val="20"/>
              </w:rPr>
              <w:t>修订规范性文件管理办法数量≥</w:t>
            </w:r>
            <w:r>
              <w:rPr>
                <w:rFonts w:ascii="宋体" w:hAnsi="宋体" w:cs="宋体"/>
                <w:kern w:val="0"/>
                <w:sz w:val="20"/>
                <w:szCs w:val="20"/>
              </w:rPr>
              <w:t>1</w:t>
            </w:r>
            <w:r>
              <w:rPr>
                <w:rFonts w:ascii="宋体" w:hAnsi="宋体" w:cs="宋体"/>
                <w:kern w:val="0"/>
                <w:sz w:val="20"/>
                <w:szCs w:val="20"/>
              </w:rPr>
              <w:t>篇</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r>
              <w:rPr>
                <w:rFonts w:ascii="宋体" w:hAnsi="宋体" w:cs="宋体"/>
                <w:kern w:val="0"/>
                <w:sz w:val="20"/>
                <w:szCs w:val="20"/>
              </w:rPr>
              <w:t>篇</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优化公交线路条数≥</w:t>
            </w:r>
            <w:r>
              <w:rPr>
                <w:rFonts w:ascii="宋体" w:hAnsi="宋体" w:cs="宋体"/>
                <w:kern w:val="0"/>
                <w:sz w:val="20"/>
                <w:szCs w:val="20"/>
              </w:rPr>
              <w:t>60</w:t>
            </w:r>
            <w:r>
              <w:rPr>
                <w:rFonts w:ascii="宋体" w:hAnsi="宋体" w:cs="宋体"/>
                <w:kern w:val="0"/>
                <w:sz w:val="20"/>
                <w:szCs w:val="20"/>
              </w:rPr>
              <w:t>条</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143</w:t>
            </w:r>
            <w:r>
              <w:rPr>
                <w:rFonts w:ascii="宋体" w:hAnsi="宋体" w:cs="宋体"/>
                <w:kern w:val="0"/>
                <w:sz w:val="20"/>
                <w:szCs w:val="20"/>
              </w:rPr>
              <w:t>条</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spacing w:line="240" w:lineRule="exact"/>
              <w:jc w:val="left"/>
              <w:rPr>
                <w:rFonts w:ascii="宋体" w:hAnsi="宋体" w:cs="宋体"/>
                <w:kern w:val="0"/>
                <w:sz w:val="20"/>
                <w:szCs w:val="20"/>
              </w:rPr>
            </w:pPr>
            <w:r>
              <w:rPr>
                <w:rFonts w:ascii="宋体" w:hAnsi="宋体" w:cs="宋体" w:hint="eastAsia"/>
                <w:kern w:val="0"/>
                <w:sz w:val="20"/>
                <w:szCs w:val="20"/>
              </w:rPr>
              <w:t>城市道路桥梁养护验收合格率</w:t>
            </w:r>
            <w:r>
              <w:rPr>
                <w:rFonts w:ascii="宋体" w:hAnsi="宋体" w:cs="宋体"/>
                <w:kern w:val="0"/>
                <w:sz w:val="20"/>
                <w:szCs w:val="20"/>
              </w:rPr>
              <w:t>100%</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100%</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城市道路养护质量标准</w:t>
            </w:r>
            <w:r>
              <w:rPr>
                <w:rFonts w:ascii="宋体" w:hAnsi="宋体" w:cs="宋体"/>
                <w:kern w:val="0"/>
                <w:sz w:val="20"/>
                <w:szCs w:val="20"/>
              </w:rPr>
              <w:t>:</w:t>
            </w:r>
            <w:r>
              <w:rPr>
                <w:rFonts w:ascii="宋体" w:hAnsi="宋体" w:cs="宋体"/>
                <w:kern w:val="0"/>
                <w:sz w:val="20"/>
                <w:szCs w:val="20"/>
              </w:rPr>
              <w:t>符合《城镇道路养护技术规范》、《城市桥梁养护技术规范》及日常养护协议等标准要求</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符合《城镇道路养护技术规范》、《城市桥梁养护技术规范》及日常养护协议等标准要求</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城市道路整体</w:t>
            </w:r>
            <w:r>
              <w:rPr>
                <w:rFonts w:ascii="宋体" w:hAnsi="宋体" w:cs="宋体"/>
                <w:kern w:val="0"/>
                <w:sz w:val="20"/>
                <w:szCs w:val="20"/>
              </w:rPr>
              <w:t>PCI</w:t>
            </w:r>
            <w:r>
              <w:rPr>
                <w:rFonts w:ascii="宋体" w:hAnsi="宋体" w:cs="宋体"/>
                <w:kern w:val="0"/>
                <w:sz w:val="20"/>
                <w:szCs w:val="20"/>
              </w:rPr>
              <w:t>值</w:t>
            </w:r>
            <w:r>
              <w:rPr>
                <w:rFonts w:ascii="宋体" w:hAnsi="宋体" w:cs="宋体"/>
                <w:kern w:val="0"/>
                <w:sz w:val="20"/>
                <w:szCs w:val="20"/>
              </w:rPr>
              <w:t>≥82</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kern w:val="0"/>
                <w:sz w:val="20"/>
                <w:szCs w:val="20"/>
              </w:rPr>
              <w:t>84.71</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tcPr>
          <w:p w:rsidR="00176F03" w:rsidRDefault="00872D6E">
            <w:pPr>
              <w:widowControl/>
              <w:jc w:val="left"/>
              <w:rPr>
                <w:rFonts w:ascii="宋体" w:hAnsi="宋体" w:cs="宋体"/>
                <w:kern w:val="0"/>
                <w:sz w:val="20"/>
                <w:szCs w:val="20"/>
              </w:rPr>
            </w:pPr>
            <w:r>
              <w:rPr>
                <w:rFonts w:hint="eastAsia"/>
              </w:rPr>
              <w:t>符合城市轨道交通初期运营前安全评估管理暂行办法、城市轨道交通初期运营前安全评估技术规范的要求</w:t>
            </w:r>
          </w:p>
        </w:tc>
        <w:tc>
          <w:tcPr>
            <w:tcW w:w="4830" w:type="dxa"/>
          </w:tcPr>
          <w:p w:rsidR="00176F03" w:rsidRDefault="00872D6E">
            <w:pPr>
              <w:widowControl/>
              <w:jc w:val="left"/>
              <w:rPr>
                <w:rFonts w:ascii="宋体" w:hAnsi="宋体" w:cs="宋体"/>
                <w:kern w:val="0"/>
                <w:sz w:val="20"/>
                <w:szCs w:val="20"/>
              </w:rPr>
            </w:pPr>
            <w:r>
              <w:rPr>
                <w:rFonts w:hint="eastAsia"/>
              </w:rPr>
              <w:t>符合城市轨道交通初期运营前安全评估管理暂行办法、城市轨道交通初期运营前安全评估技术规范的要求</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交通基础设施项目规划设计成果质量</w:t>
            </w:r>
            <w:r>
              <w:rPr>
                <w:rFonts w:ascii="宋体" w:hAnsi="宋体" w:cs="宋体"/>
                <w:kern w:val="0"/>
                <w:sz w:val="20"/>
                <w:szCs w:val="20"/>
              </w:rPr>
              <w:t>:</w:t>
            </w:r>
            <w:r>
              <w:rPr>
                <w:rFonts w:ascii="宋体" w:hAnsi="宋体" w:cs="宋体"/>
                <w:kern w:val="0"/>
                <w:sz w:val="20"/>
                <w:szCs w:val="20"/>
              </w:rPr>
              <w:t>文件内容和深度达到相关审批部门的要求</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文件内容和深度达到相关审批部门的要求</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tcPr>
          <w:p w:rsidR="00176F03" w:rsidRDefault="00872D6E">
            <w:pPr>
              <w:widowControl/>
              <w:jc w:val="left"/>
              <w:rPr>
                <w:rFonts w:ascii="宋体" w:hAnsi="宋体" w:cs="宋体"/>
                <w:kern w:val="0"/>
                <w:sz w:val="20"/>
                <w:szCs w:val="20"/>
              </w:rPr>
            </w:pPr>
            <w:r>
              <w:rPr>
                <w:rFonts w:hint="eastAsia"/>
              </w:rPr>
              <w:t>符合交通行业科技项目管理办法的相关要求</w:t>
            </w:r>
          </w:p>
        </w:tc>
        <w:tc>
          <w:tcPr>
            <w:tcW w:w="4830" w:type="dxa"/>
          </w:tcPr>
          <w:p w:rsidR="00176F03" w:rsidRDefault="00872D6E">
            <w:pPr>
              <w:widowControl/>
              <w:jc w:val="left"/>
              <w:rPr>
                <w:rFonts w:ascii="宋体" w:hAnsi="宋体" w:cs="宋体"/>
                <w:kern w:val="0"/>
                <w:sz w:val="20"/>
                <w:szCs w:val="20"/>
              </w:rPr>
            </w:pPr>
            <w:r>
              <w:rPr>
                <w:rFonts w:hint="eastAsia"/>
              </w:rPr>
              <w:t>符合交通行业科技项目管理办法的相关要求</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路面使用性能指数</w:t>
            </w:r>
            <w:r>
              <w:rPr>
                <w:rFonts w:ascii="宋体" w:hAnsi="宋体" w:cs="宋体"/>
                <w:kern w:val="0"/>
                <w:sz w:val="20"/>
                <w:szCs w:val="20"/>
              </w:rPr>
              <w:t>PQI≥85</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kern w:val="0"/>
                <w:sz w:val="20"/>
                <w:szCs w:val="20"/>
              </w:rPr>
              <w:t>86.8</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普通公路建设项目验收合格率</w:t>
            </w:r>
            <w:r>
              <w:rPr>
                <w:rFonts w:ascii="宋体" w:hAnsi="宋体" w:cs="宋体"/>
                <w:kern w:val="0"/>
                <w:sz w:val="20"/>
                <w:szCs w:val="20"/>
              </w:rPr>
              <w:t>100%</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kern w:val="0"/>
                <w:sz w:val="20"/>
                <w:szCs w:val="20"/>
              </w:rPr>
              <w:t>100%</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普通公路建设项目质量标准</w:t>
            </w:r>
            <w:r>
              <w:rPr>
                <w:rFonts w:ascii="宋体" w:hAnsi="宋体" w:cs="宋体"/>
                <w:kern w:val="0"/>
                <w:sz w:val="20"/>
                <w:szCs w:val="20"/>
              </w:rPr>
              <w:t>:</w:t>
            </w:r>
            <w:r>
              <w:rPr>
                <w:rFonts w:ascii="宋体" w:hAnsi="宋体" w:cs="宋体"/>
                <w:kern w:val="0"/>
                <w:sz w:val="20"/>
                <w:szCs w:val="20"/>
              </w:rPr>
              <w:t>符合《公路工程质量检验评定标准》</w:t>
            </w:r>
            <w:r>
              <w:rPr>
                <w:rFonts w:ascii="宋体" w:hAnsi="宋体" w:cs="宋体"/>
                <w:kern w:val="0"/>
                <w:sz w:val="20"/>
                <w:szCs w:val="20"/>
              </w:rPr>
              <w:t>JTG F80/1-2017</w:t>
            </w:r>
            <w:r>
              <w:rPr>
                <w:rFonts w:ascii="宋体" w:hAnsi="宋体" w:cs="宋体"/>
                <w:kern w:val="0"/>
                <w:sz w:val="20"/>
                <w:szCs w:val="20"/>
              </w:rPr>
              <w:t>要求</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符合《公路工程质量检验评定标准》</w:t>
            </w:r>
            <w:r>
              <w:rPr>
                <w:rFonts w:ascii="宋体" w:hAnsi="宋体" w:cs="宋体"/>
                <w:kern w:val="0"/>
                <w:sz w:val="20"/>
                <w:szCs w:val="20"/>
              </w:rPr>
              <w:t>JTG F80/1-2017</w:t>
            </w:r>
            <w:r>
              <w:rPr>
                <w:rFonts w:ascii="宋体" w:hAnsi="宋体" w:cs="宋体"/>
                <w:kern w:val="0"/>
                <w:sz w:val="20"/>
                <w:szCs w:val="20"/>
              </w:rPr>
              <w:t>要求</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普通公路养护工程质量标准</w:t>
            </w:r>
            <w:r>
              <w:rPr>
                <w:rFonts w:ascii="宋体" w:hAnsi="宋体" w:cs="宋体"/>
                <w:kern w:val="0"/>
                <w:sz w:val="20"/>
                <w:szCs w:val="20"/>
              </w:rPr>
              <w:t>:</w:t>
            </w:r>
            <w:r>
              <w:rPr>
                <w:rFonts w:ascii="宋体" w:hAnsi="宋体" w:cs="宋体"/>
                <w:kern w:val="0"/>
                <w:sz w:val="20"/>
                <w:szCs w:val="20"/>
              </w:rPr>
              <w:t>符合《公路养护工程质量检验评定标准》（</w:t>
            </w:r>
            <w:r>
              <w:rPr>
                <w:rFonts w:ascii="宋体" w:hAnsi="宋体" w:cs="宋体"/>
                <w:kern w:val="0"/>
                <w:sz w:val="20"/>
                <w:szCs w:val="20"/>
              </w:rPr>
              <w:t>JTG5220-2020</w:t>
            </w:r>
            <w:r>
              <w:rPr>
                <w:rFonts w:ascii="宋体" w:hAnsi="宋体" w:cs="宋体"/>
                <w:kern w:val="0"/>
                <w:sz w:val="20"/>
                <w:szCs w:val="20"/>
              </w:rPr>
              <w:t>）要求</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符合《公路养护工程质量检验评定标准》（</w:t>
            </w:r>
            <w:r>
              <w:rPr>
                <w:rFonts w:ascii="宋体" w:hAnsi="宋体" w:cs="宋体"/>
                <w:kern w:val="0"/>
                <w:sz w:val="20"/>
                <w:szCs w:val="20"/>
              </w:rPr>
              <w:t>JTG5220-2020</w:t>
            </w:r>
            <w:r>
              <w:rPr>
                <w:rFonts w:ascii="宋体" w:hAnsi="宋体" w:cs="宋体"/>
                <w:kern w:val="0"/>
                <w:sz w:val="20"/>
                <w:szCs w:val="20"/>
              </w:rPr>
              <w:t>）要求</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普通公路养护验收合格率</w:t>
            </w:r>
            <w:r>
              <w:rPr>
                <w:rFonts w:ascii="宋体" w:hAnsi="宋体" w:cs="宋体"/>
                <w:kern w:val="0"/>
                <w:sz w:val="20"/>
                <w:szCs w:val="20"/>
              </w:rPr>
              <w:t>100%</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kern w:val="0"/>
                <w:sz w:val="20"/>
                <w:szCs w:val="20"/>
              </w:rPr>
              <w:t>100%</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施工图设计、设计变更咨询报告审查报告质量</w:t>
            </w:r>
            <w:r>
              <w:rPr>
                <w:rFonts w:ascii="宋体" w:hAnsi="宋体" w:cs="宋体"/>
                <w:kern w:val="0"/>
                <w:sz w:val="20"/>
                <w:szCs w:val="20"/>
              </w:rPr>
              <w:t>:</w:t>
            </w:r>
            <w:r>
              <w:rPr>
                <w:rFonts w:ascii="宋体" w:hAnsi="宋体" w:cs="宋体"/>
                <w:kern w:val="0"/>
                <w:sz w:val="20"/>
                <w:szCs w:val="20"/>
              </w:rPr>
              <w:t>符合公路工程可行性研究报告、初步设计文件及国务院《建设工程质量管理条例》、《建设工程勘察设计管理条例》和交通部《公路建设市场管理办法》、《公路工程基本建设项目设计文件编制办法》等要求。</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符合公路工程可行性研究报告、初步设计文件及国务院《建设工程质量管理条例》、《建设工程勘察设计管理条例》和交通部《公路建设市场管理办法》、《公路工程基本建设项目设计文件编制办法》等要求。</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疏堵工程建设质量</w:t>
            </w:r>
            <w:r>
              <w:rPr>
                <w:rFonts w:ascii="宋体" w:hAnsi="宋体" w:cs="宋体"/>
                <w:kern w:val="0"/>
                <w:sz w:val="20"/>
                <w:szCs w:val="20"/>
              </w:rPr>
              <w:t>:</w:t>
            </w:r>
            <w:r>
              <w:rPr>
                <w:rFonts w:ascii="宋体" w:hAnsi="宋体" w:cs="宋体"/>
                <w:kern w:val="0"/>
                <w:sz w:val="20"/>
                <w:szCs w:val="20"/>
              </w:rPr>
              <w:t>工程建设质量符合国家及地方工程质量验收要求</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工程建设质量符合国家及地方工程质量验收要求</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组织职业资格考试质量</w:t>
            </w:r>
            <w:r>
              <w:rPr>
                <w:rFonts w:ascii="宋体" w:hAnsi="宋体" w:cs="宋体"/>
                <w:kern w:val="0"/>
                <w:sz w:val="20"/>
                <w:szCs w:val="20"/>
              </w:rPr>
              <w:t>:</w:t>
            </w:r>
            <w:r>
              <w:rPr>
                <w:rFonts w:ascii="宋体" w:hAnsi="宋体" w:cs="宋体"/>
                <w:kern w:val="0"/>
                <w:sz w:val="20"/>
                <w:szCs w:val="20"/>
              </w:rPr>
              <w:t>符合《出租汽车驾驶员从业资格管理规定》《中华人民共和国交通运输部令</w:t>
            </w:r>
            <w:r>
              <w:rPr>
                <w:rFonts w:ascii="宋体" w:hAnsi="宋体" w:cs="宋体"/>
                <w:kern w:val="0"/>
                <w:sz w:val="20"/>
                <w:szCs w:val="20"/>
              </w:rPr>
              <w:t>2016</w:t>
            </w:r>
            <w:r>
              <w:rPr>
                <w:rFonts w:ascii="宋体" w:hAnsi="宋体" w:cs="宋体"/>
                <w:kern w:val="0"/>
                <w:sz w:val="20"/>
                <w:szCs w:val="20"/>
              </w:rPr>
              <w:t>年第</w:t>
            </w:r>
            <w:r>
              <w:rPr>
                <w:rFonts w:ascii="宋体" w:hAnsi="宋体" w:cs="宋体"/>
                <w:kern w:val="0"/>
                <w:sz w:val="20"/>
                <w:szCs w:val="20"/>
              </w:rPr>
              <w:t>63</w:t>
            </w:r>
            <w:r>
              <w:rPr>
                <w:rFonts w:ascii="宋体" w:hAnsi="宋体" w:cs="宋体"/>
                <w:kern w:val="0"/>
                <w:sz w:val="20"/>
                <w:szCs w:val="20"/>
              </w:rPr>
              <w:t>号》《道路运输从业人员管理规定》《关于印发公路水运工程施工企业主要负责人和安全生产管理人员考核管理办法》《中华人民共和国交通运输部令</w:t>
            </w:r>
            <w:r>
              <w:rPr>
                <w:rFonts w:ascii="宋体" w:hAnsi="宋体" w:cs="宋体"/>
                <w:kern w:val="0"/>
                <w:sz w:val="20"/>
                <w:szCs w:val="20"/>
              </w:rPr>
              <w:t>2016</w:t>
            </w:r>
            <w:r>
              <w:rPr>
                <w:rFonts w:ascii="宋体" w:hAnsi="宋体" w:cs="宋体"/>
                <w:kern w:val="0"/>
                <w:sz w:val="20"/>
                <w:szCs w:val="20"/>
              </w:rPr>
              <w:t>年第</w:t>
            </w:r>
            <w:r>
              <w:rPr>
                <w:rFonts w:ascii="宋体" w:hAnsi="宋体" w:cs="宋体"/>
                <w:kern w:val="0"/>
                <w:sz w:val="20"/>
                <w:szCs w:val="20"/>
              </w:rPr>
              <w:t>52</w:t>
            </w:r>
            <w:r>
              <w:rPr>
                <w:rFonts w:ascii="宋体" w:hAnsi="宋体" w:cs="宋体"/>
                <w:kern w:val="0"/>
                <w:sz w:val="20"/>
                <w:szCs w:val="20"/>
              </w:rPr>
              <w:t>号》等职业资格考试文件要求</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符合《出租汽车驾驶员从业资格管理规定》《中华人民共和国交通运输部令</w:t>
            </w:r>
            <w:r>
              <w:rPr>
                <w:rFonts w:ascii="宋体" w:hAnsi="宋体" w:cs="宋体"/>
                <w:kern w:val="0"/>
                <w:sz w:val="20"/>
                <w:szCs w:val="20"/>
              </w:rPr>
              <w:t>2016</w:t>
            </w:r>
            <w:r>
              <w:rPr>
                <w:rFonts w:ascii="宋体" w:hAnsi="宋体" w:cs="宋体"/>
                <w:kern w:val="0"/>
                <w:sz w:val="20"/>
                <w:szCs w:val="20"/>
              </w:rPr>
              <w:t>年第</w:t>
            </w:r>
            <w:r>
              <w:rPr>
                <w:rFonts w:ascii="宋体" w:hAnsi="宋体" w:cs="宋体"/>
                <w:kern w:val="0"/>
                <w:sz w:val="20"/>
                <w:szCs w:val="20"/>
              </w:rPr>
              <w:t>63</w:t>
            </w:r>
            <w:r>
              <w:rPr>
                <w:rFonts w:ascii="宋体" w:hAnsi="宋体" w:cs="宋体"/>
                <w:kern w:val="0"/>
                <w:sz w:val="20"/>
                <w:szCs w:val="20"/>
              </w:rPr>
              <w:t>号》《道路运输从业人员管理规定》《关于印发公路水运工程施工企业主要负责人和安全生产管理人员考核管理办法》《中华人民共和国交通运输部令</w:t>
            </w:r>
            <w:r>
              <w:rPr>
                <w:rFonts w:ascii="宋体" w:hAnsi="宋体" w:cs="宋体"/>
                <w:kern w:val="0"/>
                <w:sz w:val="20"/>
                <w:szCs w:val="20"/>
              </w:rPr>
              <w:t>2</w:t>
            </w:r>
            <w:r>
              <w:rPr>
                <w:rFonts w:ascii="宋体" w:hAnsi="宋体" w:cs="宋体"/>
                <w:kern w:val="0"/>
                <w:sz w:val="20"/>
                <w:szCs w:val="20"/>
              </w:rPr>
              <w:t>016</w:t>
            </w:r>
            <w:r>
              <w:rPr>
                <w:rFonts w:ascii="宋体" w:hAnsi="宋体" w:cs="宋体"/>
                <w:kern w:val="0"/>
                <w:sz w:val="20"/>
                <w:szCs w:val="20"/>
              </w:rPr>
              <w:t>年第</w:t>
            </w:r>
            <w:r>
              <w:rPr>
                <w:rFonts w:ascii="宋体" w:hAnsi="宋体" w:cs="宋体"/>
                <w:kern w:val="0"/>
                <w:sz w:val="20"/>
                <w:szCs w:val="20"/>
              </w:rPr>
              <w:t>52</w:t>
            </w:r>
            <w:r>
              <w:rPr>
                <w:rFonts w:ascii="宋体" w:hAnsi="宋体" w:cs="宋体"/>
                <w:kern w:val="0"/>
                <w:sz w:val="20"/>
                <w:szCs w:val="20"/>
              </w:rPr>
              <w:t>号》等职业资格考试文件要求</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产出进度</w:t>
            </w:r>
            <w:r>
              <w:rPr>
                <w:rFonts w:ascii="宋体" w:hAnsi="宋体" w:cs="宋体"/>
                <w:kern w:val="0"/>
                <w:sz w:val="20"/>
                <w:szCs w:val="20"/>
              </w:rPr>
              <w:t>-</w:t>
            </w:r>
            <w:r>
              <w:rPr>
                <w:rFonts w:ascii="宋体" w:hAnsi="宋体" w:cs="宋体"/>
                <w:kern w:val="0"/>
                <w:sz w:val="20"/>
                <w:szCs w:val="20"/>
              </w:rPr>
              <w:br w:type="page"/>
            </w:r>
            <w:r>
              <w:rPr>
                <w:rFonts w:ascii="宋体" w:hAnsi="宋体" w:cs="宋体" w:hint="eastAsia"/>
                <w:kern w:val="0"/>
                <w:sz w:val="20"/>
                <w:szCs w:val="20"/>
              </w:rPr>
              <w:t>项目进度</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项目按计划实施</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落实委内督查督办机制，全年跟踪重点事项进展情况；加强调度，市政府实事、折子工程、重大活动保障等重点工作按期完成，工程项目按计划实施，管理和改革事项按计划推进，执法工作有序开展；资金支付与项目推进相结合，并在项目执行过程中，开展绩效运行监控工作，督促提醒进度滞后的项目单位，各项工作稳步推进，全年工作进度执行情况良好。</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3</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3</w:t>
            </w:r>
          </w:p>
        </w:tc>
      </w:tr>
      <w:tr w:rsidR="00176F03">
        <w:trPr>
          <w:gridAfter w:val="1"/>
          <w:wAfter w:w="15" w:type="dxa"/>
          <w:cantSplit/>
          <w:trHeight w:val="1018"/>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产出成本</w:t>
            </w:r>
            <w:r>
              <w:rPr>
                <w:rFonts w:ascii="宋体" w:hAnsi="宋体" w:cs="宋体"/>
                <w:kern w:val="0"/>
                <w:sz w:val="20"/>
                <w:szCs w:val="20"/>
              </w:rPr>
              <w:t>-</w:t>
            </w:r>
            <w:r>
              <w:rPr>
                <w:rFonts w:ascii="宋体" w:hAnsi="宋体" w:cs="宋体"/>
                <w:kern w:val="0"/>
                <w:sz w:val="20"/>
                <w:szCs w:val="20"/>
              </w:rPr>
              <w:t>全面控制项目成本</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全面控制项目成本</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通过预算项目事前绩效评估、预算评审，工程项目概算审核、结算评审，规范开展招投标等工作，全面控制项目成本。</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3</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3</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restart"/>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效果（</w:t>
            </w:r>
            <w:r>
              <w:rPr>
                <w:rFonts w:ascii="宋体" w:hAnsi="宋体" w:cs="宋体"/>
                <w:kern w:val="0"/>
                <w:sz w:val="20"/>
                <w:szCs w:val="20"/>
              </w:rPr>
              <w:t>30</w:t>
            </w:r>
            <w:r>
              <w:rPr>
                <w:rFonts w:ascii="宋体" w:hAnsi="宋体" w:cs="宋体"/>
                <w:kern w:val="0"/>
                <w:sz w:val="20"/>
                <w:szCs w:val="20"/>
              </w:rPr>
              <w:t>）</w:t>
            </w: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经济效益指标</w:t>
            </w:r>
            <w:r>
              <w:rPr>
                <w:rFonts w:ascii="宋体" w:hAnsi="宋体" w:cs="宋体"/>
                <w:kern w:val="0"/>
                <w:sz w:val="20"/>
                <w:szCs w:val="20"/>
              </w:rPr>
              <w:t>-</w:t>
            </w:r>
            <w:r>
              <w:rPr>
                <w:rFonts w:ascii="宋体" w:hAnsi="宋体" w:cs="宋体"/>
                <w:kern w:val="0"/>
                <w:sz w:val="20"/>
                <w:szCs w:val="20"/>
              </w:rPr>
              <w:t>城市道路桥梁日常养护对使用功能影响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延长城市道路桥梁设施的使用寿命，降低大修频率</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通过开展城市道路桥梁养护管理工作，延长城市道路桥梁设施的使用寿命，改善道路通行条件及路域整体环境，提高设施服务水平，节约财政后期投入，为年度重大活动的举办及市民出行提供有力保障。</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经济效益指标</w:t>
            </w:r>
            <w:r>
              <w:rPr>
                <w:rFonts w:ascii="宋体" w:hAnsi="宋体" w:cs="宋体"/>
                <w:kern w:val="0"/>
                <w:sz w:val="20"/>
                <w:szCs w:val="20"/>
              </w:rPr>
              <w:t>-</w:t>
            </w:r>
            <w:r>
              <w:rPr>
                <w:rFonts w:ascii="宋体" w:hAnsi="宋体" w:cs="宋体"/>
                <w:kern w:val="0"/>
                <w:sz w:val="20"/>
                <w:szCs w:val="20"/>
              </w:rPr>
              <w:t>普通公路建设对区域经济影响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普通公路建设促进区域经济发展</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促进区域经济一体化，打通区域间经济交流通道，形成更紧密的产业协作网络，推动沿线区域资源整合与协同发展。</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北京</w:t>
            </w:r>
            <w:r>
              <w:rPr>
                <w:rFonts w:ascii="宋体" w:hAnsi="宋体" w:cs="宋体"/>
                <w:kern w:val="0"/>
                <w:sz w:val="20"/>
                <w:szCs w:val="20"/>
              </w:rPr>
              <w:t>MaaS</w:t>
            </w:r>
            <w:r>
              <w:rPr>
                <w:rFonts w:ascii="宋体" w:hAnsi="宋体" w:cs="宋体"/>
                <w:kern w:val="0"/>
                <w:sz w:val="20"/>
                <w:szCs w:val="20"/>
              </w:rPr>
              <w:t>场景服务运行支撑和效果评价实施效果</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完善</w:t>
            </w:r>
            <w:r>
              <w:rPr>
                <w:rFonts w:ascii="宋体" w:hAnsi="宋体" w:cs="宋体"/>
                <w:kern w:val="0"/>
                <w:sz w:val="20"/>
                <w:szCs w:val="20"/>
              </w:rPr>
              <w:t>Maas</w:t>
            </w:r>
            <w:r>
              <w:rPr>
                <w:rFonts w:ascii="宋体" w:hAnsi="宋体" w:cs="宋体"/>
                <w:kern w:val="0"/>
                <w:sz w:val="20"/>
                <w:szCs w:val="20"/>
              </w:rPr>
              <w:t>运营管理体系，规范数据共享标准，提升北京市</w:t>
            </w:r>
            <w:r>
              <w:rPr>
                <w:rFonts w:ascii="宋体" w:hAnsi="宋体" w:cs="宋体"/>
                <w:kern w:val="0"/>
                <w:sz w:val="20"/>
                <w:szCs w:val="20"/>
              </w:rPr>
              <w:t>Maas2.0</w:t>
            </w:r>
            <w:r>
              <w:rPr>
                <w:rFonts w:ascii="宋体" w:hAnsi="宋体" w:cs="宋体"/>
                <w:kern w:val="0"/>
                <w:sz w:val="20"/>
                <w:szCs w:val="20"/>
              </w:rPr>
              <w:t>数据共享开放能力和管理水平</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通过完善</w:t>
            </w:r>
            <w:r>
              <w:rPr>
                <w:rFonts w:ascii="宋体" w:hAnsi="宋体" w:cs="宋体"/>
                <w:kern w:val="0"/>
                <w:sz w:val="20"/>
                <w:szCs w:val="20"/>
              </w:rPr>
              <w:t xml:space="preserve"> Maas </w:t>
            </w:r>
            <w:r>
              <w:rPr>
                <w:rFonts w:ascii="宋体" w:hAnsi="宋体" w:cs="宋体" w:hint="eastAsia"/>
                <w:kern w:val="0"/>
                <w:sz w:val="20"/>
                <w:szCs w:val="20"/>
              </w:rPr>
              <w:t>运营管理体系，</w:t>
            </w:r>
            <w:r>
              <w:rPr>
                <w:rFonts w:ascii="宋体" w:hAnsi="宋体" w:cs="宋体"/>
                <w:kern w:val="0"/>
                <w:sz w:val="20"/>
                <w:szCs w:val="20"/>
              </w:rPr>
              <w:t>Maas2.0</w:t>
            </w:r>
            <w:r>
              <w:rPr>
                <w:rFonts w:ascii="宋体" w:hAnsi="宋体" w:cs="宋体"/>
                <w:kern w:val="0"/>
                <w:sz w:val="20"/>
                <w:szCs w:val="20"/>
              </w:rPr>
              <w:t>数据共享提升了数据使用程度，吸纳</w:t>
            </w:r>
            <w:r>
              <w:rPr>
                <w:rFonts w:ascii="宋体" w:hAnsi="宋体" w:cs="宋体"/>
                <w:kern w:val="0"/>
                <w:sz w:val="20"/>
                <w:szCs w:val="20"/>
              </w:rPr>
              <w:t>4</w:t>
            </w:r>
            <w:r>
              <w:rPr>
                <w:rFonts w:ascii="宋体" w:hAnsi="宋体" w:cs="宋体"/>
                <w:kern w:val="0"/>
                <w:sz w:val="20"/>
                <w:szCs w:val="20"/>
              </w:rPr>
              <w:t>家新平台参与北京</w:t>
            </w:r>
            <w:r>
              <w:rPr>
                <w:rFonts w:ascii="宋体" w:hAnsi="宋体" w:cs="宋体"/>
                <w:kern w:val="0"/>
                <w:sz w:val="20"/>
                <w:szCs w:val="20"/>
              </w:rPr>
              <w:t>MaaS2.0</w:t>
            </w:r>
            <w:r>
              <w:rPr>
                <w:rFonts w:ascii="宋体" w:hAnsi="宋体" w:cs="宋体"/>
                <w:kern w:val="0"/>
                <w:sz w:val="20"/>
                <w:szCs w:val="20"/>
              </w:rPr>
              <w:t>建设，上线轨道</w:t>
            </w:r>
            <w:r>
              <w:rPr>
                <w:rFonts w:ascii="宋体" w:hAnsi="宋体" w:cs="宋体"/>
                <w:kern w:val="0"/>
                <w:sz w:val="20"/>
                <w:szCs w:val="20"/>
              </w:rPr>
              <w:t>/</w:t>
            </w:r>
            <w:r>
              <w:rPr>
                <w:rFonts w:ascii="宋体" w:hAnsi="宋体" w:cs="宋体"/>
                <w:kern w:val="0"/>
                <w:sz w:val="20"/>
                <w:szCs w:val="20"/>
              </w:rPr>
              <w:t>公交</w:t>
            </w:r>
            <w:r>
              <w:rPr>
                <w:rFonts w:ascii="宋体" w:hAnsi="宋体" w:cs="宋体"/>
                <w:kern w:val="0"/>
                <w:sz w:val="20"/>
                <w:szCs w:val="20"/>
              </w:rPr>
              <w:t>+</w:t>
            </w:r>
            <w:r>
              <w:rPr>
                <w:rFonts w:ascii="宋体" w:hAnsi="宋体" w:cs="宋体"/>
                <w:kern w:val="0"/>
                <w:sz w:val="20"/>
                <w:szCs w:val="20"/>
              </w:rPr>
              <w:t>出租</w:t>
            </w:r>
            <w:r>
              <w:rPr>
                <w:rFonts w:ascii="宋体" w:hAnsi="宋体" w:cs="宋体"/>
                <w:kern w:val="0"/>
                <w:sz w:val="20"/>
                <w:szCs w:val="20"/>
              </w:rPr>
              <w:t>/</w:t>
            </w:r>
            <w:r>
              <w:rPr>
                <w:rFonts w:ascii="宋体" w:hAnsi="宋体" w:cs="宋体"/>
                <w:kern w:val="0"/>
                <w:sz w:val="20"/>
                <w:szCs w:val="20"/>
              </w:rPr>
              <w:t>网约车一体规划、公交地铁无障碍导乘、交通</w:t>
            </w:r>
            <w:r>
              <w:rPr>
                <w:rFonts w:ascii="宋体" w:hAnsi="宋体" w:cs="宋体"/>
                <w:kern w:val="0"/>
                <w:sz w:val="20"/>
                <w:szCs w:val="20"/>
              </w:rPr>
              <w:t>+</w:t>
            </w:r>
            <w:r>
              <w:rPr>
                <w:rFonts w:ascii="宋体" w:hAnsi="宋体" w:cs="宋体"/>
                <w:kern w:val="0"/>
                <w:sz w:val="20"/>
                <w:szCs w:val="20"/>
              </w:rPr>
              <w:t>生活联动等新功能，常态开展绿色出行活动。</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城市道路桥梁养护对通行条件影响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改善道路通行条件，提升路域整体环境，提高设施服务水平，为年度重大活动的举办及市民出行提供有力保障</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改善道路通行条件，提升路域整体环境，提高通行效率，为市民营造安全便捷的出行环境，为年度重大活动的举办及市民出行提供有力保障。</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城市道路桥梁养护工程对使用功能影响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恢复桥梁道路使用功能，提高服务水平、道路通行舒适度、安全性</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恢复桥梁道路使用功能，提高服务水平、道路通行舒适度、安全性，保障交通畅通，方便居民日常出行，改善出行体验，提升生活质量。</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对京津冀交通一体化的影响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进一步提升交通承载力和辐射能力</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“轨道上的京津冀”加快构建，朝阳站综合交通枢纽开通运营，京蔚高速、怀兴城际铁路一期、厂通路等建成通车，区域路网持续完善。</w:t>
            </w:r>
            <w:r>
              <w:rPr>
                <w:rFonts w:ascii="宋体" w:hAnsi="宋体" w:cs="宋体"/>
                <w:kern w:val="0"/>
                <w:sz w:val="20"/>
                <w:szCs w:val="20"/>
              </w:rPr>
              <w:t>38</w:t>
            </w:r>
            <w:r>
              <w:rPr>
                <w:rFonts w:ascii="宋体" w:hAnsi="宋体" w:cs="宋体"/>
                <w:kern w:val="0"/>
                <w:sz w:val="20"/>
                <w:szCs w:val="20"/>
              </w:rPr>
              <w:t>条跨省公交线路常态化运营，定制快巴</w:t>
            </w:r>
            <w:r>
              <w:rPr>
                <w:rFonts w:ascii="宋体" w:hAnsi="宋体" w:cs="宋体"/>
                <w:kern w:val="0"/>
                <w:sz w:val="20"/>
                <w:szCs w:val="20"/>
              </w:rPr>
              <w:t>11</w:t>
            </w:r>
            <w:r>
              <w:rPr>
                <w:rFonts w:ascii="宋体" w:hAnsi="宋体" w:cs="宋体"/>
                <w:kern w:val="0"/>
                <w:sz w:val="20"/>
                <w:szCs w:val="20"/>
              </w:rPr>
              <w:t>条主线</w:t>
            </w:r>
            <w:r>
              <w:rPr>
                <w:rFonts w:ascii="宋体" w:hAnsi="宋体" w:cs="宋体"/>
                <w:kern w:val="0"/>
                <w:sz w:val="20"/>
                <w:szCs w:val="20"/>
              </w:rPr>
              <w:t>39</w:t>
            </w:r>
            <w:r>
              <w:rPr>
                <w:rFonts w:ascii="宋体" w:hAnsi="宋体" w:cs="宋体"/>
                <w:kern w:val="0"/>
                <w:sz w:val="20"/>
                <w:szCs w:val="20"/>
              </w:rPr>
              <w:t>条支线覆盖津冀重点环京通勤地区，环京通行效率大幅提升。</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1940"/>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对行业发展影响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培养行业高级技能人才，提高行业从业人员素质</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北京市第六届职业技能大赛暨北京市交通行业第五届职业技能大赛</w:t>
            </w:r>
            <w:r>
              <w:rPr>
                <w:rFonts w:ascii="宋体" w:hAnsi="宋体" w:cs="宋体"/>
                <w:kern w:val="0"/>
                <w:sz w:val="20"/>
                <w:szCs w:val="20"/>
              </w:rPr>
              <w:t>36</w:t>
            </w:r>
            <w:r>
              <w:rPr>
                <w:rFonts w:ascii="宋体" w:hAnsi="宋体" w:cs="宋体"/>
                <w:kern w:val="0"/>
                <w:sz w:val="20"/>
                <w:szCs w:val="20"/>
              </w:rPr>
              <w:t>人荣获</w:t>
            </w:r>
            <w:r>
              <w:rPr>
                <w:rFonts w:ascii="宋体" w:hAnsi="宋体" w:cs="宋体"/>
                <w:kern w:val="0"/>
                <w:sz w:val="20"/>
                <w:szCs w:val="20"/>
              </w:rPr>
              <w:t>“</w:t>
            </w:r>
            <w:r>
              <w:rPr>
                <w:rFonts w:ascii="宋体" w:hAnsi="宋体" w:cs="宋体"/>
                <w:kern w:val="0"/>
                <w:sz w:val="20"/>
                <w:szCs w:val="20"/>
              </w:rPr>
              <w:t>北京市交通技术能手</w:t>
            </w:r>
            <w:r>
              <w:rPr>
                <w:rFonts w:ascii="宋体" w:hAnsi="宋体" w:cs="宋体"/>
                <w:kern w:val="0"/>
                <w:sz w:val="20"/>
                <w:szCs w:val="20"/>
              </w:rPr>
              <w:t>”</w:t>
            </w:r>
            <w:r>
              <w:rPr>
                <w:rFonts w:ascii="宋体" w:hAnsi="宋体" w:cs="宋体"/>
                <w:kern w:val="0"/>
                <w:sz w:val="20"/>
                <w:szCs w:val="20"/>
              </w:rPr>
              <w:t>称号。有效提高了行业从业人员素质，提升技能大赛行业影响力，弘扬</w:t>
            </w:r>
            <w:r>
              <w:rPr>
                <w:rFonts w:ascii="宋体" w:hAnsi="宋体" w:cs="宋体"/>
                <w:kern w:val="0"/>
                <w:sz w:val="20"/>
                <w:szCs w:val="20"/>
              </w:rPr>
              <w:t>“</w:t>
            </w:r>
            <w:r>
              <w:rPr>
                <w:rFonts w:ascii="宋体" w:hAnsi="宋体" w:cs="宋体"/>
                <w:kern w:val="0"/>
                <w:sz w:val="20"/>
                <w:szCs w:val="20"/>
              </w:rPr>
              <w:t>劳模精神</w:t>
            </w:r>
            <w:r>
              <w:rPr>
                <w:rFonts w:ascii="宋体" w:hAnsi="宋体" w:cs="宋体"/>
                <w:kern w:val="0"/>
                <w:sz w:val="20"/>
                <w:szCs w:val="20"/>
              </w:rPr>
              <w:t>”“</w:t>
            </w:r>
            <w:r>
              <w:rPr>
                <w:rFonts w:ascii="宋体" w:hAnsi="宋体" w:cs="宋体"/>
                <w:kern w:val="0"/>
                <w:sz w:val="20"/>
                <w:szCs w:val="20"/>
              </w:rPr>
              <w:t>工匠精神</w:t>
            </w:r>
            <w:r>
              <w:rPr>
                <w:rFonts w:ascii="宋体" w:hAnsi="宋体" w:cs="宋体"/>
                <w:kern w:val="0"/>
                <w:sz w:val="20"/>
                <w:szCs w:val="20"/>
              </w:rPr>
              <w:t>”</w:t>
            </w:r>
            <w:r>
              <w:rPr>
                <w:rFonts w:ascii="宋体" w:hAnsi="宋体" w:cs="宋体"/>
                <w:kern w:val="0"/>
                <w:sz w:val="20"/>
                <w:szCs w:val="20"/>
              </w:rPr>
              <w:t>。</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tcBorders>
              <w:bottom w:val="nil"/>
            </w:tcBorders>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法律法规及标准规范体系研究工作影响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规范市场秩序，确保公平竞争和行业健康发展，为公众提供更安全、更可靠的交通运输服务</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加强公路建设市场执法监管，加强市场执法管理，结合行政处罚与信用评价，不断规范公路建设市场行为。</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restart"/>
            <w:tcBorders>
              <w:top w:val="nil"/>
            </w:tcBorders>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互联网租赁自行车对交通接驳影响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加强互联网租赁自行车行业管理和停放秩序治理，为市民提供更优质的绿色出行服务。</w:t>
            </w:r>
          </w:p>
        </w:tc>
        <w:tc>
          <w:tcPr>
            <w:tcW w:w="4830" w:type="dxa"/>
            <w:vAlign w:val="center"/>
          </w:tcPr>
          <w:p w:rsidR="00176F03" w:rsidRDefault="00872D6E">
            <w:pPr>
              <w:widowControl/>
              <w:jc w:val="left"/>
              <w:rPr>
                <w:rFonts w:ascii="宋体" w:hAnsi="宋体" w:cs="宋体"/>
                <w:spacing w:val="-4"/>
                <w:kern w:val="0"/>
                <w:sz w:val="20"/>
                <w:szCs w:val="20"/>
              </w:rPr>
            </w:pPr>
            <w:r>
              <w:rPr>
                <w:rFonts w:ascii="宋体" w:hAnsi="宋体" w:cs="宋体" w:hint="eastAsia"/>
                <w:spacing w:val="-4"/>
                <w:kern w:val="0"/>
                <w:sz w:val="20"/>
                <w:szCs w:val="20"/>
              </w:rPr>
              <w:t>从精准匹配供需关系、兼顾城市空间资源约束，合理规划投放分布和建立动态评估及监督评价机制等角度，提出加强重点区域停放秩序管理、优化道路空间停放资源配置，促进行业企业良性发展，提升互联网租赁自行车行业精细化管理水平；从车辆投放、用户评价、骑行活力和停放秩序维度，车辆报备率、车辆均衡率、用户满意度、投诉举报、车辆活跃度、车辆周转率、电子围栏入栏率和重点点位管理方面，提出全市及各服务区域互联网租赁自行车投</w:t>
            </w:r>
            <w:r>
              <w:rPr>
                <w:rFonts w:ascii="宋体" w:hAnsi="宋体" w:cs="宋体" w:hint="eastAsia"/>
                <w:spacing w:val="-4"/>
                <w:kern w:val="0"/>
                <w:sz w:val="20"/>
                <w:szCs w:val="20"/>
              </w:rPr>
              <w:t>放合理区间，引导企业主动提升服务，为市民提供更优质的绿色出行服务。</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交通基础设施项目储备库作用</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为交通基础设施项目的决策提供支持</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按照计划要求顺利完成项目前期推进工作，为建立全市交通基础设施项储备库提供决策依据。</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交通运输综合执法工作对交通运输运营环境影响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及时公正地查处交通运输行业违法违章，加强行业自律，严厉打击拒载、议价、多收费等严重违章行为，规范行业服务，保障正常交通营运环境</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及时公正地查处交通运输行业违法违章，严厉打击了拒载、议价、多收费等严重违章行为，规范行业服务，保障正常交通营运环境。</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交通治理对通行能力、出行环境影响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道路交通出行条件比工程改造前：提高道路通行能力（</w:t>
            </w:r>
            <w:r>
              <w:rPr>
                <w:rFonts w:ascii="宋体" w:hAnsi="宋体" w:cs="宋体"/>
                <w:kern w:val="0"/>
                <w:sz w:val="20"/>
                <w:szCs w:val="20"/>
              </w:rPr>
              <w:t>5%</w:t>
            </w:r>
            <w:r>
              <w:rPr>
                <w:rFonts w:ascii="宋体" w:hAnsi="宋体" w:cs="宋体"/>
                <w:kern w:val="0"/>
                <w:sz w:val="20"/>
                <w:szCs w:val="20"/>
              </w:rPr>
              <w:t>以上）和行车速度、减少拥堵时间、方便群众出行，改善出行环境。</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提高道路通行能力（</w:t>
            </w:r>
            <w:r>
              <w:rPr>
                <w:rFonts w:ascii="宋体" w:hAnsi="宋体" w:cs="宋体"/>
                <w:kern w:val="0"/>
                <w:sz w:val="20"/>
                <w:szCs w:val="20"/>
              </w:rPr>
              <w:t>5%</w:t>
            </w:r>
            <w:r>
              <w:rPr>
                <w:rFonts w:ascii="宋体" w:hAnsi="宋体" w:cs="宋体"/>
                <w:kern w:val="0"/>
                <w:sz w:val="20"/>
                <w:szCs w:val="20"/>
              </w:rPr>
              <w:t>以上）和行车速度、减少拥堵时间、方便群众出行，改善出行环境。核心区、城市副中心等重点部位和儿童医院、复兴门桥、天坛等常发堵点周边平均车速提升</w:t>
            </w:r>
            <w:r>
              <w:rPr>
                <w:rFonts w:ascii="宋体" w:hAnsi="宋体" w:cs="宋体"/>
                <w:kern w:val="0"/>
                <w:sz w:val="20"/>
                <w:szCs w:val="20"/>
              </w:rPr>
              <w:t>19.6%,</w:t>
            </w:r>
            <w:r>
              <w:rPr>
                <w:rFonts w:ascii="宋体" w:hAnsi="宋体" w:cs="宋体"/>
                <w:kern w:val="0"/>
                <w:sz w:val="20"/>
                <w:szCs w:val="20"/>
              </w:rPr>
              <w:t>中心城区高峰时段平均道路交通指数降至</w:t>
            </w:r>
            <w:r>
              <w:rPr>
                <w:rFonts w:ascii="宋体" w:hAnsi="宋体" w:cs="宋体"/>
                <w:kern w:val="0"/>
                <w:sz w:val="20"/>
                <w:szCs w:val="20"/>
              </w:rPr>
              <w:t>6.08,</w:t>
            </w:r>
            <w:r>
              <w:rPr>
                <w:rFonts w:ascii="宋体" w:hAnsi="宋体" w:cs="宋体"/>
                <w:kern w:val="0"/>
                <w:sz w:val="20"/>
                <w:szCs w:val="20"/>
              </w:rPr>
              <w:t>交通运行效率有效提升</w:t>
            </w:r>
            <w:r>
              <w:rPr>
                <w:rFonts w:ascii="宋体" w:hAnsi="宋体" w:cs="宋体"/>
                <w:kern w:val="0"/>
                <w:sz w:val="20"/>
                <w:szCs w:val="20"/>
              </w:rPr>
              <w:t>,</w:t>
            </w:r>
            <w:r>
              <w:rPr>
                <w:rFonts w:ascii="宋体" w:hAnsi="宋体" w:cs="宋体"/>
                <w:kern w:val="0"/>
                <w:sz w:val="20"/>
                <w:szCs w:val="20"/>
              </w:rPr>
              <w:t>群众出行获得感、幸福感、安全感得到提高。</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路政及工程质量监督管理</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保障道路的安全运行，减少交通事故的发生；通过工程质量监督管理，确保道路工程的质量符合标准。</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道路的安全运行得到保障，减少了交通事故的发生；通过工程质量监督管理，道路工程的质量全部符合标准。</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spacing w:line="280" w:lineRule="exact"/>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普通公路养护对通行条件影响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保障道路使用功能及路况良好，改善群众出行条件</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完善路域环境，道路交通安全状况得到改善。提高全路网现代化管理与服务水平，提升道路通行能力。</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停车设施建设和管理影响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增加城市可用的停车资源，有效缓解停车难的问题</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完成</w:t>
            </w:r>
            <w:r>
              <w:rPr>
                <w:rFonts w:ascii="宋体" w:hAnsi="宋体" w:cs="宋体"/>
                <w:kern w:val="0"/>
                <w:sz w:val="20"/>
                <w:szCs w:val="20"/>
              </w:rPr>
              <w:t>53</w:t>
            </w:r>
            <w:r>
              <w:rPr>
                <w:rFonts w:ascii="宋体" w:hAnsi="宋体" w:cs="宋体"/>
                <w:kern w:val="0"/>
                <w:sz w:val="20"/>
                <w:szCs w:val="20"/>
              </w:rPr>
              <w:t>个重点地铁站点非机动车停放秩序治理，提供</w:t>
            </w:r>
            <w:r>
              <w:rPr>
                <w:rFonts w:ascii="宋体" w:hAnsi="宋体" w:cs="宋体"/>
                <w:kern w:val="0"/>
                <w:sz w:val="20"/>
                <w:szCs w:val="20"/>
              </w:rPr>
              <w:t>4.2</w:t>
            </w:r>
            <w:r>
              <w:rPr>
                <w:rFonts w:ascii="宋体" w:hAnsi="宋体" w:cs="宋体"/>
                <w:kern w:val="0"/>
                <w:sz w:val="20"/>
                <w:szCs w:val="20"/>
              </w:rPr>
              <w:t>万个停车位；优化中心城区停车供给，增加</w:t>
            </w:r>
            <w:r>
              <w:rPr>
                <w:rFonts w:ascii="宋体" w:hAnsi="宋体" w:cs="宋体"/>
                <w:kern w:val="0"/>
                <w:sz w:val="20"/>
                <w:szCs w:val="20"/>
              </w:rPr>
              <w:t>3.8</w:t>
            </w:r>
            <w:r>
              <w:rPr>
                <w:rFonts w:ascii="宋体" w:hAnsi="宋体" w:cs="宋体"/>
                <w:kern w:val="0"/>
                <w:sz w:val="20"/>
                <w:szCs w:val="20"/>
              </w:rPr>
              <w:t>万个新建、错时共享停车位，有效缓解停车难题。</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行业数字化转型对工作影响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充分发挥科技创新的主体作用，示范引领、以点带面推动行业数字化转型，促进交通运行、管理、服务工作提质增效。</w:t>
            </w:r>
          </w:p>
        </w:tc>
        <w:tc>
          <w:tcPr>
            <w:tcW w:w="4830" w:type="dxa"/>
            <w:vAlign w:val="center"/>
          </w:tcPr>
          <w:p w:rsidR="00176F03" w:rsidRDefault="00872D6E">
            <w:pPr>
              <w:widowControl/>
              <w:jc w:val="left"/>
              <w:rPr>
                <w:rFonts w:ascii="宋体" w:hAnsi="宋体" w:cs="宋体"/>
                <w:spacing w:val="-6"/>
                <w:kern w:val="0"/>
                <w:sz w:val="20"/>
                <w:szCs w:val="20"/>
              </w:rPr>
            </w:pPr>
            <w:r>
              <w:rPr>
                <w:rFonts w:ascii="宋体" w:hAnsi="宋体" w:cs="宋体" w:hint="eastAsia"/>
                <w:spacing w:val="-6"/>
                <w:kern w:val="0"/>
                <w:sz w:val="20"/>
                <w:szCs w:val="20"/>
              </w:rPr>
              <w:t>市交通委会同相关部门，组建了公路交通基础设施数字化转型升级工作专班，明确了数据共享、数据运营相关建设任务。联合天津市交通委、河北省交通厅建立京津冀区域协同联动工作机制。</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社会效益指标</w:t>
            </w:r>
            <w:r>
              <w:rPr>
                <w:rFonts w:ascii="宋体" w:hAnsi="宋体" w:cs="宋体"/>
                <w:kern w:val="0"/>
                <w:sz w:val="20"/>
                <w:szCs w:val="20"/>
              </w:rPr>
              <w:t>-</w:t>
            </w:r>
            <w:r>
              <w:rPr>
                <w:rFonts w:ascii="宋体" w:hAnsi="宋体" w:cs="宋体"/>
                <w:kern w:val="0"/>
                <w:sz w:val="20"/>
                <w:szCs w:val="20"/>
              </w:rPr>
              <w:t>优化公交线路对居民出行产生的影响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进一步提升公共交通出行便利性和吸引力。</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中心城区工作日绿色出行比例</w:t>
            </w:r>
            <w:r>
              <w:rPr>
                <w:rFonts w:ascii="宋体" w:hAnsi="宋体" w:cs="宋体"/>
                <w:kern w:val="0"/>
                <w:sz w:val="20"/>
                <w:szCs w:val="20"/>
              </w:rPr>
              <w:t>75.6%</w:t>
            </w:r>
            <w:r>
              <w:rPr>
                <w:rFonts w:ascii="宋体" w:hAnsi="宋体" w:cs="宋体"/>
                <w:kern w:val="0"/>
                <w:sz w:val="20"/>
                <w:szCs w:val="20"/>
              </w:rPr>
              <w:t>、同比增长</w:t>
            </w:r>
            <w:r>
              <w:rPr>
                <w:rFonts w:ascii="宋体" w:hAnsi="宋体" w:cs="宋体"/>
                <w:kern w:val="0"/>
                <w:sz w:val="20"/>
                <w:szCs w:val="20"/>
              </w:rPr>
              <w:t>0.9</w:t>
            </w:r>
            <w:r>
              <w:rPr>
                <w:rFonts w:ascii="宋体" w:hAnsi="宋体" w:cs="宋体"/>
                <w:kern w:val="0"/>
                <w:sz w:val="20"/>
                <w:szCs w:val="20"/>
              </w:rPr>
              <w:t>百分点。进一步提升了公共交通出行便利性和吸引力。</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生态效益指标</w:t>
            </w:r>
            <w:r>
              <w:rPr>
                <w:rFonts w:ascii="宋体" w:hAnsi="宋体" w:cs="宋体"/>
                <w:kern w:val="0"/>
                <w:sz w:val="20"/>
                <w:szCs w:val="20"/>
              </w:rPr>
              <w:t>-</w:t>
            </w:r>
            <w:r>
              <w:rPr>
                <w:rFonts w:ascii="宋体" w:hAnsi="宋体" w:cs="宋体"/>
                <w:kern w:val="0"/>
                <w:sz w:val="20"/>
                <w:szCs w:val="20"/>
              </w:rPr>
              <w:t>推广纯电动出租车对环境影响</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增加纯电动出租汽车数量有助于节能减排，减少空气污染，保护环境</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推广应用纯电动出租汽车、打赢污染防治攻坚战奠定坚实基础，纯电动出租汽车比例提升</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rPr>
          <w:gridAfter w:val="1"/>
          <w:wAfter w:w="15" w:type="dxa"/>
          <w:cantSplit/>
          <w:trHeight w:val="567"/>
        </w:trPr>
        <w:tc>
          <w:tcPr>
            <w:tcW w:w="1369" w:type="dxa"/>
            <w:vMerge/>
            <w:vAlign w:val="center"/>
          </w:tcPr>
          <w:p w:rsidR="00176F03" w:rsidRDefault="00176F03">
            <w:pPr>
              <w:widowControl/>
              <w:jc w:val="left"/>
              <w:rPr>
                <w:rFonts w:ascii="宋体" w:hAnsi="宋体" w:cs="宋体"/>
                <w:kern w:val="0"/>
                <w:sz w:val="20"/>
                <w:szCs w:val="20"/>
              </w:rPr>
            </w:pPr>
          </w:p>
        </w:tc>
        <w:tc>
          <w:tcPr>
            <w:tcW w:w="1605" w:type="dxa"/>
            <w:vMerge/>
            <w:vAlign w:val="center"/>
          </w:tcPr>
          <w:p w:rsidR="00176F03" w:rsidRDefault="00176F03">
            <w:pPr>
              <w:widowControl/>
              <w:jc w:val="left"/>
              <w:rPr>
                <w:rFonts w:ascii="宋体" w:hAnsi="宋体" w:cs="宋体"/>
                <w:kern w:val="0"/>
                <w:sz w:val="20"/>
                <w:szCs w:val="20"/>
              </w:rPr>
            </w:pPr>
          </w:p>
        </w:tc>
        <w:tc>
          <w:tcPr>
            <w:tcW w:w="1815" w:type="dxa"/>
            <w:gridSpan w:val="2"/>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服务对象满意度</w:t>
            </w:r>
            <w:r>
              <w:rPr>
                <w:rFonts w:ascii="宋体" w:hAnsi="宋体" w:cs="宋体"/>
                <w:kern w:val="0"/>
                <w:sz w:val="20"/>
                <w:szCs w:val="20"/>
              </w:rPr>
              <w:t>-</w:t>
            </w:r>
            <w:r>
              <w:rPr>
                <w:rFonts w:ascii="宋体" w:hAnsi="宋体" w:cs="宋体"/>
                <w:kern w:val="0"/>
                <w:sz w:val="20"/>
                <w:szCs w:val="20"/>
              </w:rPr>
              <w:t>服务对象满意度</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公交乘客满意度≥</w:t>
            </w:r>
            <w:r>
              <w:rPr>
                <w:rFonts w:ascii="宋体" w:hAnsi="宋体" w:cs="宋体"/>
                <w:kern w:val="0"/>
                <w:sz w:val="20"/>
                <w:szCs w:val="20"/>
              </w:rPr>
              <w:t>85%</w:t>
            </w:r>
          </w:p>
        </w:tc>
        <w:tc>
          <w:tcPr>
            <w:tcW w:w="483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84.91%</w:t>
            </w:r>
          </w:p>
        </w:tc>
        <w:tc>
          <w:tcPr>
            <w:tcW w:w="795" w:type="dxa"/>
            <w:gridSpan w:val="2"/>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8"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 xml:space="preserve">0.99 </w:t>
            </w:r>
          </w:p>
        </w:tc>
      </w:tr>
    </w:tbl>
    <w:p w:rsidR="00176F03" w:rsidRDefault="00872D6E">
      <w:r>
        <w:br w:type="page"/>
      </w:r>
    </w:p>
    <w:tbl>
      <w:tblPr>
        <w:tblW w:w="14172" w:type="dxa"/>
        <w:tblLayout w:type="fixed"/>
        <w:tblLook w:val="04A0" w:firstRow="1" w:lastRow="0" w:firstColumn="1" w:lastColumn="0" w:noHBand="0" w:noVBand="1"/>
      </w:tblPr>
      <w:tblGrid>
        <w:gridCol w:w="1377"/>
        <w:gridCol w:w="1597"/>
        <w:gridCol w:w="1815"/>
        <w:gridCol w:w="3000"/>
        <w:gridCol w:w="4830"/>
        <w:gridCol w:w="803"/>
        <w:gridCol w:w="750"/>
      </w:tblGrid>
      <w:tr w:rsidR="00176F03">
        <w:trPr>
          <w:cantSplit/>
          <w:trHeight w:val="709"/>
        </w:trPr>
        <w:tc>
          <w:tcPr>
            <w:tcW w:w="14172" w:type="dxa"/>
            <w:gridSpan w:val="7"/>
            <w:tcBorders>
              <w:top w:val="single" w:sz="4" w:space="0" w:color="auto"/>
              <w:left w:val="single" w:sz="4" w:space="0" w:color="auto"/>
              <w:bottom w:val="single" w:sz="4" w:space="0" w:color="auto"/>
              <w:right w:val="single" w:sz="4" w:space="0" w:color="auto"/>
            </w:tcBorders>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lastRenderedPageBreak/>
              <w:t>三、预算管理情况（</w:t>
            </w:r>
            <w:r>
              <w:rPr>
                <w:rFonts w:ascii="宋体" w:hAnsi="宋体" w:cs="宋体"/>
                <w:kern w:val="0"/>
                <w:sz w:val="20"/>
                <w:szCs w:val="20"/>
              </w:rPr>
              <w:t>20</w:t>
            </w:r>
            <w:r>
              <w:rPr>
                <w:rFonts w:ascii="宋体" w:hAnsi="宋体" w:cs="宋体"/>
                <w:kern w:val="0"/>
                <w:sz w:val="20"/>
                <w:szCs w:val="20"/>
              </w:rPr>
              <w:t>分）</w:t>
            </w:r>
          </w:p>
        </w:tc>
      </w:tr>
      <w:tr w:rsidR="00176F03">
        <w:trPr>
          <w:cantSplit/>
          <w:trHeight w:val="709"/>
        </w:trPr>
        <w:tc>
          <w:tcPr>
            <w:tcW w:w="1377" w:type="dxa"/>
            <w:tcBorders>
              <w:top w:val="nil"/>
              <w:left w:val="single" w:sz="4" w:space="0" w:color="auto"/>
              <w:bottom w:val="single" w:sz="4" w:space="0" w:color="auto"/>
              <w:right w:val="single" w:sz="4" w:space="0" w:color="auto"/>
            </w:tcBorders>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一级</w:t>
            </w:r>
          </w:p>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指标</w:t>
            </w:r>
          </w:p>
        </w:tc>
        <w:tc>
          <w:tcPr>
            <w:tcW w:w="1597" w:type="dxa"/>
            <w:tcBorders>
              <w:top w:val="nil"/>
              <w:left w:val="nil"/>
              <w:bottom w:val="single" w:sz="4" w:space="0" w:color="auto"/>
              <w:right w:val="single" w:sz="4" w:space="0" w:color="auto"/>
            </w:tcBorders>
            <w:vAlign w:val="center"/>
          </w:tcPr>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二级</w:t>
            </w:r>
          </w:p>
          <w:p w:rsidR="00176F03" w:rsidRDefault="00872D6E">
            <w:pPr>
              <w:widowControl/>
              <w:spacing w:line="240" w:lineRule="exact"/>
              <w:jc w:val="center"/>
              <w:rPr>
                <w:rFonts w:ascii="宋体" w:hAnsi="宋体" w:cs="宋体"/>
                <w:kern w:val="0"/>
                <w:sz w:val="20"/>
                <w:szCs w:val="20"/>
              </w:rPr>
            </w:pPr>
            <w:r>
              <w:rPr>
                <w:rFonts w:ascii="宋体" w:hAnsi="宋体" w:cs="宋体" w:hint="eastAsia"/>
                <w:kern w:val="0"/>
                <w:sz w:val="20"/>
                <w:szCs w:val="20"/>
              </w:rPr>
              <w:t>指标</w:t>
            </w:r>
          </w:p>
        </w:tc>
        <w:tc>
          <w:tcPr>
            <w:tcW w:w="1815"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3000"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指标值</w:t>
            </w:r>
          </w:p>
        </w:tc>
        <w:tc>
          <w:tcPr>
            <w:tcW w:w="4830" w:type="dxa"/>
            <w:tcBorders>
              <w:top w:val="nil"/>
              <w:left w:val="nil"/>
              <w:bottom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完成值</w:t>
            </w:r>
          </w:p>
        </w:tc>
        <w:tc>
          <w:tcPr>
            <w:tcW w:w="803" w:type="dxa"/>
            <w:tcBorders>
              <w:top w:val="nil"/>
              <w:left w:val="nil"/>
              <w:bottom w:val="single" w:sz="4" w:space="0" w:color="auto"/>
              <w:right w:val="single" w:sz="4" w:space="0" w:color="auto"/>
            </w:tcBorders>
            <w:noWrap/>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分值</w:t>
            </w:r>
          </w:p>
        </w:tc>
        <w:tc>
          <w:tcPr>
            <w:tcW w:w="750" w:type="dxa"/>
            <w:tcBorders>
              <w:top w:val="nil"/>
              <w:left w:val="nil"/>
              <w:bottom w:val="single" w:sz="4" w:space="0" w:color="auto"/>
              <w:right w:val="single" w:sz="4" w:space="0" w:color="auto"/>
            </w:tcBorders>
            <w:noWrap/>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得分</w:t>
            </w:r>
          </w:p>
        </w:tc>
      </w:tr>
      <w:tr w:rsidR="00176F03">
        <w:trPr>
          <w:cantSplit/>
          <w:trHeight w:val="709"/>
        </w:trPr>
        <w:tc>
          <w:tcPr>
            <w:tcW w:w="1377" w:type="dxa"/>
            <w:vMerge w:val="restart"/>
            <w:tcBorders>
              <w:top w:val="nil"/>
              <w:left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预算管理情况（</w:t>
            </w:r>
            <w:r>
              <w:rPr>
                <w:rFonts w:ascii="宋体" w:hAnsi="宋体" w:cs="宋体"/>
                <w:kern w:val="0"/>
                <w:sz w:val="20"/>
                <w:szCs w:val="20"/>
              </w:rPr>
              <w:t>20</w:t>
            </w:r>
            <w:r>
              <w:rPr>
                <w:rFonts w:ascii="宋体" w:hAnsi="宋体" w:cs="宋体"/>
                <w:kern w:val="0"/>
                <w:sz w:val="20"/>
                <w:szCs w:val="20"/>
              </w:rPr>
              <w:t>）</w:t>
            </w:r>
          </w:p>
        </w:tc>
        <w:tc>
          <w:tcPr>
            <w:tcW w:w="1597" w:type="dxa"/>
            <w:vMerge w:val="restart"/>
            <w:tcBorders>
              <w:top w:val="nil"/>
              <w:left w:val="single" w:sz="4" w:space="0" w:color="auto"/>
              <w:right w:val="single" w:sz="4" w:space="0" w:color="auto"/>
            </w:tcBorders>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kern w:val="0"/>
                <w:sz w:val="20"/>
                <w:szCs w:val="20"/>
              </w:rPr>
              <w:t>4</w:t>
            </w:r>
            <w:r>
              <w:rPr>
                <w:rFonts w:ascii="宋体" w:hAnsi="宋体" w:cs="宋体"/>
                <w:kern w:val="0"/>
                <w:sz w:val="20"/>
                <w:szCs w:val="20"/>
              </w:rPr>
              <w:t>）</w:t>
            </w:r>
          </w:p>
        </w:tc>
        <w:tc>
          <w:tcPr>
            <w:tcW w:w="1815" w:type="dxa"/>
            <w:tcBorders>
              <w:top w:val="nil"/>
              <w:left w:val="nil"/>
              <w:bottom w:val="single" w:sz="4" w:space="0" w:color="auto"/>
              <w:right w:val="single" w:sz="4" w:space="0" w:color="auto"/>
            </w:tcBorders>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财务管理制度健全性</w:t>
            </w:r>
          </w:p>
        </w:tc>
        <w:tc>
          <w:tcPr>
            <w:tcW w:w="3000" w:type="dxa"/>
            <w:tcBorders>
              <w:top w:val="nil"/>
              <w:left w:val="nil"/>
              <w:bottom w:val="single" w:sz="4" w:space="0" w:color="auto"/>
              <w:right w:val="single" w:sz="4" w:space="0" w:color="auto"/>
            </w:tcBorders>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建立健全预算资金管理办法、绩效跟踪管理办法、资产管理办法等各项制度。保证部门内部财务管理制度、会计核算制度完整、合规。</w:t>
            </w:r>
          </w:p>
        </w:tc>
        <w:tc>
          <w:tcPr>
            <w:tcW w:w="4830" w:type="dxa"/>
            <w:tcBorders>
              <w:top w:val="nil"/>
              <w:left w:val="nil"/>
              <w:bottom w:val="single" w:sz="4" w:space="0" w:color="auto"/>
              <w:right w:val="single" w:sz="4" w:space="0" w:color="auto"/>
            </w:tcBorders>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市交通委建立了较为完善的财务管理制度体系，包括《北京市交通委员会预算管理办法》《北京市交通委员会关于印发北京市交通委员会系统政府采购管理办法的通知》等一系列制度，从预算管理、收支管理、政府采购、专项资金管理等方面进行规范约束，在制度上保证了财务工作的规范有序开展。</w:t>
            </w:r>
          </w:p>
        </w:tc>
        <w:tc>
          <w:tcPr>
            <w:tcW w:w="803" w:type="dxa"/>
            <w:tcBorders>
              <w:top w:val="nil"/>
              <w:left w:val="nil"/>
              <w:bottom w:val="single" w:sz="4" w:space="0" w:color="auto"/>
              <w:right w:val="single" w:sz="4" w:space="0" w:color="auto"/>
            </w:tcBorders>
            <w:noWrap/>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0" w:type="dxa"/>
            <w:tcBorders>
              <w:top w:val="nil"/>
              <w:left w:val="nil"/>
              <w:bottom w:val="single" w:sz="4" w:space="0" w:color="auto"/>
              <w:right w:val="single" w:sz="4" w:space="0" w:color="auto"/>
            </w:tcBorders>
            <w:noWrap/>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9"/>
        </w:trPr>
        <w:tc>
          <w:tcPr>
            <w:tcW w:w="1377" w:type="dxa"/>
            <w:vMerge/>
            <w:tcBorders>
              <w:left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1597" w:type="dxa"/>
            <w:vMerge/>
            <w:tcBorders>
              <w:left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1815"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资金使用合规性和安全性</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资金支出符合预算财务管理制度、专项资金管理办法、政府采购管理办法等相关制度的规定。使用预</w:t>
            </w:r>
            <w:r>
              <w:rPr>
                <w:rFonts w:ascii="宋体" w:hAnsi="宋体" w:cs="宋体" w:hint="eastAsia"/>
                <w:kern w:val="0"/>
                <w:sz w:val="20"/>
                <w:szCs w:val="20"/>
              </w:rPr>
              <w:t>算资金符合相关规定的开支范围，不超范围列支。资金拨付按照审批程序和手续严格执行，无审批不拨付资金。严格杜绝资金被截留、挤占、挪用。</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严格遵守《预算法》《预算法实施条例》等法律法规和财政部、市财政局有关财政、财务规章制度，并制定了适合本单位的制度，规范财政资金管理，建设项目预算支出整体受控。</w:t>
            </w:r>
          </w:p>
        </w:tc>
        <w:tc>
          <w:tcPr>
            <w:tcW w:w="803" w:type="dxa"/>
            <w:noWrap/>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w:t>
            </w:r>
          </w:p>
        </w:tc>
        <w:tc>
          <w:tcPr>
            <w:tcW w:w="750" w:type="dxa"/>
            <w:noWrap/>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w:t>
            </w:r>
          </w:p>
        </w:tc>
      </w:tr>
      <w:tr w:rsidR="00176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9"/>
        </w:trPr>
        <w:tc>
          <w:tcPr>
            <w:tcW w:w="1377" w:type="dxa"/>
            <w:vMerge/>
            <w:tcBorders>
              <w:left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1597" w:type="dxa"/>
            <w:vMerge/>
            <w:tcBorders>
              <w:left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1815"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会计基础信息完善性</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会计基础数据信息和会计信息资料真实、完整、准确</w:t>
            </w:r>
          </w:p>
        </w:tc>
        <w:tc>
          <w:tcPr>
            <w:tcW w:w="483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市交通委严格按照相关法律法规要求进行核算，全面、客观如实反映市交通委发生的各项经济业务，基础数据信息和会计信息资料真实、完整、准确。</w:t>
            </w:r>
          </w:p>
        </w:tc>
        <w:tc>
          <w:tcPr>
            <w:tcW w:w="803" w:type="dxa"/>
            <w:noWrap/>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c>
          <w:tcPr>
            <w:tcW w:w="750" w:type="dxa"/>
            <w:noWrap/>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w:t>
            </w:r>
          </w:p>
        </w:tc>
      </w:tr>
      <w:tr w:rsidR="00176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9"/>
        </w:trPr>
        <w:tc>
          <w:tcPr>
            <w:tcW w:w="1377" w:type="dxa"/>
            <w:vMerge/>
            <w:tcBorders>
              <w:left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159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资产管理（</w:t>
            </w:r>
            <w:r>
              <w:rPr>
                <w:rFonts w:ascii="宋体" w:hAnsi="宋体" w:cs="宋体"/>
                <w:kern w:val="0"/>
                <w:sz w:val="20"/>
                <w:szCs w:val="20"/>
              </w:rPr>
              <w:t>4</w:t>
            </w:r>
            <w:r>
              <w:rPr>
                <w:rFonts w:ascii="宋体" w:hAnsi="宋体" w:cs="宋体"/>
                <w:kern w:val="0"/>
                <w:sz w:val="20"/>
                <w:szCs w:val="20"/>
              </w:rPr>
              <w:t>）</w:t>
            </w:r>
          </w:p>
        </w:tc>
        <w:tc>
          <w:tcPr>
            <w:tcW w:w="1815"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资产管理规范性</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严格执行资产管理制度，对资产进行规范化管理，防范资产出现损失和丢失的情况出现，无特殊情况不超标准配置资产，资产出租出借履行审批手续。资产处置按照要求履行报批、处置程序。</w:t>
            </w:r>
          </w:p>
        </w:tc>
        <w:tc>
          <w:tcPr>
            <w:tcW w:w="4830" w:type="dxa"/>
            <w:vAlign w:val="center"/>
          </w:tcPr>
          <w:p w:rsidR="00176F03" w:rsidRDefault="00872D6E">
            <w:pPr>
              <w:widowControl/>
              <w:jc w:val="left"/>
              <w:rPr>
                <w:rFonts w:ascii="宋体" w:hAnsi="宋体" w:cs="宋体"/>
                <w:spacing w:val="-10"/>
                <w:kern w:val="0"/>
                <w:sz w:val="20"/>
                <w:szCs w:val="20"/>
              </w:rPr>
            </w:pPr>
            <w:r>
              <w:rPr>
                <w:rFonts w:ascii="宋体" w:hAnsi="宋体" w:cs="宋体" w:hint="eastAsia"/>
                <w:kern w:val="0"/>
                <w:sz w:val="20"/>
                <w:szCs w:val="20"/>
              </w:rPr>
              <w:t>制订《北京市交通委员会固定资产管理暂行办法》《公路公共基础设施入账实施细则》《委机关固定资产更新工作实施方案》等制度，为维护资产安全完整、提升资产使用效率、发挥资产功能价值方面提供了良好的制度保障。</w:t>
            </w:r>
          </w:p>
        </w:tc>
        <w:tc>
          <w:tcPr>
            <w:tcW w:w="803"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4</w:t>
            </w:r>
          </w:p>
        </w:tc>
        <w:tc>
          <w:tcPr>
            <w:tcW w:w="75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4</w:t>
            </w:r>
          </w:p>
        </w:tc>
      </w:tr>
      <w:tr w:rsidR="00176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9"/>
        </w:trPr>
        <w:tc>
          <w:tcPr>
            <w:tcW w:w="1377" w:type="dxa"/>
            <w:vMerge/>
            <w:tcBorders>
              <w:left w:val="single" w:sz="4" w:space="0" w:color="auto"/>
              <w:right w:val="single" w:sz="4" w:space="0" w:color="auto"/>
            </w:tcBorders>
            <w:vAlign w:val="center"/>
          </w:tcPr>
          <w:p w:rsidR="00176F03" w:rsidRDefault="00176F03">
            <w:pPr>
              <w:widowControl/>
              <w:jc w:val="left"/>
              <w:rPr>
                <w:rFonts w:ascii="宋体" w:hAnsi="宋体" w:cs="宋体"/>
                <w:kern w:val="0"/>
                <w:sz w:val="20"/>
                <w:szCs w:val="20"/>
              </w:rPr>
            </w:pPr>
          </w:p>
        </w:tc>
        <w:tc>
          <w:tcPr>
            <w:tcW w:w="1597"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绩效管理（</w:t>
            </w:r>
            <w:r>
              <w:rPr>
                <w:rFonts w:ascii="宋体" w:hAnsi="宋体" w:cs="宋体"/>
                <w:kern w:val="0"/>
                <w:sz w:val="20"/>
                <w:szCs w:val="20"/>
              </w:rPr>
              <w:t>4</w:t>
            </w:r>
            <w:r>
              <w:rPr>
                <w:rFonts w:ascii="宋体" w:hAnsi="宋体" w:cs="宋体"/>
                <w:kern w:val="0"/>
                <w:sz w:val="20"/>
                <w:szCs w:val="20"/>
              </w:rPr>
              <w:t>）</w:t>
            </w:r>
          </w:p>
        </w:tc>
        <w:tc>
          <w:tcPr>
            <w:tcW w:w="1815"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绩效管理情况</w:t>
            </w:r>
          </w:p>
        </w:tc>
        <w:tc>
          <w:tcPr>
            <w:tcW w:w="3000" w:type="dxa"/>
            <w:vAlign w:val="center"/>
          </w:tcPr>
          <w:p w:rsidR="00176F03" w:rsidRDefault="00872D6E">
            <w:pPr>
              <w:widowControl/>
              <w:jc w:val="left"/>
              <w:rPr>
                <w:rFonts w:ascii="宋体" w:hAnsi="宋体" w:cs="宋体"/>
                <w:kern w:val="0"/>
                <w:sz w:val="20"/>
                <w:szCs w:val="20"/>
              </w:rPr>
            </w:pPr>
            <w:r>
              <w:rPr>
                <w:rFonts w:ascii="宋体" w:hAnsi="宋体" w:cs="宋体" w:hint="eastAsia"/>
                <w:kern w:val="0"/>
                <w:sz w:val="20"/>
                <w:szCs w:val="20"/>
              </w:rPr>
              <w:t>及时对绩效信息进行汇总分析理，对绩效目标偏离情况及时进行正。</w:t>
            </w:r>
          </w:p>
        </w:tc>
        <w:tc>
          <w:tcPr>
            <w:tcW w:w="4830" w:type="dxa"/>
            <w:vAlign w:val="center"/>
          </w:tcPr>
          <w:p w:rsidR="00176F03" w:rsidRDefault="00872D6E">
            <w:pPr>
              <w:widowControl/>
              <w:jc w:val="left"/>
              <w:rPr>
                <w:rFonts w:ascii="宋体" w:hAnsi="宋体" w:cs="宋体"/>
                <w:spacing w:val="-10"/>
                <w:kern w:val="0"/>
                <w:sz w:val="20"/>
                <w:szCs w:val="20"/>
              </w:rPr>
            </w:pPr>
            <w:r>
              <w:rPr>
                <w:rFonts w:ascii="宋体" w:hAnsi="宋体" w:cs="宋体" w:hint="eastAsia"/>
                <w:spacing w:val="-10"/>
                <w:kern w:val="0"/>
                <w:sz w:val="20"/>
                <w:szCs w:val="20"/>
              </w:rPr>
              <w:t>市交通委严格落实预算绩效管理主体责任，扎实推进北京市在预算绩效管理方面的各类工作要求，开展了一系列部门预算绩效管理相关工作。包括绩效目标编制、绩效运行监控、成本绩效分析、绩效评价等。</w:t>
            </w:r>
          </w:p>
        </w:tc>
        <w:tc>
          <w:tcPr>
            <w:tcW w:w="803"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4</w:t>
            </w:r>
          </w:p>
        </w:tc>
        <w:tc>
          <w:tcPr>
            <w:tcW w:w="75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4</w:t>
            </w:r>
          </w:p>
        </w:tc>
      </w:tr>
    </w:tbl>
    <w:p w:rsidR="00176F03" w:rsidRDefault="00872D6E">
      <w:r>
        <w:br w:type="page"/>
      </w:r>
    </w:p>
    <w:tbl>
      <w:tblPr>
        <w:tblW w:w="1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2984"/>
        <w:gridCol w:w="3320"/>
        <w:gridCol w:w="1872"/>
        <w:gridCol w:w="2343"/>
        <w:gridCol w:w="2190"/>
      </w:tblGrid>
      <w:tr w:rsidR="00176F03">
        <w:trPr>
          <w:trHeight w:val="1134"/>
        </w:trPr>
        <w:tc>
          <w:tcPr>
            <w:tcW w:w="1485" w:type="dxa"/>
            <w:vMerge w:val="restart"/>
            <w:vAlign w:val="center"/>
          </w:tcPr>
          <w:p w:rsidR="00176F03" w:rsidRDefault="00176F03">
            <w:pPr>
              <w:widowControl/>
              <w:jc w:val="center"/>
              <w:rPr>
                <w:rFonts w:ascii="宋体" w:hAnsi="宋体" w:cs="宋体"/>
                <w:kern w:val="0"/>
                <w:sz w:val="20"/>
                <w:szCs w:val="20"/>
              </w:rPr>
            </w:pPr>
          </w:p>
        </w:tc>
        <w:tc>
          <w:tcPr>
            <w:tcW w:w="2984"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指标</w:t>
            </w:r>
          </w:p>
        </w:tc>
        <w:tc>
          <w:tcPr>
            <w:tcW w:w="332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2023</w:t>
            </w:r>
            <w:r>
              <w:rPr>
                <w:rFonts w:ascii="宋体" w:hAnsi="宋体" w:cs="宋体"/>
                <w:kern w:val="0"/>
                <w:sz w:val="20"/>
                <w:szCs w:val="20"/>
              </w:rPr>
              <w:t>年</w:t>
            </w:r>
          </w:p>
        </w:tc>
        <w:tc>
          <w:tcPr>
            <w:tcW w:w="1872"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2024</w:t>
            </w:r>
            <w:r>
              <w:rPr>
                <w:rFonts w:ascii="宋体" w:hAnsi="宋体" w:cs="宋体"/>
                <w:kern w:val="0"/>
                <w:sz w:val="20"/>
                <w:szCs w:val="20"/>
              </w:rPr>
              <w:t>年</w:t>
            </w:r>
          </w:p>
        </w:tc>
        <w:tc>
          <w:tcPr>
            <w:tcW w:w="2343"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分值</w:t>
            </w:r>
          </w:p>
        </w:tc>
        <w:tc>
          <w:tcPr>
            <w:tcW w:w="2190" w:type="dxa"/>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得分</w:t>
            </w:r>
          </w:p>
        </w:tc>
      </w:tr>
      <w:tr w:rsidR="00176F03">
        <w:trPr>
          <w:trHeight w:val="1134"/>
        </w:trPr>
        <w:tc>
          <w:tcPr>
            <w:tcW w:w="1485" w:type="dxa"/>
            <w:vMerge/>
            <w:vAlign w:val="center"/>
          </w:tcPr>
          <w:p w:rsidR="00176F03" w:rsidRDefault="00176F03">
            <w:pPr>
              <w:widowControl/>
              <w:jc w:val="left"/>
              <w:rPr>
                <w:rFonts w:ascii="宋体" w:hAnsi="宋体" w:cs="宋体"/>
                <w:kern w:val="0"/>
                <w:sz w:val="20"/>
                <w:szCs w:val="20"/>
              </w:rPr>
            </w:pPr>
          </w:p>
        </w:tc>
        <w:tc>
          <w:tcPr>
            <w:tcW w:w="2984" w:type="dxa"/>
            <w:vMerge w:val="restart"/>
            <w:vAlign w:val="center"/>
          </w:tcPr>
          <w:p w:rsidR="00176F03" w:rsidRDefault="00872D6E">
            <w:pPr>
              <w:widowControl/>
              <w:rPr>
                <w:rFonts w:ascii="宋体" w:hAnsi="宋体" w:cs="宋体"/>
                <w:kern w:val="0"/>
                <w:sz w:val="20"/>
                <w:szCs w:val="20"/>
              </w:rPr>
            </w:pPr>
            <w:r>
              <w:rPr>
                <w:rFonts w:ascii="宋体" w:hAnsi="宋体" w:cs="宋体" w:hint="eastAsia"/>
                <w:kern w:val="0"/>
                <w:sz w:val="20"/>
                <w:szCs w:val="20"/>
              </w:rPr>
              <w:t>结转结余率（</w:t>
            </w:r>
            <w:r>
              <w:rPr>
                <w:rFonts w:ascii="宋体" w:hAnsi="宋体" w:cs="宋体"/>
                <w:kern w:val="0"/>
                <w:sz w:val="20"/>
                <w:szCs w:val="20"/>
              </w:rPr>
              <w:t>4</w:t>
            </w:r>
            <w:r>
              <w:rPr>
                <w:rFonts w:ascii="宋体" w:hAnsi="宋体" w:cs="宋体"/>
                <w:kern w:val="0"/>
                <w:sz w:val="20"/>
                <w:szCs w:val="20"/>
              </w:rPr>
              <w:t>）</w:t>
            </w:r>
          </w:p>
        </w:tc>
        <w:tc>
          <w:tcPr>
            <w:tcW w:w="3320" w:type="dxa"/>
            <w:vMerge w:val="restart"/>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1.65%</w:t>
            </w:r>
          </w:p>
        </w:tc>
        <w:tc>
          <w:tcPr>
            <w:tcW w:w="1872" w:type="dxa"/>
            <w:vMerge w:val="restart"/>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14.91%</w:t>
            </w:r>
          </w:p>
        </w:tc>
        <w:tc>
          <w:tcPr>
            <w:tcW w:w="2343" w:type="dxa"/>
            <w:vMerge w:val="restart"/>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4</w:t>
            </w:r>
          </w:p>
        </w:tc>
        <w:tc>
          <w:tcPr>
            <w:tcW w:w="2190" w:type="dxa"/>
            <w:vMerge w:val="restart"/>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0</w:t>
            </w:r>
          </w:p>
        </w:tc>
      </w:tr>
      <w:tr w:rsidR="00176F03">
        <w:trPr>
          <w:trHeight w:val="1134"/>
        </w:trPr>
        <w:tc>
          <w:tcPr>
            <w:tcW w:w="1485" w:type="dxa"/>
            <w:vMerge/>
            <w:vAlign w:val="center"/>
          </w:tcPr>
          <w:p w:rsidR="00176F03" w:rsidRDefault="00176F03">
            <w:pPr>
              <w:widowControl/>
              <w:jc w:val="left"/>
              <w:rPr>
                <w:rFonts w:ascii="宋体" w:hAnsi="宋体" w:cs="宋体"/>
                <w:kern w:val="0"/>
                <w:sz w:val="20"/>
                <w:szCs w:val="20"/>
              </w:rPr>
            </w:pPr>
          </w:p>
        </w:tc>
        <w:tc>
          <w:tcPr>
            <w:tcW w:w="2984" w:type="dxa"/>
            <w:vMerge/>
            <w:vAlign w:val="center"/>
          </w:tcPr>
          <w:p w:rsidR="00176F03" w:rsidRDefault="00176F03">
            <w:pPr>
              <w:widowControl/>
              <w:jc w:val="left"/>
              <w:rPr>
                <w:rFonts w:ascii="宋体" w:hAnsi="宋体" w:cs="宋体"/>
                <w:kern w:val="0"/>
                <w:sz w:val="20"/>
                <w:szCs w:val="20"/>
              </w:rPr>
            </w:pPr>
          </w:p>
        </w:tc>
        <w:tc>
          <w:tcPr>
            <w:tcW w:w="3320" w:type="dxa"/>
            <w:vMerge/>
            <w:vAlign w:val="center"/>
          </w:tcPr>
          <w:p w:rsidR="00176F03" w:rsidRDefault="00176F03">
            <w:pPr>
              <w:widowControl/>
              <w:jc w:val="center"/>
              <w:rPr>
                <w:rFonts w:ascii="宋体" w:hAnsi="宋体" w:cs="宋体"/>
                <w:kern w:val="0"/>
                <w:sz w:val="20"/>
                <w:szCs w:val="20"/>
              </w:rPr>
            </w:pPr>
          </w:p>
        </w:tc>
        <w:tc>
          <w:tcPr>
            <w:tcW w:w="1872" w:type="dxa"/>
            <w:vMerge/>
            <w:vAlign w:val="center"/>
          </w:tcPr>
          <w:p w:rsidR="00176F03" w:rsidRDefault="00176F03">
            <w:pPr>
              <w:widowControl/>
              <w:jc w:val="center"/>
              <w:rPr>
                <w:rFonts w:ascii="宋体" w:hAnsi="宋体" w:cs="宋体"/>
                <w:kern w:val="0"/>
                <w:sz w:val="20"/>
                <w:szCs w:val="20"/>
              </w:rPr>
            </w:pPr>
          </w:p>
        </w:tc>
        <w:tc>
          <w:tcPr>
            <w:tcW w:w="2343" w:type="dxa"/>
            <w:vMerge/>
            <w:vAlign w:val="center"/>
          </w:tcPr>
          <w:p w:rsidR="00176F03" w:rsidRDefault="00176F03">
            <w:pPr>
              <w:widowControl/>
              <w:jc w:val="left"/>
              <w:rPr>
                <w:rFonts w:ascii="宋体" w:hAnsi="宋体" w:cs="宋体"/>
                <w:kern w:val="0"/>
                <w:sz w:val="20"/>
                <w:szCs w:val="20"/>
              </w:rPr>
            </w:pPr>
          </w:p>
        </w:tc>
        <w:tc>
          <w:tcPr>
            <w:tcW w:w="2190" w:type="dxa"/>
            <w:vMerge/>
            <w:vAlign w:val="center"/>
          </w:tcPr>
          <w:p w:rsidR="00176F03" w:rsidRDefault="00176F03">
            <w:pPr>
              <w:widowControl/>
              <w:jc w:val="left"/>
              <w:rPr>
                <w:rFonts w:ascii="宋体" w:hAnsi="宋体" w:cs="宋体"/>
                <w:kern w:val="0"/>
                <w:sz w:val="20"/>
                <w:szCs w:val="20"/>
              </w:rPr>
            </w:pPr>
          </w:p>
        </w:tc>
      </w:tr>
      <w:tr w:rsidR="00176F03">
        <w:trPr>
          <w:trHeight w:val="1134"/>
        </w:trPr>
        <w:tc>
          <w:tcPr>
            <w:tcW w:w="1485" w:type="dxa"/>
            <w:vMerge/>
            <w:vAlign w:val="center"/>
          </w:tcPr>
          <w:p w:rsidR="00176F03" w:rsidRDefault="00176F03">
            <w:pPr>
              <w:widowControl/>
              <w:jc w:val="left"/>
              <w:rPr>
                <w:rFonts w:ascii="宋体" w:hAnsi="宋体" w:cs="宋体"/>
                <w:kern w:val="0"/>
                <w:sz w:val="20"/>
                <w:szCs w:val="20"/>
              </w:rPr>
            </w:pPr>
          </w:p>
        </w:tc>
        <w:tc>
          <w:tcPr>
            <w:tcW w:w="2984" w:type="dxa"/>
            <w:vAlign w:val="center"/>
          </w:tcPr>
          <w:p w:rsidR="00176F03" w:rsidRDefault="00872D6E">
            <w:pPr>
              <w:widowControl/>
              <w:rPr>
                <w:rFonts w:ascii="宋体" w:hAnsi="宋体" w:cs="宋体"/>
                <w:kern w:val="0"/>
                <w:sz w:val="20"/>
                <w:szCs w:val="20"/>
              </w:rPr>
            </w:pPr>
            <w:r>
              <w:rPr>
                <w:rFonts w:ascii="宋体" w:hAnsi="宋体" w:cs="宋体" w:hint="eastAsia"/>
                <w:kern w:val="0"/>
                <w:sz w:val="20"/>
                <w:szCs w:val="20"/>
              </w:rPr>
              <w:t>部门预决算差异率（</w:t>
            </w:r>
            <w:r>
              <w:rPr>
                <w:rFonts w:ascii="宋体" w:hAnsi="宋体" w:cs="宋体"/>
                <w:kern w:val="0"/>
                <w:sz w:val="20"/>
                <w:szCs w:val="20"/>
              </w:rPr>
              <w:t>4</w:t>
            </w:r>
            <w:r>
              <w:rPr>
                <w:rFonts w:ascii="宋体" w:hAnsi="宋体" w:cs="宋体"/>
                <w:kern w:val="0"/>
                <w:sz w:val="20"/>
                <w:szCs w:val="20"/>
              </w:rPr>
              <w:t>）</w:t>
            </w:r>
          </w:p>
        </w:tc>
        <w:tc>
          <w:tcPr>
            <w:tcW w:w="332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33.11%</w:t>
            </w:r>
          </w:p>
        </w:tc>
        <w:tc>
          <w:tcPr>
            <w:tcW w:w="1872"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48.91%</w:t>
            </w:r>
          </w:p>
        </w:tc>
        <w:tc>
          <w:tcPr>
            <w:tcW w:w="2343"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4</w:t>
            </w:r>
          </w:p>
        </w:tc>
        <w:tc>
          <w:tcPr>
            <w:tcW w:w="219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3.2</w:t>
            </w:r>
          </w:p>
        </w:tc>
      </w:tr>
      <w:tr w:rsidR="00176F03">
        <w:trPr>
          <w:trHeight w:val="1134"/>
        </w:trPr>
        <w:tc>
          <w:tcPr>
            <w:tcW w:w="9661" w:type="dxa"/>
            <w:gridSpan w:val="4"/>
            <w:vAlign w:val="center"/>
          </w:tcPr>
          <w:p w:rsidR="00176F03" w:rsidRDefault="00872D6E">
            <w:pPr>
              <w:widowControl/>
              <w:jc w:val="center"/>
              <w:rPr>
                <w:rFonts w:ascii="宋体" w:hAnsi="宋体" w:cs="宋体"/>
                <w:kern w:val="0"/>
                <w:sz w:val="20"/>
                <w:szCs w:val="20"/>
              </w:rPr>
            </w:pPr>
            <w:r>
              <w:rPr>
                <w:rFonts w:ascii="宋体" w:hAnsi="宋体" w:cs="宋体" w:hint="eastAsia"/>
                <w:kern w:val="0"/>
                <w:sz w:val="20"/>
                <w:szCs w:val="20"/>
              </w:rPr>
              <w:t>合计</w:t>
            </w:r>
          </w:p>
        </w:tc>
        <w:tc>
          <w:tcPr>
            <w:tcW w:w="2343"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100</w:t>
            </w:r>
          </w:p>
        </w:tc>
        <w:tc>
          <w:tcPr>
            <w:tcW w:w="2190" w:type="dxa"/>
            <w:vAlign w:val="center"/>
          </w:tcPr>
          <w:p w:rsidR="00176F03" w:rsidRDefault="00872D6E">
            <w:pPr>
              <w:widowControl/>
              <w:jc w:val="center"/>
              <w:rPr>
                <w:rFonts w:ascii="宋体" w:hAnsi="宋体" w:cs="宋体"/>
                <w:kern w:val="0"/>
                <w:sz w:val="20"/>
                <w:szCs w:val="20"/>
              </w:rPr>
            </w:pPr>
            <w:r>
              <w:rPr>
                <w:rFonts w:ascii="宋体" w:hAnsi="宋体" w:cs="宋体"/>
                <w:kern w:val="0"/>
                <w:sz w:val="20"/>
                <w:szCs w:val="20"/>
              </w:rPr>
              <w:t xml:space="preserve"> 91.76</w:t>
            </w:r>
            <w:r>
              <w:rPr>
                <w:rFonts w:ascii="宋体" w:hAnsi="宋体" w:cs="宋体" w:hint="eastAsia"/>
                <w:kern w:val="0"/>
                <w:sz w:val="20"/>
                <w:szCs w:val="20"/>
              </w:rPr>
              <w:t xml:space="preserve"> </w:t>
            </w:r>
          </w:p>
        </w:tc>
      </w:tr>
    </w:tbl>
    <w:p w:rsidR="00176F03" w:rsidRDefault="00176F03">
      <w:pPr>
        <w:spacing w:line="560" w:lineRule="exact"/>
        <w:rPr>
          <w:rFonts w:ascii="仿宋" w:eastAsia="仿宋" w:hAnsi="仿宋" w:cs="仿宋_GB2312"/>
          <w:sz w:val="32"/>
          <w:szCs w:val="32"/>
        </w:rPr>
      </w:pPr>
    </w:p>
    <w:sectPr w:rsidR="00176F03">
      <w:footerReference w:type="default" r:id="rId14"/>
      <w:pgSz w:w="16838" w:h="11906" w:orient="landscape"/>
      <w:pgMar w:top="1797" w:right="1440" w:bottom="1797" w:left="1440" w:header="851" w:footer="964"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6E" w:rsidRDefault="00872D6E">
      <w:r>
        <w:separator/>
      </w:r>
    </w:p>
  </w:endnote>
  <w:endnote w:type="continuationSeparator" w:id="0">
    <w:p w:rsidR="00872D6E" w:rsidRDefault="0087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03" w:rsidRDefault="00872D6E">
    <w:pPr>
      <w:pStyle w:val="a7"/>
      <w:framePr w:wrap="around" w:vAnchor="text" w:hAnchor="margin" w:xAlign="center" w:y="1"/>
      <w:rPr>
        <w:rStyle w:val="ac"/>
      </w:rPr>
    </w:pPr>
    <w:r>
      <w:fldChar w:fldCharType="begin"/>
    </w:r>
    <w:r>
      <w:rPr>
        <w:rStyle w:val="ac"/>
      </w:rPr>
      <w:instrText xml:space="preserve">PAGE  </w:instrText>
    </w:r>
    <w:r>
      <w:fldChar w:fldCharType="end"/>
    </w:r>
  </w:p>
  <w:p w:rsidR="00176F03" w:rsidRDefault="00176F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03" w:rsidRDefault="00176F03">
    <w:pPr>
      <w:pStyle w:val="a7"/>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03" w:rsidRDefault="00872D6E">
    <w:pPr>
      <w:pStyle w:val="a7"/>
    </w:pPr>
    <w:r>
      <w:fldChar w:fldCharType="begin"/>
    </w:r>
    <w:r>
      <w:instrText xml:space="preserve"> PAGE   \* MERGEFORMAT </w:instrText>
    </w:r>
    <w:r>
      <w:fldChar w:fldCharType="separate"/>
    </w:r>
    <w:r>
      <w:rPr>
        <w:lang w:val="zh-CN"/>
      </w:rPr>
      <w:t>1</w:t>
    </w:r>
    <w:r>
      <w:fldChar w:fldCharType="end"/>
    </w:r>
  </w:p>
  <w:p w:rsidR="00176F03" w:rsidRDefault="00176F0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03" w:rsidRDefault="00872D6E">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2604770</wp:posOffset>
              </wp:positionH>
              <wp:positionV relativeFrom="paragraph">
                <wp:posOffset>-1270</wp:posOffset>
              </wp:positionV>
              <wp:extent cx="585470" cy="285750"/>
              <wp:effectExtent l="0" t="0" r="5080" b="0"/>
              <wp:wrapNone/>
              <wp:docPr id="4" name="文本框 4"/>
              <wp:cNvGraphicFramePr/>
              <a:graphic xmlns:a="http://schemas.openxmlformats.org/drawingml/2006/main">
                <a:graphicData uri="http://schemas.microsoft.com/office/word/2010/wordprocessingShape">
                  <wps:wsp>
                    <wps:cNvSpPr txBox="1"/>
                    <wps:spPr>
                      <a:xfrm>
                        <a:off x="0" y="0"/>
                        <a:ext cx="585787" cy="285750"/>
                      </a:xfrm>
                      <a:prstGeom prst="rect">
                        <a:avLst/>
                      </a:prstGeom>
                      <a:noFill/>
                      <a:ln w="6350">
                        <a:noFill/>
                      </a:ln>
                      <a:effectLst/>
                    </wps:spPr>
                    <wps:txbx>
                      <w:txbxContent>
                        <w:p w:rsidR="00176F03" w:rsidRDefault="00872D6E">
                          <w:pPr>
                            <w:pStyle w:val="a7"/>
                            <w:jc w:val="center"/>
                          </w:pPr>
                          <w:r>
                            <w:fldChar w:fldCharType="begin"/>
                          </w:r>
                          <w:r>
                            <w:instrText xml:space="preserve"> PAGE  \* MERGEFORMAT </w:instrText>
                          </w:r>
                          <w:r>
                            <w:fldChar w:fldCharType="separate"/>
                          </w:r>
                          <w:r w:rsidR="00FE6098">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05.1pt;margin-top:-.1pt;width:46.1pt;height:2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" filled="f" stroked="f" strokeweight=".5pt">
              <v:textbox inset="0,0,0,0">
                <w:txbxContent>
                  <w:p w:rsidR="00176F03" w:rsidRDefault="00872D6E">
                    <w:pPr>
                      <w:pStyle w:val="a7"/>
                      <w:jc w:val="center"/>
                    </w:pPr>
                    <w:r>
                      <w:fldChar w:fldCharType="begin"/>
                    </w:r>
                    <w:r>
                      <w:instrText xml:space="preserve"> PAGE  \* MERGEFORMAT </w:instrText>
                    </w:r>
                    <w:r>
                      <w:fldChar w:fldCharType="separate"/>
                    </w:r>
                    <w:r w:rsidR="00FE6098">
                      <w:rPr>
                        <w:noProof/>
                      </w:rPr>
                      <w:t>1</w:t>
                    </w:r>
                    <w:r>
                      <w:fldChar w:fldCharType="end"/>
                    </w:r>
                  </w:p>
                </w:txbxContent>
              </v:textbox>
              <w10:wrap anchorx="margin"/>
            </v:shape>
          </w:pict>
        </mc:Fallback>
      </mc:AlternateContent>
    </w:r>
  </w:p>
  <w:p w:rsidR="00176F03" w:rsidRDefault="00176F03">
    <w:pPr>
      <w:pStyle w:val="a7"/>
      <w:tabs>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03" w:rsidRDefault="00872D6E">
    <w:pPr>
      <w:pStyle w:val="a7"/>
      <w:jc w:val="center"/>
    </w:pPr>
    <w:r>
      <w:rPr>
        <w:noProof/>
      </w:rPr>
      <mc:AlternateContent>
        <mc:Choice Requires="wps">
          <w:drawing>
            <wp:anchor distT="0" distB="0" distL="114300" distR="114300" simplePos="0" relativeHeight="251660288" behindDoc="0" locked="0" layoutInCell="1" allowOverlap="1">
              <wp:simplePos x="0" y="0"/>
              <wp:positionH relativeFrom="margin">
                <wp:posOffset>4138295</wp:posOffset>
              </wp:positionH>
              <wp:positionV relativeFrom="paragraph">
                <wp:posOffset>8255</wp:posOffset>
              </wp:positionV>
              <wp:extent cx="585470" cy="285750"/>
              <wp:effectExtent l="0" t="0" r="5080" b="0"/>
              <wp:wrapNone/>
              <wp:docPr id="1646166563" name="文本框 1646166563"/>
              <wp:cNvGraphicFramePr/>
              <a:graphic xmlns:a="http://schemas.openxmlformats.org/drawingml/2006/main">
                <a:graphicData uri="http://schemas.microsoft.com/office/word/2010/wordprocessingShape">
                  <wps:wsp>
                    <wps:cNvSpPr txBox="1"/>
                    <wps:spPr>
                      <a:xfrm>
                        <a:off x="0" y="0"/>
                        <a:ext cx="585787" cy="285750"/>
                      </a:xfrm>
                      <a:prstGeom prst="rect">
                        <a:avLst/>
                      </a:prstGeom>
                      <a:noFill/>
                      <a:ln w="6350">
                        <a:noFill/>
                      </a:ln>
                      <a:effectLst/>
                    </wps:spPr>
                    <wps:txbx>
                      <w:txbxContent>
                        <w:p w:rsidR="00176F03" w:rsidRDefault="00872D6E">
                          <w:pPr>
                            <w:pStyle w:val="a7"/>
                            <w:jc w:val="center"/>
                          </w:pPr>
                          <w:r>
                            <w:fldChar w:fldCharType="begin"/>
                          </w:r>
                          <w:r>
                            <w:instrText xml:space="preserve"> PAGE  \* MERGEFORMAT </w:instrText>
                          </w:r>
                          <w:r>
                            <w:fldChar w:fldCharType="separate"/>
                          </w:r>
                          <w:r w:rsidR="00FE6098">
                            <w:rPr>
                              <w:noProof/>
                            </w:rPr>
                            <w:t>26</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646166563" o:spid="_x0000_s1027" type="#_x0000_t202" style="position:absolute;left:0;text-align:left;margin-left:325.85pt;margin-top:.65pt;width:46.1pt;height:22.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" filled="f" stroked="f" strokeweight=".5pt">
              <v:textbox inset="0,0,0,0">
                <w:txbxContent>
                  <w:p w:rsidR="00176F03" w:rsidRDefault="00872D6E">
                    <w:pPr>
                      <w:pStyle w:val="a7"/>
                      <w:jc w:val="center"/>
                    </w:pPr>
                    <w:r>
                      <w:fldChar w:fldCharType="begin"/>
                    </w:r>
                    <w:r>
                      <w:instrText xml:space="preserve"> PAGE  \* MERGEFORMAT </w:instrText>
                    </w:r>
                    <w:r>
                      <w:fldChar w:fldCharType="separate"/>
                    </w:r>
                    <w:r w:rsidR="00FE6098">
                      <w:rPr>
                        <w:noProof/>
                      </w:rPr>
                      <w:t>26</w:t>
                    </w:r>
                    <w:r>
                      <w:fldChar w:fldCharType="end"/>
                    </w:r>
                  </w:p>
                </w:txbxContent>
              </v:textbox>
              <w10:wrap anchorx="margin"/>
            </v:shape>
          </w:pict>
        </mc:Fallback>
      </mc:AlternateContent>
    </w:r>
  </w:p>
  <w:p w:rsidR="00176F03" w:rsidRDefault="00176F03">
    <w:pPr>
      <w:pStyle w:val="a7"/>
      <w:tabs>
        <w:tab w:val="clear"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6E" w:rsidRDefault="00872D6E">
      <w:r>
        <w:separator/>
      </w:r>
    </w:p>
  </w:footnote>
  <w:footnote w:type="continuationSeparator" w:id="0">
    <w:p w:rsidR="00872D6E" w:rsidRDefault="00872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03" w:rsidRDefault="00176F03">
    <w:pPr>
      <w:pStyle w:val="a8"/>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立">
    <w15:presenceInfo w15:providerId="WPS Office" w15:userId="7612281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trackRevisions/>
  <w:defaultTabStop w:val="420"/>
  <w:drawingGridHorizontalSpacing w:val="105"/>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NGM3NDI2NGJmYmIwNjIzYTc3OWI5OGViNzAxY2IifQ=="/>
  </w:docVars>
  <w:rsids>
    <w:rsidRoot w:val="009E3C63"/>
    <w:rsid w:val="00001843"/>
    <w:rsid w:val="00005E27"/>
    <w:rsid w:val="000071A3"/>
    <w:rsid w:val="00012F2A"/>
    <w:rsid w:val="000138DF"/>
    <w:rsid w:val="00015C30"/>
    <w:rsid w:val="00016732"/>
    <w:rsid w:val="000200FB"/>
    <w:rsid w:val="00022DED"/>
    <w:rsid w:val="000232CE"/>
    <w:rsid w:val="00024DCE"/>
    <w:rsid w:val="000254B3"/>
    <w:rsid w:val="00026C1B"/>
    <w:rsid w:val="00026C6E"/>
    <w:rsid w:val="00027A41"/>
    <w:rsid w:val="00031671"/>
    <w:rsid w:val="000329F0"/>
    <w:rsid w:val="00033552"/>
    <w:rsid w:val="00033F52"/>
    <w:rsid w:val="00034BA6"/>
    <w:rsid w:val="00034E36"/>
    <w:rsid w:val="00034FBF"/>
    <w:rsid w:val="00035338"/>
    <w:rsid w:val="000400A0"/>
    <w:rsid w:val="00040737"/>
    <w:rsid w:val="00040E84"/>
    <w:rsid w:val="00041A97"/>
    <w:rsid w:val="000421D5"/>
    <w:rsid w:val="00042713"/>
    <w:rsid w:val="00045581"/>
    <w:rsid w:val="00045E54"/>
    <w:rsid w:val="00045EF3"/>
    <w:rsid w:val="000471B3"/>
    <w:rsid w:val="000512FF"/>
    <w:rsid w:val="00052689"/>
    <w:rsid w:val="00052B84"/>
    <w:rsid w:val="00053082"/>
    <w:rsid w:val="00057021"/>
    <w:rsid w:val="00057270"/>
    <w:rsid w:val="00057701"/>
    <w:rsid w:val="000616C2"/>
    <w:rsid w:val="00064599"/>
    <w:rsid w:val="00065501"/>
    <w:rsid w:val="000659D5"/>
    <w:rsid w:val="000671DD"/>
    <w:rsid w:val="00067F4A"/>
    <w:rsid w:val="00072DA0"/>
    <w:rsid w:val="00072E9B"/>
    <w:rsid w:val="000743DD"/>
    <w:rsid w:val="000759A4"/>
    <w:rsid w:val="00075FA3"/>
    <w:rsid w:val="000824B8"/>
    <w:rsid w:val="000849EA"/>
    <w:rsid w:val="00084B65"/>
    <w:rsid w:val="00090478"/>
    <w:rsid w:val="00090849"/>
    <w:rsid w:val="000908D9"/>
    <w:rsid w:val="00091D3F"/>
    <w:rsid w:val="000928C2"/>
    <w:rsid w:val="000929A6"/>
    <w:rsid w:val="000934B2"/>
    <w:rsid w:val="00093C26"/>
    <w:rsid w:val="000975B5"/>
    <w:rsid w:val="00097803"/>
    <w:rsid w:val="000A0F54"/>
    <w:rsid w:val="000A141F"/>
    <w:rsid w:val="000A17E2"/>
    <w:rsid w:val="000A1EF9"/>
    <w:rsid w:val="000A447D"/>
    <w:rsid w:val="000A482E"/>
    <w:rsid w:val="000A56F2"/>
    <w:rsid w:val="000A71FC"/>
    <w:rsid w:val="000A7628"/>
    <w:rsid w:val="000A7B1A"/>
    <w:rsid w:val="000B3A11"/>
    <w:rsid w:val="000B3DE8"/>
    <w:rsid w:val="000B521A"/>
    <w:rsid w:val="000B54C3"/>
    <w:rsid w:val="000B7529"/>
    <w:rsid w:val="000C0C34"/>
    <w:rsid w:val="000C1DBA"/>
    <w:rsid w:val="000C211F"/>
    <w:rsid w:val="000C3C10"/>
    <w:rsid w:val="000D090A"/>
    <w:rsid w:val="000D1276"/>
    <w:rsid w:val="000D2E57"/>
    <w:rsid w:val="000D34B3"/>
    <w:rsid w:val="000D3DEF"/>
    <w:rsid w:val="000D4D7B"/>
    <w:rsid w:val="000D5293"/>
    <w:rsid w:val="000D64C7"/>
    <w:rsid w:val="000E088B"/>
    <w:rsid w:val="000E2B43"/>
    <w:rsid w:val="000E52C4"/>
    <w:rsid w:val="000E7DBB"/>
    <w:rsid w:val="000F04F9"/>
    <w:rsid w:val="000F2495"/>
    <w:rsid w:val="000F342E"/>
    <w:rsid w:val="000F3813"/>
    <w:rsid w:val="000F476E"/>
    <w:rsid w:val="000F70DC"/>
    <w:rsid w:val="000F71D5"/>
    <w:rsid w:val="001031EF"/>
    <w:rsid w:val="00104094"/>
    <w:rsid w:val="00104473"/>
    <w:rsid w:val="001049AD"/>
    <w:rsid w:val="00104F7F"/>
    <w:rsid w:val="00105E30"/>
    <w:rsid w:val="001073DC"/>
    <w:rsid w:val="00110AD7"/>
    <w:rsid w:val="00111B62"/>
    <w:rsid w:val="00113144"/>
    <w:rsid w:val="0011510A"/>
    <w:rsid w:val="001156AF"/>
    <w:rsid w:val="00116332"/>
    <w:rsid w:val="001200F7"/>
    <w:rsid w:val="0012155A"/>
    <w:rsid w:val="001258D5"/>
    <w:rsid w:val="00130258"/>
    <w:rsid w:val="0013696D"/>
    <w:rsid w:val="001416A6"/>
    <w:rsid w:val="001417E6"/>
    <w:rsid w:val="00143112"/>
    <w:rsid w:val="00144FCB"/>
    <w:rsid w:val="001459B7"/>
    <w:rsid w:val="00150A58"/>
    <w:rsid w:val="00150C93"/>
    <w:rsid w:val="001520EE"/>
    <w:rsid w:val="001537DF"/>
    <w:rsid w:val="001538B1"/>
    <w:rsid w:val="00153DE0"/>
    <w:rsid w:val="001543AE"/>
    <w:rsid w:val="00157B20"/>
    <w:rsid w:val="00160BA3"/>
    <w:rsid w:val="00161B8D"/>
    <w:rsid w:val="001633A2"/>
    <w:rsid w:val="00164B2B"/>
    <w:rsid w:val="00167B6D"/>
    <w:rsid w:val="00170366"/>
    <w:rsid w:val="00170F48"/>
    <w:rsid w:val="00174CAE"/>
    <w:rsid w:val="00174E35"/>
    <w:rsid w:val="0017624C"/>
    <w:rsid w:val="00176F03"/>
    <w:rsid w:val="00182ABF"/>
    <w:rsid w:val="0018441C"/>
    <w:rsid w:val="00185189"/>
    <w:rsid w:val="00190F68"/>
    <w:rsid w:val="00192AF1"/>
    <w:rsid w:val="001947A8"/>
    <w:rsid w:val="00194F57"/>
    <w:rsid w:val="0019681B"/>
    <w:rsid w:val="001A0ACB"/>
    <w:rsid w:val="001A10DB"/>
    <w:rsid w:val="001A1E0B"/>
    <w:rsid w:val="001A31DE"/>
    <w:rsid w:val="001A49DC"/>
    <w:rsid w:val="001A6242"/>
    <w:rsid w:val="001A6609"/>
    <w:rsid w:val="001A6E4B"/>
    <w:rsid w:val="001B3B05"/>
    <w:rsid w:val="001B4015"/>
    <w:rsid w:val="001B569C"/>
    <w:rsid w:val="001B6551"/>
    <w:rsid w:val="001B6E7E"/>
    <w:rsid w:val="001B7C71"/>
    <w:rsid w:val="001C0594"/>
    <w:rsid w:val="001C059A"/>
    <w:rsid w:val="001C0955"/>
    <w:rsid w:val="001C3BB1"/>
    <w:rsid w:val="001C5409"/>
    <w:rsid w:val="001C5CAA"/>
    <w:rsid w:val="001C61B0"/>
    <w:rsid w:val="001C6FC4"/>
    <w:rsid w:val="001C7B59"/>
    <w:rsid w:val="001C7CB7"/>
    <w:rsid w:val="001D1A9F"/>
    <w:rsid w:val="001D1B7E"/>
    <w:rsid w:val="001D30C8"/>
    <w:rsid w:val="001D382C"/>
    <w:rsid w:val="001D68F7"/>
    <w:rsid w:val="001E088D"/>
    <w:rsid w:val="001E30C8"/>
    <w:rsid w:val="001E3158"/>
    <w:rsid w:val="001E332E"/>
    <w:rsid w:val="001E3AB2"/>
    <w:rsid w:val="001E3B5B"/>
    <w:rsid w:val="001E3E1C"/>
    <w:rsid w:val="001E563F"/>
    <w:rsid w:val="001E68AC"/>
    <w:rsid w:val="001E7C42"/>
    <w:rsid w:val="001F2789"/>
    <w:rsid w:val="001F4A0E"/>
    <w:rsid w:val="001F6ACF"/>
    <w:rsid w:val="00207607"/>
    <w:rsid w:val="00212DD2"/>
    <w:rsid w:val="002171D9"/>
    <w:rsid w:val="00223E52"/>
    <w:rsid w:val="0022578E"/>
    <w:rsid w:val="00227590"/>
    <w:rsid w:val="00230E0E"/>
    <w:rsid w:val="00231CED"/>
    <w:rsid w:val="002324BB"/>
    <w:rsid w:val="00232A2E"/>
    <w:rsid w:val="0023396D"/>
    <w:rsid w:val="00234D6C"/>
    <w:rsid w:val="002365C1"/>
    <w:rsid w:val="00240688"/>
    <w:rsid w:val="0024109A"/>
    <w:rsid w:val="002439A0"/>
    <w:rsid w:val="00246014"/>
    <w:rsid w:val="00246438"/>
    <w:rsid w:val="00246B92"/>
    <w:rsid w:val="00247003"/>
    <w:rsid w:val="00250922"/>
    <w:rsid w:val="00252AC3"/>
    <w:rsid w:val="00253EE9"/>
    <w:rsid w:val="002568C1"/>
    <w:rsid w:val="0025787B"/>
    <w:rsid w:val="00257D22"/>
    <w:rsid w:val="002614EE"/>
    <w:rsid w:val="00261579"/>
    <w:rsid w:val="00262E0F"/>
    <w:rsid w:val="002654DE"/>
    <w:rsid w:val="002658E8"/>
    <w:rsid w:val="002658FD"/>
    <w:rsid w:val="00266A8B"/>
    <w:rsid w:val="0026703B"/>
    <w:rsid w:val="00267332"/>
    <w:rsid w:val="00267817"/>
    <w:rsid w:val="00267CB6"/>
    <w:rsid w:val="002709D3"/>
    <w:rsid w:val="00270C54"/>
    <w:rsid w:val="002714C5"/>
    <w:rsid w:val="00283366"/>
    <w:rsid w:val="00284907"/>
    <w:rsid w:val="00286BDE"/>
    <w:rsid w:val="00287584"/>
    <w:rsid w:val="00290185"/>
    <w:rsid w:val="00292412"/>
    <w:rsid w:val="0029410A"/>
    <w:rsid w:val="00294197"/>
    <w:rsid w:val="0029773A"/>
    <w:rsid w:val="00297B65"/>
    <w:rsid w:val="002A09CF"/>
    <w:rsid w:val="002A139A"/>
    <w:rsid w:val="002A2E4B"/>
    <w:rsid w:val="002A44DA"/>
    <w:rsid w:val="002A6E1F"/>
    <w:rsid w:val="002A6FDD"/>
    <w:rsid w:val="002A7E96"/>
    <w:rsid w:val="002B0CFE"/>
    <w:rsid w:val="002B157C"/>
    <w:rsid w:val="002B1AE0"/>
    <w:rsid w:val="002B2937"/>
    <w:rsid w:val="002B2BA6"/>
    <w:rsid w:val="002B3208"/>
    <w:rsid w:val="002B3BD3"/>
    <w:rsid w:val="002B3EB3"/>
    <w:rsid w:val="002B6377"/>
    <w:rsid w:val="002B70BC"/>
    <w:rsid w:val="002C04F5"/>
    <w:rsid w:val="002C2144"/>
    <w:rsid w:val="002C3105"/>
    <w:rsid w:val="002C321C"/>
    <w:rsid w:val="002C3576"/>
    <w:rsid w:val="002C366B"/>
    <w:rsid w:val="002C45B2"/>
    <w:rsid w:val="002C775B"/>
    <w:rsid w:val="002D040A"/>
    <w:rsid w:val="002D1748"/>
    <w:rsid w:val="002D2085"/>
    <w:rsid w:val="002D283C"/>
    <w:rsid w:val="002D3FA8"/>
    <w:rsid w:val="002D502B"/>
    <w:rsid w:val="002D5616"/>
    <w:rsid w:val="002D727E"/>
    <w:rsid w:val="002E0E5E"/>
    <w:rsid w:val="002E174D"/>
    <w:rsid w:val="002E17C6"/>
    <w:rsid w:val="002E1BD1"/>
    <w:rsid w:val="002E1D6E"/>
    <w:rsid w:val="002E3890"/>
    <w:rsid w:val="002E4B42"/>
    <w:rsid w:val="002E7417"/>
    <w:rsid w:val="002F1558"/>
    <w:rsid w:val="002F1A34"/>
    <w:rsid w:val="002F26BB"/>
    <w:rsid w:val="002F3451"/>
    <w:rsid w:val="002F60A7"/>
    <w:rsid w:val="002F6945"/>
    <w:rsid w:val="002F6ACC"/>
    <w:rsid w:val="002F7A6E"/>
    <w:rsid w:val="003019F9"/>
    <w:rsid w:val="00303AA1"/>
    <w:rsid w:val="003042D9"/>
    <w:rsid w:val="00306504"/>
    <w:rsid w:val="003139BB"/>
    <w:rsid w:val="00314640"/>
    <w:rsid w:val="00315F0E"/>
    <w:rsid w:val="00320FA5"/>
    <w:rsid w:val="0032296B"/>
    <w:rsid w:val="003236DD"/>
    <w:rsid w:val="0033047A"/>
    <w:rsid w:val="0033297E"/>
    <w:rsid w:val="003407B0"/>
    <w:rsid w:val="003413B3"/>
    <w:rsid w:val="00342133"/>
    <w:rsid w:val="003430A6"/>
    <w:rsid w:val="00344F9B"/>
    <w:rsid w:val="00347498"/>
    <w:rsid w:val="00350374"/>
    <w:rsid w:val="00350972"/>
    <w:rsid w:val="00350F4F"/>
    <w:rsid w:val="00352C87"/>
    <w:rsid w:val="0035426B"/>
    <w:rsid w:val="00354BA1"/>
    <w:rsid w:val="00357257"/>
    <w:rsid w:val="0036212B"/>
    <w:rsid w:val="0036274C"/>
    <w:rsid w:val="00364C4C"/>
    <w:rsid w:val="00365A05"/>
    <w:rsid w:val="00367862"/>
    <w:rsid w:val="00370109"/>
    <w:rsid w:val="00370ADD"/>
    <w:rsid w:val="003713E8"/>
    <w:rsid w:val="0038100F"/>
    <w:rsid w:val="003828D8"/>
    <w:rsid w:val="00383092"/>
    <w:rsid w:val="00385F67"/>
    <w:rsid w:val="00386A9A"/>
    <w:rsid w:val="00387B8E"/>
    <w:rsid w:val="0039007A"/>
    <w:rsid w:val="00393EA2"/>
    <w:rsid w:val="00394AEC"/>
    <w:rsid w:val="00394EEB"/>
    <w:rsid w:val="00395A8C"/>
    <w:rsid w:val="00396E16"/>
    <w:rsid w:val="0039743F"/>
    <w:rsid w:val="003A1874"/>
    <w:rsid w:val="003A72BF"/>
    <w:rsid w:val="003B2917"/>
    <w:rsid w:val="003B60AF"/>
    <w:rsid w:val="003B7E01"/>
    <w:rsid w:val="003C0E72"/>
    <w:rsid w:val="003C2933"/>
    <w:rsid w:val="003C475D"/>
    <w:rsid w:val="003C552B"/>
    <w:rsid w:val="003C6EF0"/>
    <w:rsid w:val="003C6F43"/>
    <w:rsid w:val="003C79AB"/>
    <w:rsid w:val="003D2083"/>
    <w:rsid w:val="003D2A29"/>
    <w:rsid w:val="003D4CC5"/>
    <w:rsid w:val="003D4E1C"/>
    <w:rsid w:val="003D592C"/>
    <w:rsid w:val="003D6FAE"/>
    <w:rsid w:val="003E4266"/>
    <w:rsid w:val="003E6438"/>
    <w:rsid w:val="003F1D75"/>
    <w:rsid w:val="003F2036"/>
    <w:rsid w:val="003F3197"/>
    <w:rsid w:val="003F43E7"/>
    <w:rsid w:val="003F478E"/>
    <w:rsid w:val="003F5714"/>
    <w:rsid w:val="004034C5"/>
    <w:rsid w:val="00403663"/>
    <w:rsid w:val="0040419F"/>
    <w:rsid w:val="004056F6"/>
    <w:rsid w:val="004101CB"/>
    <w:rsid w:val="00412452"/>
    <w:rsid w:val="00414ADD"/>
    <w:rsid w:val="00415FF5"/>
    <w:rsid w:val="00416E12"/>
    <w:rsid w:val="00417AF6"/>
    <w:rsid w:val="00417E03"/>
    <w:rsid w:val="00422651"/>
    <w:rsid w:val="0042295C"/>
    <w:rsid w:val="00422A92"/>
    <w:rsid w:val="00423123"/>
    <w:rsid w:val="004245A7"/>
    <w:rsid w:val="0042481C"/>
    <w:rsid w:val="00425DAD"/>
    <w:rsid w:val="00433EAA"/>
    <w:rsid w:val="00434B4B"/>
    <w:rsid w:val="004353D9"/>
    <w:rsid w:val="00435B32"/>
    <w:rsid w:val="00436461"/>
    <w:rsid w:val="00436E1D"/>
    <w:rsid w:val="00437DC7"/>
    <w:rsid w:val="00440ED0"/>
    <w:rsid w:val="00445210"/>
    <w:rsid w:val="00445400"/>
    <w:rsid w:val="00445DF8"/>
    <w:rsid w:val="00446FA9"/>
    <w:rsid w:val="004509DC"/>
    <w:rsid w:val="004513D9"/>
    <w:rsid w:val="004521D6"/>
    <w:rsid w:val="00453965"/>
    <w:rsid w:val="00455F6F"/>
    <w:rsid w:val="00456082"/>
    <w:rsid w:val="00457658"/>
    <w:rsid w:val="00457ED9"/>
    <w:rsid w:val="004612DA"/>
    <w:rsid w:val="00462E50"/>
    <w:rsid w:val="004634EE"/>
    <w:rsid w:val="0046414B"/>
    <w:rsid w:val="00465D58"/>
    <w:rsid w:val="00465DBD"/>
    <w:rsid w:val="00466AC1"/>
    <w:rsid w:val="0046787E"/>
    <w:rsid w:val="00467EDF"/>
    <w:rsid w:val="00470546"/>
    <w:rsid w:val="00473786"/>
    <w:rsid w:val="004754FB"/>
    <w:rsid w:val="00475F8E"/>
    <w:rsid w:val="004760DA"/>
    <w:rsid w:val="00477320"/>
    <w:rsid w:val="00481DAD"/>
    <w:rsid w:val="0048692F"/>
    <w:rsid w:val="00490657"/>
    <w:rsid w:val="00491FB5"/>
    <w:rsid w:val="00494636"/>
    <w:rsid w:val="00495790"/>
    <w:rsid w:val="00496937"/>
    <w:rsid w:val="004A1579"/>
    <w:rsid w:val="004A30BB"/>
    <w:rsid w:val="004A4506"/>
    <w:rsid w:val="004A59DA"/>
    <w:rsid w:val="004A5E9E"/>
    <w:rsid w:val="004A727A"/>
    <w:rsid w:val="004B018B"/>
    <w:rsid w:val="004B0F27"/>
    <w:rsid w:val="004B18C3"/>
    <w:rsid w:val="004B522C"/>
    <w:rsid w:val="004B72FD"/>
    <w:rsid w:val="004B745D"/>
    <w:rsid w:val="004B7CA4"/>
    <w:rsid w:val="004C0779"/>
    <w:rsid w:val="004C34CE"/>
    <w:rsid w:val="004C5681"/>
    <w:rsid w:val="004D3B80"/>
    <w:rsid w:val="004D547E"/>
    <w:rsid w:val="004D55CE"/>
    <w:rsid w:val="004D68B3"/>
    <w:rsid w:val="004D7224"/>
    <w:rsid w:val="004D7A44"/>
    <w:rsid w:val="004E0C40"/>
    <w:rsid w:val="004E23D3"/>
    <w:rsid w:val="004E3311"/>
    <w:rsid w:val="004E43E5"/>
    <w:rsid w:val="004E4C09"/>
    <w:rsid w:val="004E4EA6"/>
    <w:rsid w:val="004F0B77"/>
    <w:rsid w:val="004F3FD5"/>
    <w:rsid w:val="004F44D5"/>
    <w:rsid w:val="004F68F0"/>
    <w:rsid w:val="004F6936"/>
    <w:rsid w:val="004F72AF"/>
    <w:rsid w:val="004F7F85"/>
    <w:rsid w:val="00500A94"/>
    <w:rsid w:val="0050145E"/>
    <w:rsid w:val="005047E7"/>
    <w:rsid w:val="00510209"/>
    <w:rsid w:val="005131B5"/>
    <w:rsid w:val="00514614"/>
    <w:rsid w:val="00514824"/>
    <w:rsid w:val="005155CB"/>
    <w:rsid w:val="0051616F"/>
    <w:rsid w:val="005169C2"/>
    <w:rsid w:val="005175B1"/>
    <w:rsid w:val="005204EF"/>
    <w:rsid w:val="00521D52"/>
    <w:rsid w:val="00526633"/>
    <w:rsid w:val="0053252E"/>
    <w:rsid w:val="00536131"/>
    <w:rsid w:val="00537C14"/>
    <w:rsid w:val="0054117F"/>
    <w:rsid w:val="005426BC"/>
    <w:rsid w:val="00542914"/>
    <w:rsid w:val="0054492C"/>
    <w:rsid w:val="00546C35"/>
    <w:rsid w:val="0055039E"/>
    <w:rsid w:val="00550B5C"/>
    <w:rsid w:val="005515DD"/>
    <w:rsid w:val="00552651"/>
    <w:rsid w:val="00553656"/>
    <w:rsid w:val="00554E15"/>
    <w:rsid w:val="005564DD"/>
    <w:rsid w:val="005566CA"/>
    <w:rsid w:val="00556B75"/>
    <w:rsid w:val="0056092D"/>
    <w:rsid w:val="00560CEB"/>
    <w:rsid w:val="0056238B"/>
    <w:rsid w:val="005636DD"/>
    <w:rsid w:val="00570CA1"/>
    <w:rsid w:val="0057249B"/>
    <w:rsid w:val="00573050"/>
    <w:rsid w:val="0057347F"/>
    <w:rsid w:val="00573C24"/>
    <w:rsid w:val="00575D74"/>
    <w:rsid w:val="00577996"/>
    <w:rsid w:val="00582438"/>
    <w:rsid w:val="00582636"/>
    <w:rsid w:val="0058309B"/>
    <w:rsid w:val="00584926"/>
    <w:rsid w:val="005849B6"/>
    <w:rsid w:val="00584DDD"/>
    <w:rsid w:val="005877A4"/>
    <w:rsid w:val="005928DA"/>
    <w:rsid w:val="005951C2"/>
    <w:rsid w:val="00597750"/>
    <w:rsid w:val="00597F54"/>
    <w:rsid w:val="005A0081"/>
    <w:rsid w:val="005A1D9A"/>
    <w:rsid w:val="005A29C0"/>
    <w:rsid w:val="005A3986"/>
    <w:rsid w:val="005A5AE2"/>
    <w:rsid w:val="005A73B1"/>
    <w:rsid w:val="005B15B7"/>
    <w:rsid w:val="005B5556"/>
    <w:rsid w:val="005B5E5B"/>
    <w:rsid w:val="005B5FCD"/>
    <w:rsid w:val="005B64BA"/>
    <w:rsid w:val="005B6604"/>
    <w:rsid w:val="005B6D58"/>
    <w:rsid w:val="005B73D5"/>
    <w:rsid w:val="005C1C06"/>
    <w:rsid w:val="005C3E93"/>
    <w:rsid w:val="005C4A96"/>
    <w:rsid w:val="005C5637"/>
    <w:rsid w:val="005C60F9"/>
    <w:rsid w:val="005C64C5"/>
    <w:rsid w:val="005D2489"/>
    <w:rsid w:val="005D378E"/>
    <w:rsid w:val="005D3B49"/>
    <w:rsid w:val="005D5B52"/>
    <w:rsid w:val="005D5C22"/>
    <w:rsid w:val="005E069C"/>
    <w:rsid w:val="005E1AFD"/>
    <w:rsid w:val="005E366E"/>
    <w:rsid w:val="005E3A6E"/>
    <w:rsid w:val="005E3CBF"/>
    <w:rsid w:val="005E4203"/>
    <w:rsid w:val="005E4634"/>
    <w:rsid w:val="005E4D2E"/>
    <w:rsid w:val="005E63BA"/>
    <w:rsid w:val="005E6A82"/>
    <w:rsid w:val="005F12F5"/>
    <w:rsid w:val="005F1A5F"/>
    <w:rsid w:val="005F1BBD"/>
    <w:rsid w:val="005F2167"/>
    <w:rsid w:val="005F3543"/>
    <w:rsid w:val="005F384A"/>
    <w:rsid w:val="005F4400"/>
    <w:rsid w:val="005F446B"/>
    <w:rsid w:val="005F457A"/>
    <w:rsid w:val="005F4E7E"/>
    <w:rsid w:val="005F60B1"/>
    <w:rsid w:val="005F7173"/>
    <w:rsid w:val="00600CB5"/>
    <w:rsid w:val="006025A5"/>
    <w:rsid w:val="00604297"/>
    <w:rsid w:val="006050F7"/>
    <w:rsid w:val="00606FCC"/>
    <w:rsid w:val="00611F3F"/>
    <w:rsid w:val="006129E3"/>
    <w:rsid w:val="00613689"/>
    <w:rsid w:val="00613D4C"/>
    <w:rsid w:val="00615A56"/>
    <w:rsid w:val="006160EA"/>
    <w:rsid w:val="00616436"/>
    <w:rsid w:val="006217DE"/>
    <w:rsid w:val="006222DA"/>
    <w:rsid w:val="0062633D"/>
    <w:rsid w:val="00631004"/>
    <w:rsid w:val="006312B9"/>
    <w:rsid w:val="00631CA7"/>
    <w:rsid w:val="00633174"/>
    <w:rsid w:val="006332A6"/>
    <w:rsid w:val="006341A8"/>
    <w:rsid w:val="00634692"/>
    <w:rsid w:val="006368BB"/>
    <w:rsid w:val="00637B88"/>
    <w:rsid w:val="006410C0"/>
    <w:rsid w:val="0064361F"/>
    <w:rsid w:val="00646190"/>
    <w:rsid w:val="00650440"/>
    <w:rsid w:val="00650E9A"/>
    <w:rsid w:val="006519CC"/>
    <w:rsid w:val="00651BFA"/>
    <w:rsid w:val="00651ECF"/>
    <w:rsid w:val="006529C3"/>
    <w:rsid w:val="00655421"/>
    <w:rsid w:val="00655EF9"/>
    <w:rsid w:val="00660EFD"/>
    <w:rsid w:val="006631B3"/>
    <w:rsid w:val="006632C1"/>
    <w:rsid w:val="00664AA5"/>
    <w:rsid w:val="00664D3D"/>
    <w:rsid w:val="006676E9"/>
    <w:rsid w:val="00667850"/>
    <w:rsid w:val="00673B2D"/>
    <w:rsid w:val="00674C2B"/>
    <w:rsid w:val="00674F0B"/>
    <w:rsid w:val="00677485"/>
    <w:rsid w:val="00677F8A"/>
    <w:rsid w:val="00680A2B"/>
    <w:rsid w:val="00680B5A"/>
    <w:rsid w:val="006812BE"/>
    <w:rsid w:val="00684027"/>
    <w:rsid w:val="0068796B"/>
    <w:rsid w:val="006900EC"/>
    <w:rsid w:val="006908E6"/>
    <w:rsid w:val="0069184F"/>
    <w:rsid w:val="00693EBF"/>
    <w:rsid w:val="00694395"/>
    <w:rsid w:val="00694B30"/>
    <w:rsid w:val="00695923"/>
    <w:rsid w:val="00696BCA"/>
    <w:rsid w:val="00696D60"/>
    <w:rsid w:val="00696DA9"/>
    <w:rsid w:val="006A0960"/>
    <w:rsid w:val="006A27F6"/>
    <w:rsid w:val="006A3F74"/>
    <w:rsid w:val="006A5B59"/>
    <w:rsid w:val="006A5E80"/>
    <w:rsid w:val="006B000E"/>
    <w:rsid w:val="006B1008"/>
    <w:rsid w:val="006B1E07"/>
    <w:rsid w:val="006B2EB8"/>
    <w:rsid w:val="006B409B"/>
    <w:rsid w:val="006B73EB"/>
    <w:rsid w:val="006C0DA4"/>
    <w:rsid w:val="006C142C"/>
    <w:rsid w:val="006C286C"/>
    <w:rsid w:val="006C467B"/>
    <w:rsid w:val="006C70AC"/>
    <w:rsid w:val="006C715E"/>
    <w:rsid w:val="006C764A"/>
    <w:rsid w:val="006D26FE"/>
    <w:rsid w:val="006D37D1"/>
    <w:rsid w:val="006D5F91"/>
    <w:rsid w:val="006D6D03"/>
    <w:rsid w:val="006D7DF2"/>
    <w:rsid w:val="006E0791"/>
    <w:rsid w:val="006E158C"/>
    <w:rsid w:val="006E1BCF"/>
    <w:rsid w:val="006E2539"/>
    <w:rsid w:val="006E3A83"/>
    <w:rsid w:val="006E62F3"/>
    <w:rsid w:val="006E7097"/>
    <w:rsid w:val="006E7098"/>
    <w:rsid w:val="006F044A"/>
    <w:rsid w:val="006F3D89"/>
    <w:rsid w:val="006F42DF"/>
    <w:rsid w:val="006F4560"/>
    <w:rsid w:val="006F6554"/>
    <w:rsid w:val="006F7393"/>
    <w:rsid w:val="006F749F"/>
    <w:rsid w:val="006F76F4"/>
    <w:rsid w:val="006F7CD9"/>
    <w:rsid w:val="007000AC"/>
    <w:rsid w:val="007009A1"/>
    <w:rsid w:val="00702065"/>
    <w:rsid w:val="007022FE"/>
    <w:rsid w:val="00702C49"/>
    <w:rsid w:val="00703158"/>
    <w:rsid w:val="0070318E"/>
    <w:rsid w:val="007070DF"/>
    <w:rsid w:val="00707E25"/>
    <w:rsid w:val="00707E2B"/>
    <w:rsid w:val="007102A7"/>
    <w:rsid w:val="0071357B"/>
    <w:rsid w:val="00714D4F"/>
    <w:rsid w:val="0071610A"/>
    <w:rsid w:val="007169F6"/>
    <w:rsid w:val="00720018"/>
    <w:rsid w:val="00720042"/>
    <w:rsid w:val="00730047"/>
    <w:rsid w:val="00731682"/>
    <w:rsid w:val="00731A54"/>
    <w:rsid w:val="0073218D"/>
    <w:rsid w:val="007342AF"/>
    <w:rsid w:val="0073485F"/>
    <w:rsid w:val="00735826"/>
    <w:rsid w:val="0074012A"/>
    <w:rsid w:val="007404A4"/>
    <w:rsid w:val="0074157E"/>
    <w:rsid w:val="00742A7B"/>
    <w:rsid w:val="0074440E"/>
    <w:rsid w:val="00746228"/>
    <w:rsid w:val="00747D0C"/>
    <w:rsid w:val="00747F95"/>
    <w:rsid w:val="007513C0"/>
    <w:rsid w:val="00752FBD"/>
    <w:rsid w:val="007532C6"/>
    <w:rsid w:val="00753666"/>
    <w:rsid w:val="0075400F"/>
    <w:rsid w:val="00754309"/>
    <w:rsid w:val="00755C48"/>
    <w:rsid w:val="00757067"/>
    <w:rsid w:val="00757AB1"/>
    <w:rsid w:val="007624E4"/>
    <w:rsid w:val="00764550"/>
    <w:rsid w:val="007648E7"/>
    <w:rsid w:val="007657EF"/>
    <w:rsid w:val="007665E4"/>
    <w:rsid w:val="00767F1F"/>
    <w:rsid w:val="0077710A"/>
    <w:rsid w:val="0078026C"/>
    <w:rsid w:val="00781661"/>
    <w:rsid w:val="007872B8"/>
    <w:rsid w:val="007876D7"/>
    <w:rsid w:val="007912D7"/>
    <w:rsid w:val="00791F02"/>
    <w:rsid w:val="00792568"/>
    <w:rsid w:val="00792E56"/>
    <w:rsid w:val="007930EA"/>
    <w:rsid w:val="007931E1"/>
    <w:rsid w:val="0079415E"/>
    <w:rsid w:val="00794BD7"/>
    <w:rsid w:val="00796A56"/>
    <w:rsid w:val="007A6F3E"/>
    <w:rsid w:val="007B53CE"/>
    <w:rsid w:val="007B6538"/>
    <w:rsid w:val="007B7D2D"/>
    <w:rsid w:val="007C09C8"/>
    <w:rsid w:val="007C0E64"/>
    <w:rsid w:val="007C13E0"/>
    <w:rsid w:val="007C2875"/>
    <w:rsid w:val="007C3490"/>
    <w:rsid w:val="007C4770"/>
    <w:rsid w:val="007C5735"/>
    <w:rsid w:val="007C7ADF"/>
    <w:rsid w:val="007D002B"/>
    <w:rsid w:val="007D1C92"/>
    <w:rsid w:val="007D36CB"/>
    <w:rsid w:val="007D586E"/>
    <w:rsid w:val="007D7381"/>
    <w:rsid w:val="007D7A14"/>
    <w:rsid w:val="007E0E22"/>
    <w:rsid w:val="007E3E8A"/>
    <w:rsid w:val="007E4F82"/>
    <w:rsid w:val="007E57D8"/>
    <w:rsid w:val="007E68C4"/>
    <w:rsid w:val="007E68F4"/>
    <w:rsid w:val="007E7B1D"/>
    <w:rsid w:val="007F104C"/>
    <w:rsid w:val="007F130F"/>
    <w:rsid w:val="007F152F"/>
    <w:rsid w:val="007F1B19"/>
    <w:rsid w:val="007F3112"/>
    <w:rsid w:val="007F4271"/>
    <w:rsid w:val="007F469A"/>
    <w:rsid w:val="007F47EA"/>
    <w:rsid w:val="007F4D25"/>
    <w:rsid w:val="007F5ADD"/>
    <w:rsid w:val="007F6452"/>
    <w:rsid w:val="007F7867"/>
    <w:rsid w:val="00801DB6"/>
    <w:rsid w:val="00803241"/>
    <w:rsid w:val="008058A0"/>
    <w:rsid w:val="008069BF"/>
    <w:rsid w:val="00806A74"/>
    <w:rsid w:val="0080749F"/>
    <w:rsid w:val="0080769D"/>
    <w:rsid w:val="0081171F"/>
    <w:rsid w:val="00813873"/>
    <w:rsid w:val="00817F2E"/>
    <w:rsid w:val="00820873"/>
    <w:rsid w:val="00822CFD"/>
    <w:rsid w:val="00822DF5"/>
    <w:rsid w:val="008234B6"/>
    <w:rsid w:val="0082622B"/>
    <w:rsid w:val="008265FB"/>
    <w:rsid w:val="008271F9"/>
    <w:rsid w:val="008308B3"/>
    <w:rsid w:val="00833E93"/>
    <w:rsid w:val="008355B6"/>
    <w:rsid w:val="00836836"/>
    <w:rsid w:val="00836DA3"/>
    <w:rsid w:val="008377E2"/>
    <w:rsid w:val="00840BC7"/>
    <w:rsid w:val="00840C24"/>
    <w:rsid w:val="008425A7"/>
    <w:rsid w:val="00842A3F"/>
    <w:rsid w:val="00842D5E"/>
    <w:rsid w:val="008432F5"/>
    <w:rsid w:val="0084355C"/>
    <w:rsid w:val="00843D19"/>
    <w:rsid w:val="0085019D"/>
    <w:rsid w:val="00851393"/>
    <w:rsid w:val="00854EB8"/>
    <w:rsid w:val="00856457"/>
    <w:rsid w:val="00860AFD"/>
    <w:rsid w:val="00862309"/>
    <w:rsid w:val="00863215"/>
    <w:rsid w:val="00867114"/>
    <w:rsid w:val="008703F1"/>
    <w:rsid w:val="008704DB"/>
    <w:rsid w:val="0087072D"/>
    <w:rsid w:val="00872391"/>
    <w:rsid w:val="00872D6E"/>
    <w:rsid w:val="008733EE"/>
    <w:rsid w:val="008736C6"/>
    <w:rsid w:val="008752D5"/>
    <w:rsid w:val="00876AB6"/>
    <w:rsid w:val="00880376"/>
    <w:rsid w:val="00881143"/>
    <w:rsid w:val="00881301"/>
    <w:rsid w:val="00882ACD"/>
    <w:rsid w:val="008832B6"/>
    <w:rsid w:val="008842AE"/>
    <w:rsid w:val="00884BBB"/>
    <w:rsid w:val="00884FCA"/>
    <w:rsid w:val="008858A8"/>
    <w:rsid w:val="008860F9"/>
    <w:rsid w:val="00887348"/>
    <w:rsid w:val="0088751B"/>
    <w:rsid w:val="00890BFF"/>
    <w:rsid w:val="00891992"/>
    <w:rsid w:val="00891D33"/>
    <w:rsid w:val="00891F63"/>
    <w:rsid w:val="00892BA6"/>
    <w:rsid w:val="008950A5"/>
    <w:rsid w:val="008959E7"/>
    <w:rsid w:val="008963DE"/>
    <w:rsid w:val="008A0150"/>
    <w:rsid w:val="008A5A19"/>
    <w:rsid w:val="008B1954"/>
    <w:rsid w:val="008B1CCE"/>
    <w:rsid w:val="008B27DE"/>
    <w:rsid w:val="008B473E"/>
    <w:rsid w:val="008B566C"/>
    <w:rsid w:val="008B6FEA"/>
    <w:rsid w:val="008B73BA"/>
    <w:rsid w:val="008C1B0C"/>
    <w:rsid w:val="008C1D5D"/>
    <w:rsid w:val="008C39D9"/>
    <w:rsid w:val="008C52C4"/>
    <w:rsid w:val="008C5B04"/>
    <w:rsid w:val="008C5C32"/>
    <w:rsid w:val="008D0ACC"/>
    <w:rsid w:val="008D0F97"/>
    <w:rsid w:val="008D3905"/>
    <w:rsid w:val="008D4030"/>
    <w:rsid w:val="008D4B74"/>
    <w:rsid w:val="008D4CFD"/>
    <w:rsid w:val="008D56CD"/>
    <w:rsid w:val="008D5A96"/>
    <w:rsid w:val="008E2081"/>
    <w:rsid w:val="008E6DD7"/>
    <w:rsid w:val="008F020D"/>
    <w:rsid w:val="008F0730"/>
    <w:rsid w:val="008F0DA5"/>
    <w:rsid w:val="008F1C73"/>
    <w:rsid w:val="008F3CEB"/>
    <w:rsid w:val="008F4C29"/>
    <w:rsid w:val="008F556A"/>
    <w:rsid w:val="008F55E4"/>
    <w:rsid w:val="008F607A"/>
    <w:rsid w:val="008F659D"/>
    <w:rsid w:val="008F6A5A"/>
    <w:rsid w:val="008F6AF1"/>
    <w:rsid w:val="008F6EDD"/>
    <w:rsid w:val="008F7C79"/>
    <w:rsid w:val="00900CD6"/>
    <w:rsid w:val="009017EC"/>
    <w:rsid w:val="009042B2"/>
    <w:rsid w:val="00904A40"/>
    <w:rsid w:val="00907B5C"/>
    <w:rsid w:val="00910E3D"/>
    <w:rsid w:val="00911478"/>
    <w:rsid w:val="0091487F"/>
    <w:rsid w:val="00915779"/>
    <w:rsid w:val="0092007C"/>
    <w:rsid w:val="00920CB6"/>
    <w:rsid w:val="00920F22"/>
    <w:rsid w:val="00927690"/>
    <w:rsid w:val="00930A7D"/>
    <w:rsid w:val="00932FA4"/>
    <w:rsid w:val="009344D4"/>
    <w:rsid w:val="00934E42"/>
    <w:rsid w:val="0093728F"/>
    <w:rsid w:val="009402C8"/>
    <w:rsid w:val="00941153"/>
    <w:rsid w:val="00942011"/>
    <w:rsid w:val="009443E5"/>
    <w:rsid w:val="0094446E"/>
    <w:rsid w:val="00945266"/>
    <w:rsid w:val="00945D4A"/>
    <w:rsid w:val="00946B6E"/>
    <w:rsid w:val="00946CF8"/>
    <w:rsid w:val="00947E94"/>
    <w:rsid w:val="00955749"/>
    <w:rsid w:val="0095744A"/>
    <w:rsid w:val="0096252A"/>
    <w:rsid w:val="00962B8E"/>
    <w:rsid w:val="009644FA"/>
    <w:rsid w:val="00965A6E"/>
    <w:rsid w:val="00967014"/>
    <w:rsid w:val="00970529"/>
    <w:rsid w:val="009747DB"/>
    <w:rsid w:val="009753A2"/>
    <w:rsid w:val="0097562F"/>
    <w:rsid w:val="00982B91"/>
    <w:rsid w:val="0098309A"/>
    <w:rsid w:val="009836AC"/>
    <w:rsid w:val="009841BD"/>
    <w:rsid w:val="00984460"/>
    <w:rsid w:val="009871A2"/>
    <w:rsid w:val="00991B80"/>
    <w:rsid w:val="00996B8B"/>
    <w:rsid w:val="00997BE5"/>
    <w:rsid w:val="00997D1C"/>
    <w:rsid w:val="009A0172"/>
    <w:rsid w:val="009A0450"/>
    <w:rsid w:val="009A09B3"/>
    <w:rsid w:val="009A40F7"/>
    <w:rsid w:val="009A464E"/>
    <w:rsid w:val="009A67EF"/>
    <w:rsid w:val="009B0C46"/>
    <w:rsid w:val="009B1298"/>
    <w:rsid w:val="009B1BD7"/>
    <w:rsid w:val="009B43B3"/>
    <w:rsid w:val="009B5202"/>
    <w:rsid w:val="009B5C7E"/>
    <w:rsid w:val="009C298F"/>
    <w:rsid w:val="009C3712"/>
    <w:rsid w:val="009C3BBE"/>
    <w:rsid w:val="009C471F"/>
    <w:rsid w:val="009C47CF"/>
    <w:rsid w:val="009C4E6C"/>
    <w:rsid w:val="009C5FE6"/>
    <w:rsid w:val="009C72D3"/>
    <w:rsid w:val="009D3C93"/>
    <w:rsid w:val="009D3CA3"/>
    <w:rsid w:val="009D41BF"/>
    <w:rsid w:val="009D59F9"/>
    <w:rsid w:val="009D6DB6"/>
    <w:rsid w:val="009D6FD1"/>
    <w:rsid w:val="009D7153"/>
    <w:rsid w:val="009E072C"/>
    <w:rsid w:val="009E0F50"/>
    <w:rsid w:val="009E3C63"/>
    <w:rsid w:val="009E5BDE"/>
    <w:rsid w:val="009E7ACE"/>
    <w:rsid w:val="009F2F42"/>
    <w:rsid w:val="009F3E38"/>
    <w:rsid w:val="009F5979"/>
    <w:rsid w:val="00A01C10"/>
    <w:rsid w:val="00A02217"/>
    <w:rsid w:val="00A026C8"/>
    <w:rsid w:val="00A033D2"/>
    <w:rsid w:val="00A04D20"/>
    <w:rsid w:val="00A04FA1"/>
    <w:rsid w:val="00A05810"/>
    <w:rsid w:val="00A072EA"/>
    <w:rsid w:val="00A10743"/>
    <w:rsid w:val="00A1183E"/>
    <w:rsid w:val="00A128A3"/>
    <w:rsid w:val="00A129B5"/>
    <w:rsid w:val="00A14E53"/>
    <w:rsid w:val="00A15CC6"/>
    <w:rsid w:val="00A15F8A"/>
    <w:rsid w:val="00A2248E"/>
    <w:rsid w:val="00A22E81"/>
    <w:rsid w:val="00A26552"/>
    <w:rsid w:val="00A27E4C"/>
    <w:rsid w:val="00A30056"/>
    <w:rsid w:val="00A3206D"/>
    <w:rsid w:val="00A329B2"/>
    <w:rsid w:val="00A354C0"/>
    <w:rsid w:val="00A42A10"/>
    <w:rsid w:val="00A42BF6"/>
    <w:rsid w:val="00A42D03"/>
    <w:rsid w:val="00A42F72"/>
    <w:rsid w:val="00A431ED"/>
    <w:rsid w:val="00A44CF6"/>
    <w:rsid w:val="00A45463"/>
    <w:rsid w:val="00A4594D"/>
    <w:rsid w:val="00A52B5B"/>
    <w:rsid w:val="00A54389"/>
    <w:rsid w:val="00A56DBA"/>
    <w:rsid w:val="00A608A3"/>
    <w:rsid w:val="00A65020"/>
    <w:rsid w:val="00A65523"/>
    <w:rsid w:val="00A6596B"/>
    <w:rsid w:val="00A66D37"/>
    <w:rsid w:val="00A70C64"/>
    <w:rsid w:val="00A7370F"/>
    <w:rsid w:val="00A746DD"/>
    <w:rsid w:val="00A7710E"/>
    <w:rsid w:val="00A81AE4"/>
    <w:rsid w:val="00A8530F"/>
    <w:rsid w:val="00A86B79"/>
    <w:rsid w:val="00A91274"/>
    <w:rsid w:val="00A9600A"/>
    <w:rsid w:val="00A96236"/>
    <w:rsid w:val="00AA14AA"/>
    <w:rsid w:val="00AA2120"/>
    <w:rsid w:val="00AA2B81"/>
    <w:rsid w:val="00AA329C"/>
    <w:rsid w:val="00AA6057"/>
    <w:rsid w:val="00AA6FD7"/>
    <w:rsid w:val="00AB08CE"/>
    <w:rsid w:val="00AB2EA1"/>
    <w:rsid w:val="00AB3424"/>
    <w:rsid w:val="00AB3CBB"/>
    <w:rsid w:val="00AB40D7"/>
    <w:rsid w:val="00AB5F80"/>
    <w:rsid w:val="00AC307C"/>
    <w:rsid w:val="00AC4B47"/>
    <w:rsid w:val="00AC74AD"/>
    <w:rsid w:val="00AD008C"/>
    <w:rsid w:val="00AD0FB2"/>
    <w:rsid w:val="00AD262D"/>
    <w:rsid w:val="00AD296D"/>
    <w:rsid w:val="00AD2DF7"/>
    <w:rsid w:val="00AD380B"/>
    <w:rsid w:val="00AD60C2"/>
    <w:rsid w:val="00AD6E83"/>
    <w:rsid w:val="00AE1EF0"/>
    <w:rsid w:val="00AE2206"/>
    <w:rsid w:val="00AE33B2"/>
    <w:rsid w:val="00AE4AAC"/>
    <w:rsid w:val="00AE71C3"/>
    <w:rsid w:val="00AE7F0D"/>
    <w:rsid w:val="00AF0AA6"/>
    <w:rsid w:val="00AF3F64"/>
    <w:rsid w:val="00AF62BA"/>
    <w:rsid w:val="00AF6B57"/>
    <w:rsid w:val="00AF797B"/>
    <w:rsid w:val="00B009A4"/>
    <w:rsid w:val="00B0157D"/>
    <w:rsid w:val="00B01907"/>
    <w:rsid w:val="00B01E6B"/>
    <w:rsid w:val="00B04215"/>
    <w:rsid w:val="00B0685C"/>
    <w:rsid w:val="00B11B8F"/>
    <w:rsid w:val="00B12A99"/>
    <w:rsid w:val="00B21DFC"/>
    <w:rsid w:val="00B23BAB"/>
    <w:rsid w:val="00B24AE0"/>
    <w:rsid w:val="00B24E67"/>
    <w:rsid w:val="00B24F22"/>
    <w:rsid w:val="00B25008"/>
    <w:rsid w:val="00B30310"/>
    <w:rsid w:val="00B3054A"/>
    <w:rsid w:val="00B3313F"/>
    <w:rsid w:val="00B33AC4"/>
    <w:rsid w:val="00B36270"/>
    <w:rsid w:val="00B3732B"/>
    <w:rsid w:val="00B4071D"/>
    <w:rsid w:val="00B415CE"/>
    <w:rsid w:val="00B4171A"/>
    <w:rsid w:val="00B418D3"/>
    <w:rsid w:val="00B42D58"/>
    <w:rsid w:val="00B437D6"/>
    <w:rsid w:val="00B44D1B"/>
    <w:rsid w:val="00B50ADD"/>
    <w:rsid w:val="00B513EB"/>
    <w:rsid w:val="00B5189C"/>
    <w:rsid w:val="00B537D2"/>
    <w:rsid w:val="00B54849"/>
    <w:rsid w:val="00B55002"/>
    <w:rsid w:val="00B5542E"/>
    <w:rsid w:val="00B5559C"/>
    <w:rsid w:val="00B56D36"/>
    <w:rsid w:val="00B572B6"/>
    <w:rsid w:val="00B57759"/>
    <w:rsid w:val="00B605C1"/>
    <w:rsid w:val="00B609F7"/>
    <w:rsid w:val="00B65E0E"/>
    <w:rsid w:val="00B7677C"/>
    <w:rsid w:val="00B77EB1"/>
    <w:rsid w:val="00B836DE"/>
    <w:rsid w:val="00B8488F"/>
    <w:rsid w:val="00B85373"/>
    <w:rsid w:val="00B85B92"/>
    <w:rsid w:val="00B8635F"/>
    <w:rsid w:val="00B865CF"/>
    <w:rsid w:val="00B90D83"/>
    <w:rsid w:val="00B93239"/>
    <w:rsid w:val="00B9360C"/>
    <w:rsid w:val="00BA0EE5"/>
    <w:rsid w:val="00BA1526"/>
    <w:rsid w:val="00BA28E9"/>
    <w:rsid w:val="00BA2AA3"/>
    <w:rsid w:val="00BA588A"/>
    <w:rsid w:val="00BA5AB6"/>
    <w:rsid w:val="00BA61CA"/>
    <w:rsid w:val="00BA7165"/>
    <w:rsid w:val="00BA725E"/>
    <w:rsid w:val="00BA79E1"/>
    <w:rsid w:val="00BB2E60"/>
    <w:rsid w:val="00BC188C"/>
    <w:rsid w:val="00BC337A"/>
    <w:rsid w:val="00BC48D2"/>
    <w:rsid w:val="00BC4D83"/>
    <w:rsid w:val="00BC524A"/>
    <w:rsid w:val="00BC56B4"/>
    <w:rsid w:val="00BD037C"/>
    <w:rsid w:val="00BD0451"/>
    <w:rsid w:val="00BD1408"/>
    <w:rsid w:val="00BD27CC"/>
    <w:rsid w:val="00BD2F34"/>
    <w:rsid w:val="00BD419C"/>
    <w:rsid w:val="00BD4347"/>
    <w:rsid w:val="00BD4971"/>
    <w:rsid w:val="00BD4BF6"/>
    <w:rsid w:val="00BD6B34"/>
    <w:rsid w:val="00BD7A57"/>
    <w:rsid w:val="00BE1E88"/>
    <w:rsid w:val="00BE7829"/>
    <w:rsid w:val="00BF133B"/>
    <w:rsid w:val="00BF36D4"/>
    <w:rsid w:val="00BF37D2"/>
    <w:rsid w:val="00BF3B12"/>
    <w:rsid w:val="00BF4079"/>
    <w:rsid w:val="00BF4A29"/>
    <w:rsid w:val="00BF4DF8"/>
    <w:rsid w:val="00BF615E"/>
    <w:rsid w:val="00C02EBD"/>
    <w:rsid w:val="00C037CD"/>
    <w:rsid w:val="00C04574"/>
    <w:rsid w:val="00C05141"/>
    <w:rsid w:val="00C07DE0"/>
    <w:rsid w:val="00C109B4"/>
    <w:rsid w:val="00C12ADF"/>
    <w:rsid w:val="00C13C7A"/>
    <w:rsid w:val="00C157F5"/>
    <w:rsid w:val="00C201C7"/>
    <w:rsid w:val="00C20A00"/>
    <w:rsid w:val="00C20C1E"/>
    <w:rsid w:val="00C20EFD"/>
    <w:rsid w:val="00C228D0"/>
    <w:rsid w:val="00C23287"/>
    <w:rsid w:val="00C25874"/>
    <w:rsid w:val="00C26C54"/>
    <w:rsid w:val="00C274D1"/>
    <w:rsid w:val="00C30F72"/>
    <w:rsid w:val="00C34481"/>
    <w:rsid w:val="00C35E32"/>
    <w:rsid w:val="00C37FF0"/>
    <w:rsid w:val="00C401D9"/>
    <w:rsid w:val="00C41F1D"/>
    <w:rsid w:val="00C42898"/>
    <w:rsid w:val="00C43248"/>
    <w:rsid w:val="00C433E7"/>
    <w:rsid w:val="00C436C6"/>
    <w:rsid w:val="00C43BB8"/>
    <w:rsid w:val="00C43CF9"/>
    <w:rsid w:val="00C45166"/>
    <w:rsid w:val="00C45CDC"/>
    <w:rsid w:val="00C478BD"/>
    <w:rsid w:val="00C5013F"/>
    <w:rsid w:val="00C5155D"/>
    <w:rsid w:val="00C520E1"/>
    <w:rsid w:val="00C530A1"/>
    <w:rsid w:val="00C543DE"/>
    <w:rsid w:val="00C56377"/>
    <w:rsid w:val="00C56AFE"/>
    <w:rsid w:val="00C577AB"/>
    <w:rsid w:val="00C60C97"/>
    <w:rsid w:val="00C63796"/>
    <w:rsid w:val="00C67208"/>
    <w:rsid w:val="00C67A14"/>
    <w:rsid w:val="00C67FBF"/>
    <w:rsid w:val="00C70945"/>
    <w:rsid w:val="00C71255"/>
    <w:rsid w:val="00C73B43"/>
    <w:rsid w:val="00C73CBA"/>
    <w:rsid w:val="00C75EE0"/>
    <w:rsid w:val="00C76D5C"/>
    <w:rsid w:val="00C77FA4"/>
    <w:rsid w:val="00C82657"/>
    <w:rsid w:val="00C85363"/>
    <w:rsid w:val="00C922AC"/>
    <w:rsid w:val="00C94C1E"/>
    <w:rsid w:val="00C96BFC"/>
    <w:rsid w:val="00C97C0A"/>
    <w:rsid w:val="00CA39F5"/>
    <w:rsid w:val="00CA3ADF"/>
    <w:rsid w:val="00CA61C7"/>
    <w:rsid w:val="00CA7ED6"/>
    <w:rsid w:val="00CB316A"/>
    <w:rsid w:val="00CB3AC5"/>
    <w:rsid w:val="00CB4564"/>
    <w:rsid w:val="00CB4AAE"/>
    <w:rsid w:val="00CB50B2"/>
    <w:rsid w:val="00CC1357"/>
    <w:rsid w:val="00CC314C"/>
    <w:rsid w:val="00CC3879"/>
    <w:rsid w:val="00CC415F"/>
    <w:rsid w:val="00CC474B"/>
    <w:rsid w:val="00CC5FDC"/>
    <w:rsid w:val="00CC71CC"/>
    <w:rsid w:val="00CD030C"/>
    <w:rsid w:val="00CD14F4"/>
    <w:rsid w:val="00CD1F7C"/>
    <w:rsid w:val="00CD2B12"/>
    <w:rsid w:val="00CD2BA0"/>
    <w:rsid w:val="00CD6204"/>
    <w:rsid w:val="00CD72B3"/>
    <w:rsid w:val="00CE229C"/>
    <w:rsid w:val="00CE647C"/>
    <w:rsid w:val="00CE653F"/>
    <w:rsid w:val="00CE7050"/>
    <w:rsid w:val="00CE7BF7"/>
    <w:rsid w:val="00CE7C7D"/>
    <w:rsid w:val="00CF042E"/>
    <w:rsid w:val="00CF0AB7"/>
    <w:rsid w:val="00CF26D9"/>
    <w:rsid w:val="00CF2887"/>
    <w:rsid w:val="00CF2A9C"/>
    <w:rsid w:val="00CF3C2E"/>
    <w:rsid w:val="00CF4C18"/>
    <w:rsid w:val="00CF6671"/>
    <w:rsid w:val="00CF7E81"/>
    <w:rsid w:val="00D00C67"/>
    <w:rsid w:val="00D00D87"/>
    <w:rsid w:val="00D00E4D"/>
    <w:rsid w:val="00D019B1"/>
    <w:rsid w:val="00D056CA"/>
    <w:rsid w:val="00D10056"/>
    <w:rsid w:val="00D10760"/>
    <w:rsid w:val="00D1089A"/>
    <w:rsid w:val="00D1106E"/>
    <w:rsid w:val="00D11561"/>
    <w:rsid w:val="00D11932"/>
    <w:rsid w:val="00D13CF3"/>
    <w:rsid w:val="00D1408A"/>
    <w:rsid w:val="00D1533C"/>
    <w:rsid w:val="00D15579"/>
    <w:rsid w:val="00D15C35"/>
    <w:rsid w:val="00D160BC"/>
    <w:rsid w:val="00D227F5"/>
    <w:rsid w:val="00D232BB"/>
    <w:rsid w:val="00D23D09"/>
    <w:rsid w:val="00D23DD0"/>
    <w:rsid w:val="00D25595"/>
    <w:rsid w:val="00D2618B"/>
    <w:rsid w:val="00D27630"/>
    <w:rsid w:val="00D307BE"/>
    <w:rsid w:val="00D33831"/>
    <w:rsid w:val="00D349ED"/>
    <w:rsid w:val="00D365C9"/>
    <w:rsid w:val="00D369AE"/>
    <w:rsid w:val="00D41129"/>
    <w:rsid w:val="00D42EF9"/>
    <w:rsid w:val="00D43675"/>
    <w:rsid w:val="00D43CD9"/>
    <w:rsid w:val="00D43EBA"/>
    <w:rsid w:val="00D4474F"/>
    <w:rsid w:val="00D462EC"/>
    <w:rsid w:val="00D47BBB"/>
    <w:rsid w:val="00D50554"/>
    <w:rsid w:val="00D52765"/>
    <w:rsid w:val="00D625CD"/>
    <w:rsid w:val="00D6680F"/>
    <w:rsid w:val="00D7127D"/>
    <w:rsid w:val="00D71DAB"/>
    <w:rsid w:val="00D73181"/>
    <w:rsid w:val="00D731BD"/>
    <w:rsid w:val="00D77813"/>
    <w:rsid w:val="00D809DD"/>
    <w:rsid w:val="00D80FED"/>
    <w:rsid w:val="00D81E25"/>
    <w:rsid w:val="00D8224B"/>
    <w:rsid w:val="00D83E81"/>
    <w:rsid w:val="00D84806"/>
    <w:rsid w:val="00D84B36"/>
    <w:rsid w:val="00D85867"/>
    <w:rsid w:val="00D8677C"/>
    <w:rsid w:val="00D90037"/>
    <w:rsid w:val="00D9017C"/>
    <w:rsid w:val="00D905AA"/>
    <w:rsid w:val="00D921A1"/>
    <w:rsid w:val="00D938D1"/>
    <w:rsid w:val="00D96FC6"/>
    <w:rsid w:val="00D97F47"/>
    <w:rsid w:val="00DA043E"/>
    <w:rsid w:val="00DA05E2"/>
    <w:rsid w:val="00DA0675"/>
    <w:rsid w:val="00DA0B1F"/>
    <w:rsid w:val="00DA0FCD"/>
    <w:rsid w:val="00DB04A1"/>
    <w:rsid w:val="00DB28CA"/>
    <w:rsid w:val="00DB3187"/>
    <w:rsid w:val="00DB360C"/>
    <w:rsid w:val="00DB4144"/>
    <w:rsid w:val="00DB5148"/>
    <w:rsid w:val="00DC0A43"/>
    <w:rsid w:val="00DC10D2"/>
    <w:rsid w:val="00DC151D"/>
    <w:rsid w:val="00DC6C1A"/>
    <w:rsid w:val="00DC7512"/>
    <w:rsid w:val="00DD106F"/>
    <w:rsid w:val="00DD438A"/>
    <w:rsid w:val="00DD798D"/>
    <w:rsid w:val="00DE1B11"/>
    <w:rsid w:val="00DE713C"/>
    <w:rsid w:val="00DE7405"/>
    <w:rsid w:val="00DE780D"/>
    <w:rsid w:val="00DF0163"/>
    <w:rsid w:val="00DF206A"/>
    <w:rsid w:val="00DF3D22"/>
    <w:rsid w:val="00DF3FF7"/>
    <w:rsid w:val="00DF52C5"/>
    <w:rsid w:val="00DF5D61"/>
    <w:rsid w:val="00DF7E3D"/>
    <w:rsid w:val="00E00F83"/>
    <w:rsid w:val="00E03043"/>
    <w:rsid w:val="00E06EA3"/>
    <w:rsid w:val="00E0764B"/>
    <w:rsid w:val="00E07D74"/>
    <w:rsid w:val="00E121A2"/>
    <w:rsid w:val="00E134A1"/>
    <w:rsid w:val="00E13CA9"/>
    <w:rsid w:val="00E1474D"/>
    <w:rsid w:val="00E17670"/>
    <w:rsid w:val="00E21428"/>
    <w:rsid w:val="00E255C7"/>
    <w:rsid w:val="00E2586B"/>
    <w:rsid w:val="00E270B2"/>
    <w:rsid w:val="00E27782"/>
    <w:rsid w:val="00E27A31"/>
    <w:rsid w:val="00E27A9E"/>
    <w:rsid w:val="00E31F7C"/>
    <w:rsid w:val="00E330F6"/>
    <w:rsid w:val="00E33903"/>
    <w:rsid w:val="00E34EDC"/>
    <w:rsid w:val="00E40813"/>
    <w:rsid w:val="00E41D5A"/>
    <w:rsid w:val="00E437F5"/>
    <w:rsid w:val="00E44BA2"/>
    <w:rsid w:val="00E462CE"/>
    <w:rsid w:val="00E47B51"/>
    <w:rsid w:val="00E47C99"/>
    <w:rsid w:val="00E507F0"/>
    <w:rsid w:val="00E518B9"/>
    <w:rsid w:val="00E51F82"/>
    <w:rsid w:val="00E52099"/>
    <w:rsid w:val="00E525BD"/>
    <w:rsid w:val="00E53009"/>
    <w:rsid w:val="00E5335B"/>
    <w:rsid w:val="00E5382B"/>
    <w:rsid w:val="00E54313"/>
    <w:rsid w:val="00E543B3"/>
    <w:rsid w:val="00E57BF4"/>
    <w:rsid w:val="00E608CA"/>
    <w:rsid w:val="00E60CCB"/>
    <w:rsid w:val="00E62144"/>
    <w:rsid w:val="00E64626"/>
    <w:rsid w:val="00E65CC8"/>
    <w:rsid w:val="00E65E50"/>
    <w:rsid w:val="00E710B5"/>
    <w:rsid w:val="00E7122D"/>
    <w:rsid w:val="00E75449"/>
    <w:rsid w:val="00E858B1"/>
    <w:rsid w:val="00E87780"/>
    <w:rsid w:val="00E87845"/>
    <w:rsid w:val="00E87BBC"/>
    <w:rsid w:val="00E87C43"/>
    <w:rsid w:val="00E9313A"/>
    <w:rsid w:val="00E95FC5"/>
    <w:rsid w:val="00E96264"/>
    <w:rsid w:val="00E970E4"/>
    <w:rsid w:val="00EA0753"/>
    <w:rsid w:val="00EA32C1"/>
    <w:rsid w:val="00EA5A40"/>
    <w:rsid w:val="00EA5F61"/>
    <w:rsid w:val="00EB30A6"/>
    <w:rsid w:val="00EB380E"/>
    <w:rsid w:val="00EB40E9"/>
    <w:rsid w:val="00EB46B1"/>
    <w:rsid w:val="00EC1632"/>
    <w:rsid w:val="00EC35F6"/>
    <w:rsid w:val="00EC4A06"/>
    <w:rsid w:val="00EC5B3C"/>
    <w:rsid w:val="00EC6F95"/>
    <w:rsid w:val="00ED240B"/>
    <w:rsid w:val="00ED2572"/>
    <w:rsid w:val="00ED2B6B"/>
    <w:rsid w:val="00ED4526"/>
    <w:rsid w:val="00ED48F6"/>
    <w:rsid w:val="00ED57BC"/>
    <w:rsid w:val="00ED69F9"/>
    <w:rsid w:val="00ED6BBD"/>
    <w:rsid w:val="00ED6E2C"/>
    <w:rsid w:val="00EE1B29"/>
    <w:rsid w:val="00EE1E2A"/>
    <w:rsid w:val="00EE3DD8"/>
    <w:rsid w:val="00EE666C"/>
    <w:rsid w:val="00EE686B"/>
    <w:rsid w:val="00EE6E16"/>
    <w:rsid w:val="00EE717C"/>
    <w:rsid w:val="00EE7C88"/>
    <w:rsid w:val="00EF08EF"/>
    <w:rsid w:val="00EF12CC"/>
    <w:rsid w:val="00EF288D"/>
    <w:rsid w:val="00EF3266"/>
    <w:rsid w:val="00EF44D9"/>
    <w:rsid w:val="00EF4F27"/>
    <w:rsid w:val="00F00925"/>
    <w:rsid w:val="00F01C7B"/>
    <w:rsid w:val="00F03812"/>
    <w:rsid w:val="00F06F7F"/>
    <w:rsid w:val="00F10C90"/>
    <w:rsid w:val="00F11E36"/>
    <w:rsid w:val="00F124E4"/>
    <w:rsid w:val="00F131AE"/>
    <w:rsid w:val="00F14223"/>
    <w:rsid w:val="00F17FBD"/>
    <w:rsid w:val="00F2136A"/>
    <w:rsid w:val="00F21AD4"/>
    <w:rsid w:val="00F22485"/>
    <w:rsid w:val="00F232D6"/>
    <w:rsid w:val="00F243C5"/>
    <w:rsid w:val="00F248A9"/>
    <w:rsid w:val="00F24EF0"/>
    <w:rsid w:val="00F26028"/>
    <w:rsid w:val="00F27BCD"/>
    <w:rsid w:val="00F3062E"/>
    <w:rsid w:val="00F32DDE"/>
    <w:rsid w:val="00F33DE9"/>
    <w:rsid w:val="00F36633"/>
    <w:rsid w:val="00F45384"/>
    <w:rsid w:val="00F45E1F"/>
    <w:rsid w:val="00F460C6"/>
    <w:rsid w:val="00F46FF1"/>
    <w:rsid w:val="00F5000B"/>
    <w:rsid w:val="00F51269"/>
    <w:rsid w:val="00F5262C"/>
    <w:rsid w:val="00F52AB4"/>
    <w:rsid w:val="00F53F71"/>
    <w:rsid w:val="00F54367"/>
    <w:rsid w:val="00F5488E"/>
    <w:rsid w:val="00F5650D"/>
    <w:rsid w:val="00F5779B"/>
    <w:rsid w:val="00F6078D"/>
    <w:rsid w:val="00F62C97"/>
    <w:rsid w:val="00F6426E"/>
    <w:rsid w:val="00F649B9"/>
    <w:rsid w:val="00F650BF"/>
    <w:rsid w:val="00F676F6"/>
    <w:rsid w:val="00F71C53"/>
    <w:rsid w:val="00F72077"/>
    <w:rsid w:val="00F72691"/>
    <w:rsid w:val="00F72759"/>
    <w:rsid w:val="00F73CC5"/>
    <w:rsid w:val="00F73CF2"/>
    <w:rsid w:val="00F73E27"/>
    <w:rsid w:val="00F77737"/>
    <w:rsid w:val="00F81BAF"/>
    <w:rsid w:val="00F8522B"/>
    <w:rsid w:val="00F854F5"/>
    <w:rsid w:val="00F87F8B"/>
    <w:rsid w:val="00F9258C"/>
    <w:rsid w:val="00F9330D"/>
    <w:rsid w:val="00F9585D"/>
    <w:rsid w:val="00F9708D"/>
    <w:rsid w:val="00FA0075"/>
    <w:rsid w:val="00FB07F1"/>
    <w:rsid w:val="00FB15CF"/>
    <w:rsid w:val="00FB2F8C"/>
    <w:rsid w:val="00FB31F0"/>
    <w:rsid w:val="00FB35B9"/>
    <w:rsid w:val="00FB3BA2"/>
    <w:rsid w:val="00FB49A7"/>
    <w:rsid w:val="00FB4DE8"/>
    <w:rsid w:val="00FB5512"/>
    <w:rsid w:val="00FB5726"/>
    <w:rsid w:val="00FB6CEA"/>
    <w:rsid w:val="00FB7B3F"/>
    <w:rsid w:val="00FC0350"/>
    <w:rsid w:val="00FC0AC2"/>
    <w:rsid w:val="00FC47F2"/>
    <w:rsid w:val="00FC4AEC"/>
    <w:rsid w:val="00FC4F2E"/>
    <w:rsid w:val="00FC5D20"/>
    <w:rsid w:val="00FC6BF7"/>
    <w:rsid w:val="00FC73B8"/>
    <w:rsid w:val="00FC7845"/>
    <w:rsid w:val="00FD0863"/>
    <w:rsid w:val="00FD3149"/>
    <w:rsid w:val="00FD31BA"/>
    <w:rsid w:val="00FD5EE4"/>
    <w:rsid w:val="00FD6475"/>
    <w:rsid w:val="00FD7E7C"/>
    <w:rsid w:val="00FE199C"/>
    <w:rsid w:val="00FE2719"/>
    <w:rsid w:val="00FE2FBA"/>
    <w:rsid w:val="00FE36BD"/>
    <w:rsid w:val="00FE4663"/>
    <w:rsid w:val="00FE6098"/>
    <w:rsid w:val="00FE6A64"/>
    <w:rsid w:val="00FF16C8"/>
    <w:rsid w:val="00FF1A69"/>
    <w:rsid w:val="00FF2A1A"/>
    <w:rsid w:val="00FF2AB7"/>
    <w:rsid w:val="00FF4C4D"/>
    <w:rsid w:val="00FF644F"/>
    <w:rsid w:val="00FF64E9"/>
    <w:rsid w:val="00FF7ED1"/>
    <w:rsid w:val="02512FF3"/>
    <w:rsid w:val="03A80465"/>
    <w:rsid w:val="1B9866E6"/>
    <w:rsid w:val="1E1A30E6"/>
    <w:rsid w:val="22475AB1"/>
    <w:rsid w:val="23375383"/>
    <w:rsid w:val="2D3703BB"/>
    <w:rsid w:val="36B04E77"/>
    <w:rsid w:val="37B74EA7"/>
    <w:rsid w:val="3E4742B1"/>
    <w:rsid w:val="4AB77D4C"/>
    <w:rsid w:val="51414138"/>
    <w:rsid w:val="55261B3D"/>
    <w:rsid w:val="5C935A32"/>
    <w:rsid w:val="61444683"/>
    <w:rsid w:val="62F54483"/>
    <w:rsid w:val="6C0B03CB"/>
    <w:rsid w:val="71830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uiPriority="0" w:unhideWhenUsed="0" w:qFormat="1"/>
    <w:lsdException w:name="caption" w:uiPriority="35" w:qFormat="1"/>
    <w:lsdException w:name="footnote reference"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qFormat/>
    <w:pPr>
      <w:ind w:firstLine="200"/>
    </w:pPr>
    <w:rPr>
      <w:rFonts w:ascii="仿宋_GB2312" w:eastAsia="仿宋_GB2312"/>
      <w:sz w:val="30"/>
      <w:szCs w:val="22"/>
    </w:rPr>
  </w:style>
  <w:style w:type="paragraph" w:styleId="a5">
    <w:name w:val="Date"/>
    <w:basedOn w:val="a"/>
    <w:next w:val="a"/>
    <w:link w:val="Char1"/>
    <w:uiPriority w:val="99"/>
    <w:semiHidden/>
    <w:unhideWhenUsed/>
    <w:qFormat/>
    <w:pPr>
      <w:ind w:leftChars="2500" w:left="100"/>
    </w:pPr>
  </w:style>
  <w:style w:type="paragraph" w:styleId="20">
    <w:name w:val="Body Text Indent 2"/>
    <w:basedOn w:val="a"/>
    <w:link w:val="2Char0"/>
    <w:qFormat/>
    <w:pPr>
      <w:spacing w:after="120" w:line="480" w:lineRule="auto"/>
      <w:ind w:leftChars="200" w:left="42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9">
    <w:name w:val="footnote text"/>
    <w:basedOn w:val="a"/>
    <w:link w:val="Char5"/>
    <w:uiPriority w:val="99"/>
    <w:unhideWhenUsed/>
    <w:qFormat/>
    <w:pPr>
      <w:snapToGrid w:val="0"/>
      <w:jc w:val="left"/>
    </w:pPr>
    <w:rPr>
      <w:rFonts w:ascii="Calibri" w:hAnsi="Calibri"/>
      <w:sz w:val="18"/>
      <w:szCs w:val="18"/>
    </w:rPr>
  </w:style>
  <w:style w:type="paragraph" w:styleId="21">
    <w:name w:val="toc 2"/>
    <w:basedOn w:val="a"/>
    <w:next w:val="a"/>
    <w:qFormat/>
    <w:pPr>
      <w:ind w:leftChars="200" w:left="420"/>
    </w:pPr>
  </w:style>
  <w:style w:type="paragraph" w:styleId="aa">
    <w:name w:val="annotation subject"/>
    <w:basedOn w:val="a3"/>
    <w:next w:val="a3"/>
    <w:link w:val="Char6"/>
    <w:uiPriority w:val="99"/>
    <w:semiHidden/>
    <w:unhideWhenUsed/>
    <w:qFormat/>
    <w:rPr>
      <w:b/>
      <w:bCs/>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annotation reference"/>
    <w:basedOn w:val="a0"/>
    <w:uiPriority w:val="99"/>
    <w:semiHidden/>
    <w:unhideWhenUsed/>
    <w:qFormat/>
    <w:rPr>
      <w:sz w:val="21"/>
      <w:szCs w:val="21"/>
    </w:rPr>
  </w:style>
  <w:style w:type="character" w:styleId="ae">
    <w:name w:val="footnote reference"/>
    <w:basedOn w:val="a0"/>
    <w:uiPriority w:val="99"/>
    <w:unhideWhenUsed/>
    <w:qFormat/>
    <w:rPr>
      <w:vertAlign w:val="superscript"/>
    </w:rPr>
  </w:style>
  <w:style w:type="character" w:customStyle="1" w:styleId="1Char">
    <w:name w:val="标题 1 Char"/>
    <w:basedOn w:val="a0"/>
    <w:link w:val="1"/>
    <w:qFormat/>
    <w:rPr>
      <w:rFonts w:ascii="Times New Roman" w:eastAsia="宋体" w:hAnsi="Times New Roman" w:cs="Times New Roman"/>
      <w:b/>
      <w:kern w:val="44"/>
      <w:sz w:val="44"/>
      <w:szCs w:val="24"/>
    </w:rPr>
  </w:style>
  <w:style w:type="character" w:customStyle="1" w:styleId="2Char">
    <w:name w:val="标题 2 Char"/>
    <w:basedOn w:val="a0"/>
    <w:link w:val="2"/>
    <w:qFormat/>
    <w:rPr>
      <w:rFonts w:ascii="Arial" w:eastAsia="黑体" w:hAnsi="Arial" w:cs="Times New Roman"/>
      <w:b/>
      <w:sz w:val="32"/>
      <w:szCs w:val="24"/>
    </w:rPr>
  </w:style>
  <w:style w:type="character" w:customStyle="1" w:styleId="Char0">
    <w:name w:val="正文文本 Char"/>
    <w:basedOn w:val="a0"/>
    <w:link w:val="a4"/>
    <w:uiPriority w:val="99"/>
    <w:qFormat/>
    <w:rPr>
      <w:rFonts w:ascii="仿宋_GB2312" w:eastAsia="仿宋_GB2312" w:hAnsi="Times New Roman" w:cs="Times New Roman"/>
      <w:sz w:val="30"/>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Char3">
    <w:name w:val="页脚 Char"/>
    <w:basedOn w:val="a0"/>
    <w:link w:val="a7"/>
    <w:qFormat/>
    <w:rPr>
      <w:rFonts w:ascii="Times New Roman" w:eastAsia="宋体" w:hAnsi="Times New Roman" w:cs="Times New Roman"/>
      <w:sz w:val="18"/>
      <w:szCs w:val="18"/>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kern w:val="2"/>
      <w:sz w:val="18"/>
      <w:szCs w:val="18"/>
    </w:rPr>
  </w:style>
  <w:style w:type="paragraph" w:styleId="af">
    <w:name w:val="List Paragraph"/>
    <w:basedOn w:val="a"/>
    <w:uiPriority w:val="99"/>
    <w:unhideWhenUsed/>
    <w:qFormat/>
    <w:pPr>
      <w:ind w:firstLineChars="200" w:firstLine="420"/>
    </w:pPr>
  </w:style>
  <w:style w:type="character" w:customStyle="1" w:styleId="Char5">
    <w:name w:val="脚注文本 Char"/>
    <w:basedOn w:val="a0"/>
    <w:link w:val="a9"/>
    <w:uiPriority w:val="99"/>
    <w:qFormat/>
    <w:rPr>
      <w:rFonts w:ascii="Calibri" w:hAnsi="Calibri"/>
      <w:kern w:val="2"/>
      <w:sz w:val="18"/>
      <w:szCs w:val="18"/>
    </w:rPr>
  </w:style>
  <w:style w:type="paragraph" w:customStyle="1" w:styleId="11">
    <w:name w:val="修订1"/>
    <w:hidden/>
    <w:uiPriority w:val="99"/>
    <w:unhideWhenUsed/>
    <w:qFormat/>
    <w:rPr>
      <w:kern w:val="2"/>
      <w:sz w:val="21"/>
      <w:szCs w:val="24"/>
    </w:rPr>
  </w:style>
  <w:style w:type="character" w:customStyle="1" w:styleId="Char1">
    <w:name w:val="日期 Char"/>
    <w:basedOn w:val="a0"/>
    <w:link w:val="a5"/>
    <w:uiPriority w:val="99"/>
    <w:semiHidden/>
    <w:qFormat/>
    <w:rPr>
      <w:kern w:val="2"/>
      <w:sz w:val="21"/>
      <w:szCs w:val="24"/>
    </w:rPr>
  </w:style>
  <w:style w:type="character" w:customStyle="1" w:styleId="Char">
    <w:name w:val="批注文字 Char"/>
    <w:basedOn w:val="a0"/>
    <w:link w:val="a3"/>
    <w:uiPriority w:val="99"/>
    <w:semiHidden/>
    <w:qFormat/>
    <w:rPr>
      <w:kern w:val="2"/>
      <w:sz w:val="21"/>
      <w:szCs w:val="24"/>
    </w:rPr>
  </w:style>
  <w:style w:type="character" w:customStyle="1" w:styleId="Char6">
    <w:name w:val="批注主题 Char"/>
    <w:basedOn w:val="Char"/>
    <w:link w:val="aa"/>
    <w:uiPriority w:val="99"/>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uiPriority="0" w:unhideWhenUsed="0" w:qFormat="1"/>
    <w:lsdException w:name="caption" w:uiPriority="35" w:qFormat="1"/>
    <w:lsdException w:name="footnote reference"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qFormat/>
    <w:pPr>
      <w:ind w:firstLine="200"/>
    </w:pPr>
    <w:rPr>
      <w:rFonts w:ascii="仿宋_GB2312" w:eastAsia="仿宋_GB2312"/>
      <w:sz w:val="30"/>
      <w:szCs w:val="22"/>
    </w:rPr>
  </w:style>
  <w:style w:type="paragraph" w:styleId="a5">
    <w:name w:val="Date"/>
    <w:basedOn w:val="a"/>
    <w:next w:val="a"/>
    <w:link w:val="Char1"/>
    <w:uiPriority w:val="99"/>
    <w:semiHidden/>
    <w:unhideWhenUsed/>
    <w:qFormat/>
    <w:pPr>
      <w:ind w:leftChars="2500" w:left="100"/>
    </w:pPr>
  </w:style>
  <w:style w:type="paragraph" w:styleId="20">
    <w:name w:val="Body Text Indent 2"/>
    <w:basedOn w:val="a"/>
    <w:link w:val="2Char0"/>
    <w:qFormat/>
    <w:pPr>
      <w:spacing w:after="120" w:line="480" w:lineRule="auto"/>
      <w:ind w:leftChars="200" w:left="42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9">
    <w:name w:val="footnote text"/>
    <w:basedOn w:val="a"/>
    <w:link w:val="Char5"/>
    <w:uiPriority w:val="99"/>
    <w:unhideWhenUsed/>
    <w:qFormat/>
    <w:pPr>
      <w:snapToGrid w:val="0"/>
      <w:jc w:val="left"/>
    </w:pPr>
    <w:rPr>
      <w:rFonts w:ascii="Calibri" w:hAnsi="Calibri"/>
      <w:sz w:val="18"/>
      <w:szCs w:val="18"/>
    </w:rPr>
  </w:style>
  <w:style w:type="paragraph" w:styleId="21">
    <w:name w:val="toc 2"/>
    <w:basedOn w:val="a"/>
    <w:next w:val="a"/>
    <w:qFormat/>
    <w:pPr>
      <w:ind w:leftChars="200" w:left="420"/>
    </w:pPr>
  </w:style>
  <w:style w:type="paragraph" w:styleId="aa">
    <w:name w:val="annotation subject"/>
    <w:basedOn w:val="a3"/>
    <w:next w:val="a3"/>
    <w:link w:val="Char6"/>
    <w:uiPriority w:val="99"/>
    <w:semiHidden/>
    <w:unhideWhenUsed/>
    <w:qFormat/>
    <w:rPr>
      <w:b/>
      <w:bCs/>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annotation reference"/>
    <w:basedOn w:val="a0"/>
    <w:uiPriority w:val="99"/>
    <w:semiHidden/>
    <w:unhideWhenUsed/>
    <w:qFormat/>
    <w:rPr>
      <w:sz w:val="21"/>
      <w:szCs w:val="21"/>
    </w:rPr>
  </w:style>
  <w:style w:type="character" w:styleId="ae">
    <w:name w:val="footnote reference"/>
    <w:basedOn w:val="a0"/>
    <w:uiPriority w:val="99"/>
    <w:unhideWhenUsed/>
    <w:qFormat/>
    <w:rPr>
      <w:vertAlign w:val="superscript"/>
    </w:rPr>
  </w:style>
  <w:style w:type="character" w:customStyle="1" w:styleId="1Char">
    <w:name w:val="标题 1 Char"/>
    <w:basedOn w:val="a0"/>
    <w:link w:val="1"/>
    <w:qFormat/>
    <w:rPr>
      <w:rFonts w:ascii="Times New Roman" w:eastAsia="宋体" w:hAnsi="Times New Roman" w:cs="Times New Roman"/>
      <w:b/>
      <w:kern w:val="44"/>
      <w:sz w:val="44"/>
      <w:szCs w:val="24"/>
    </w:rPr>
  </w:style>
  <w:style w:type="character" w:customStyle="1" w:styleId="2Char">
    <w:name w:val="标题 2 Char"/>
    <w:basedOn w:val="a0"/>
    <w:link w:val="2"/>
    <w:qFormat/>
    <w:rPr>
      <w:rFonts w:ascii="Arial" w:eastAsia="黑体" w:hAnsi="Arial" w:cs="Times New Roman"/>
      <w:b/>
      <w:sz w:val="32"/>
      <w:szCs w:val="24"/>
    </w:rPr>
  </w:style>
  <w:style w:type="character" w:customStyle="1" w:styleId="Char0">
    <w:name w:val="正文文本 Char"/>
    <w:basedOn w:val="a0"/>
    <w:link w:val="a4"/>
    <w:uiPriority w:val="99"/>
    <w:qFormat/>
    <w:rPr>
      <w:rFonts w:ascii="仿宋_GB2312" w:eastAsia="仿宋_GB2312" w:hAnsi="Times New Roman" w:cs="Times New Roman"/>
      <w:sz w:val="30"/>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Char3">
    <w:name w:val="页脚 Char"/>
    <w:basedOn w:val="a0"/>
    <w:link w:val="a7"/>
    <w:qFormat/>
    <w:rPr>
      <w:rFonts w:ascii="Times New Roman" w:eastAsia="宋体" w:hAnsi="Times New Roman" w:cs="Times New Roman"/>
      <w:sz w:val="18"/>
      <w:szCs w:val="18"/>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kern w:val="2"/>
      <w:sz w:val="18"/>
      <w:szCs w:val="18"/>
    </w:rPr>
  </w:style>
  <w:style w:type="paragraph" w:styleId="af">
    <w:name w:val="List Paragraph"/>
    <w:basedOn w:val="a"/>
    <w:uiPriority w:val="99"/>
    <w:unhideWhenUsed/>
    <w:qFormat/>
    <w:pPr>
      <w:ind w:firstLineChars="200" w:firstLine="420"/>
    </w:pPr>
  </w:style>
  <w:style w:type="character" w:customStyle="1" w:styleId="Char5">
    <w:name w:val="脚注文本 Char"/>
    <w:basedOn w:val="a0"/>
    <w:link w:val="a9"/>
    <w:uiPriority w:val="99"/>
    <w:qFormat/>
    <w:rPr>
      <w:rFonts w:ascii="Calibri" w:hAnsi="Calibri"/>
      <w:kern w:val="2"/>
      <w:sz w:val="18"/>
      <w:szCs w:val="18"/>
    </w:rPr>
  </w:style>
  <w:style w:type="paragraph" w:customStyle="1" w:styleId="11">
    <w:name w:val="修订1"/>
    <w:hidden/>
    <w:uiPriority w:val="99"/>
    <w:unhideWhenUsed/>
    <w:qFormat/>
    <w:rPr>
      <w:kern w:val="2"/>
      <w:sz w:val="21"/>
      <w:szCs w:val="24"/>
    </w:rPr>
  </w:style>
  <w:style w:type="character" w:customStyle="1" w:styleId="Char1">
    <w:name w:val="日期 Char"/>
    <w:basedOn w:val="a0"/>
    <w:link w:val="a5"/>
    <w:uiPriority w:val="99"/>
    <w:semiHidden/>
    <w:qFormat/>
    <w:rPr>
      <w:kern w:val="2"/>
      <w:sz w:val="21"/>
      <w:szCs w:val="24"/>
    </w:rPr>
  </w:style>
  <w:style w:type="character" w:customStyle="1" w:styleId="Char">
    <w:name w:val="批注文字 Char"/>
    <w:basedOn w:val="a0"/>
    <w:link w:val="a3"/>
    <w:uiPriority w:val="99"/>
    <w:semiHidden/>
    <w:qFormat/>
    <w:rPr>
      <w:kern w:val="2"/>
      <w:sz w:val="21"/>
      <w:szCs w:val="24"/>
    </w:rPr>
  </w:style>
  <w:style w:type="character" w:customStyle="1" w:styleId="Char6">
    <w:name w:val="批注主题 Char"/>
    <w:basedOn w:val="Char"/>
    <w:link w:val="aa"/>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825E0-23BD-4641-92E2-4D6E1622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王欣宇</dc:creator>
  <cp:lastModifiedBy>郭文武</cp:lastModifiedBy>
  <cp:revision>4</cp:revision>
  <cp:lastPrinted>2023-08-18T07:01:00Z</cp:lastPrinted>
  <dcterms:created xsi:type="dcterms:W3CDTF">2025-08-22T10:24:00Z</dcterms:created>
  <dcterms:modified xsi:type="dcterms:W3CDTF">2025-08-25T10:35:00Z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E7E98F7A6DC843FAB51FC28599ED11A4_13</vt:lpwstr>
  </property>
  <property fmtid="{D5CDD505-2E9C-101B-9397-08002B2CF9AE}" pid="4" name="KSOTemplateDocerSaveRecord">
    <vt:lpwstr>eyJoZGlkIjoiOGMxZTE1ZjBiNWE4NTExOTA2YjRhZDA4YWU1ZTJhZDEiLCJ1c2VySWQiOiIxMDIwNjY5NDE2In0=</vt:lpwstr>
  </property>
</Properties>
</file>