
<file path=[Content_Types].xml><?xml version="1.0" encoding="utf-8"?>
<Types xmlns="http://schemas.openxmlformats.org/package/2006/content-types">
  <Default Extension="xml" ContentType="application/xml"/>
  <Default Extension="xlsx" ContentType="application/vnd.openxmlformats-officedocument.spreadsheetml.sheet"/>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2023年度部门决算（草案</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r>
        <w:rPr>
          <w:rFonts w:hint="eastAsia" w:ascii="仿宋_GB2312" w:eastAsia="仿宋_GB2312"/>
          <w:sz w:val="28"/>
          <w:szCs w:val="28"/>
        </w:rPr>
        <w:t>（比照</w:t>
      </w:r>
      <w:r>
        <w:rPr>
          <w:rFonts w:ascii="仿宋_GB2312" w:eastAsia="仿宋_GB2312"/>
          <w:sz w:val="28"/>
          <w:szCs w:val="28"/>
        </w:rPr>
        <w:t>预算公开</w:t>
      </w:r>
      <w:r>
        <w:rPr>
          <w:rFonts w:hint="eastAsia" w:ascii="仿宋_GB2312" w:eastAsia="仿宋_GB2312"/>
          <w:sz w:val="28"/>
          <w:szCs w:val="28"/>
        </w:rPr>
        <w:t>的内容</w:t>
      </w:r>
      <w:r>
        <w:rPr>
          <w:rFonts w:ascii="仿宋_GB2312" w:eastAsia="仿宋_GB2312"/>
          <w:sz w:val="28"/>
          <w:szCs w:val="28"/>
        </w:rPr>
        <w:t>格式）</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（一）机构设置、职责（需公开内设机构数量和下属单位数量及名称）</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 xml:space="preserve">   1．机构设置情况，根据《中共北京市交通委员会党组关于印发&lt;北京市交通委员会顺义公路分局职责机构编制事项方案&gt;的通知》（京交党发〔2022〕78号），北京市交通委员会顺义公路分局下设11个科室。</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主要职能：北京市交通委员会顺义公路分局是北京市交通委员会的派出机构。负责贯彻执行国家、本市关于公路行政管理方面的法律法规、规章和政策。参与拟订本市公路行业的规范性文件、政策措施及有关公路行业标准和技术规范。参与本市公路行业改革与发展中重大问题的调查研究；负责本行政区市管普通公路行政审批工作。负责本行政区公路管理领域事中事后监管工作；参与编制本行政区公路规划。参与本行政区建设项目交通影响评价审查。研究编制本行政区市管普通公路年度建设与养护建议计划，并组织实施；负责本行政区公路建设和养护的行业管理。负责市管普通公路建设和养护工程质量安全的监督管理。负责本行政区市管公路设施安全的监督管理；负责本行政区公路路网管理和运行监测工作；负责本行政区市管普通公路及其附属设施的应急管理。组织开展本行政区市管普通公路防</w:t>
      </w:r>
      <w:r>
        <w:rPr>
          <w:rFonts w:hint="eastAsia" w:ascii="仿宋_GB2312" w:eastAsia="仿宋_GB2312"/>
          <w:sz w:val="28"/>
          <w:szCs w:val="28"/>
          <w:lang w:eastAsia="zh-CN"/>
        </w:rPr>
        <w:t>汛</w:t>
      </w:r>
      <w:bookmarkStart w:id="0" w:name="_GoBack"/>
      <w:bookmarkEnd w:id="0"/>
      <w:r>
        <w:rPr>
          <w:rFonts w:hint="eastAsia" w:ascii="仿宋_GB2312" w:eastAsia="仿宋_GB2312"/>
          <w:sz w:val="28"/>
          <w:szCs w:val="28"/>
        </w:rPr>
        <w:t>抢险、铲冰除雪等工作；负责本行政区乡村公路建设与养护管理的行业指导；承担本单位接诉即办工作；配合开展宣传报道工作；完成市交通委交办的其他任务。</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职能转变：贯彻落实北京市交通发展建设规划，积极参与区域综合交通管理优化研究和区域交通综合治理，发挥交通“先行官”作用，充分利用专业优势，服务区域经济社会发展；加强公路与城市道路衔接，全面推进区域“四好农村路”建设，着力满足基础设施布局完善、立体互联的发展要求；着力提升安全水平，完善公路行业安全生产体系，强化公路应急救援能力；促进资源节约集约利用，积极推进新能源、清洁能源应用，推进装备技术升级，强化公路行业节能减排和污染防治；坚持法治引领，深化公路行业改革，优化营商环境，强化对行业企业和从业人员的引导、管理与服务水平，会同本行政区域交通运输综合执法队伍健全行政执法协作机制，注重培育交通文明，切实提升治理能力。</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sz w:val="28"/>
          <w:szCs w:val="28"/>
        </w:rPr>
        <w:t>事业编制64人，实有人数61人。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97967.06</w:t>
      </w:r>
      <w:r>
        <w:rPr>
          <w:rFonts w:hint="eastAsia" w:ascii="仿宋_GB2312" w:eastAsia="仿宋_GB2312"/>
          <w:sz w:val="28"/>
          <w:szCs w:val="28"/>
        </w:rPr>
        <w:t>万元，比上年增加13650.67万元，增长16.19%。</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94702.5</w:t>
      </w:r>
      <w:r>
        <w:rPr>
          <w:rFonts w:hint="eastAsia" w:ascii="仿宋_GB2312" w:eastAsia="仿宋_GB2312"/>
          <w:sz w:val="28"/>
          <w:szCs w:val="28"/>
        </w:rPr>
        <w:t>0万元，比上年增加10471.07万元，增长12.43%。</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55479.96</w:t>
      </w:r>
      <w:r>
        <w:rPr>
          <w:rFonts w:hint="eastAsia" w:ascii="仿宋_GB2312" w:eastAsia="仿宋_GB2312"/>
          <w:sz w:val="28"/>
          <w:szCs w:val="28"/>
        </w:rPr>
        <w:t>万元，占收入合计的</w:t>
      </w:r>
      <w:r>
        <w:rPr>
          <w:rFonts w:ascii="仿宋_GB2312" w:eastAsia="仿宋_GB2312"/>
          <w:sz w:val="28"/>
          <w:szCs w:val="28"/>
        </w:rPr>
        <w:t>58.58</w:t>
      </w:r>
      <w:r>
        <w:rPr>
          <w:rFonts w:hint="eastAsia" w:ascii="仿宋_GB2312" w:eastAsia="仿宋_GB2312"/>
          <w:sz w:val="28"/>
          <w:szCs w:val="28"/>
        </w:rPr>
        <w:t>%。其中：一般公共预算财政拨款收入</w:t>
      </w:r>
      <w:r>
        <w:rPr>
          <w:rFonts w:ascii="仿宋_GB2312" w:eastAsia="仿宋_GB2312"/>
          <w:sz w:val="28"/>
          <w:szCs w:val="28"/>
        </w:rPr>
        <w:t>54479.96</w:t>
      </w:r>
      <w:r>
        <w:rPr>
          <w:rFonts w:hint="eastAsia" w:ascii="仿宋_GB2312" w:eastAsia="仿宋_GB2312"/>
          <w:sz w:val="28"/>
          <w:szCs w:val="28"/>
        </w:rPr>
        <w:t>万元，占收入合计的</w:t>
      </w:r>
      <w:r>
        <w:rPr>
          <w:rFonts w:ascii="仿宋_GB2312" w:eastAsia="仿宋_GB2312"/>
          <w:sz w:val="28"/>
          <w:szCs w:val="28"/>
        </w:rPr>
        <w:t>57.52</w:t>
      </w:r>
      <w:r>
        <w:rPr>
          <w:rFonts w:hint="eastAsia" w:ascii="仿宋_GB2312" w:eastAsia="仿宋_GB2312"/>
          <w:sz w:val="28"/>
          <w:szCs w:val="28"/>
        </w:rPr>
        <w:t>%；政府性基金预算财政拨款收入</w:t>
      </w:r>
      <w:r>
        <w:rPr>
          <w:rFonts w:ascii="仿宋_GB2312" w:eastAsia="仿宋_GB2312"/>
          <w:sz w:val="28"/>
          <w:szCs w:val="28"/>
        </w:rPr>
        <w:t>1000</w:t>
      </w:r>
      <w:r>
        <w:rPr>
          <w:rFonts w:hint="eastAsia" w:ascii="仿宋_GB2312" w:eastAsia="仿宋_GB2312"/>
          <w:sz w:val="28"/>
          <w:szCs w:val="28"/>
        </w:rPr>
        <w:t>万元，占收入合计的</w:t>
      </w:r>
      <w:r>
        <w:rPr>
          <w:rFonts w:ascii="仿宋_GB2312" w:eastAsia="仿宋_GB2312"/>
          <w:sz w:val="28"/>
          <w:szCs w:val="28"/>
        </w:rPr>
        <w:t>1.05</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39222.54</w:t>
      </w:r>
      <w:r>
        <w:rPr>
          <w:rFonts w:hint="eastAsia" w:ascii="仿宋_GB2312" w:eastAsia="仿宋_GB2312"/>
          <w:sz w:val="28"/>
          <w:szCs w:val="28"/>
        </w:rPr>
        <w:t>万元，占收入合计的</w:t>
      </w:r>
      <w:r>
        <w:rPr>
          <w:rFonts w:ascii="仿宋_GB2312" w:eastAsia="仿宋_GB2312"/>
          <w:sz w:val="28"/>
          <w:szCs w:val="28"/>
        </w:rPr>
        <w:t>41.4</w:t>
      </w:r>
      <w:r>
        <w:rPr>
          <w:rFonts w:hint="eastAsia" w:ascii="仿宋_GB2312" w:eastAsia="仿宋_GB2312"/>
          <w:sz w:val="28"/>
          <w:szCs w:val="28"/>
        </w:rPr>
        <w:t>2%。</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（此处插入图表，用上述收入金额制作饼状图，示例如下，无金额类型不必制图）</w:t>
      </w:r>
    </w:p>
    <w:p>
      <w:pPr>
        <w:pStyle w:val="3"/>
        <w:jc w:val="center"/>
      </w:pPr>
      <w:r>
        <w:rPr>
          <w:rFonts w:hint="eastAsia" w:ascii="仿宋_GB2312" w:eastAsia="仿宋_GB2312"/>
          <w:color w:val="000000"/>
          <w:sz w:val="32"/>
        </w:rPr>
        <w:t>图1：收入决算</w:t>
      </w:r>
    </w:p>
    <w:p>
      <w:pPr>
        <w:jc w:val="center"/>
      </w:pPr>
      <w:r>
        <w:drawing>
          <wp:inline distT="0" distB="0" distL="0" distR="0">
            <wp:extent cx="4572000" cy="2743200"/>
            <wp:effectExtent l="0" t="0" r="19050" b="1905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2023年度本年支出合计94537.55万元，比上年增加14070.75万元，增长17.48%，其中：基本支出2635.30万元，占支出合计的2.79%；项目支出91902.25万元，占支出合计的97.21%;上缴上级支出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spacing w:line="560" w:lineRule="exact"/>
        <w:ind w:firstLine="640"/>
        <w:rPr>
          <w:rFonts w:ascii="仿宋_GB2312" w:eastAsia="仿宋_GB2312" w:cs="Droid Sans"/>
          <w:color w:val="000000"/>
          <w:sz w:val="32"/>
          <w:szCs w:val="32"/>
        </w:rPr>
      </w:pPr>
      <w:r>
        <w:rPr>
          <w:rFonts w:hint="eastAsia" w:ascii="仿宋_GB2312" w:eastAsia="仿宋_GB2312" w:cs="Droid Sans"/>
          <w:color w:val="000000"/>
          <w:sz w:val="32"/>
          <w:szCs w:val="32"/>
        </w:rPr>
        <w:t>（此处插入图表，用上述支出金额制作饼状图，示例如下，无金额类型不必制图）</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rPr>
          <w:rFonts w:ascii="黑体" w:eastAsia="黑体"/>
          <w:b/>
          <w:sz w:val="28"/>
          <w:szCs w:val="28"/>
        </w:rPr>
        <w:drawing>
          <wp:inline distT="0" distB="0" distL="0" distR="0">
            <wp:extent cx="4584700" cy="2755900"/>
            <wp:effectExtent l="0" t="0" r="6350" b="6350"/>
            <wp:docPr id="4" name="图片 4"/>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true" noChangeArrowheads="true"/>
                    </pic:cNvPicPr>
                  </pic:nvPicPr>
                  <pic:blipFill>
                    <a:blip r:embed="rId8">
                      <a:extLst>
                        <a:ext uri="{28A0092B-C50C-407E-A947-70E740481C1C}">
                          <a14:useLocalDpi xmlns:a14="http://schemas.microsoft.com/office/drawing/2010/main" val="false"/>
                        </a:ext>
                      </a:extLst>
                    </a:blip>
                    <a:srcRect/>
                    <a:stretch>
                      <a:fillRect/>
                    </a:stretch>
                  </pic:blipFill>
                  <pic:spPr>
                    <a:xfrm>
                      <a:off x="0" y="0"/>
                      <a:ext cx="4584700" cy="2755900"/>
                    </a:xfrm>
                    <a:prstGeom prst="rect">
                      <a:avLst/>
                    </a:prstGeom>
                    <a:noFill/>
                  </pic:spPr>
                </pic:pic>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58647.79</w:t>
      </w:r>
      <w:r>
        <w:rPr>
          <w:rFonts w:hint="eastAsia" w:ascii="仿宋_GB2312" w:eastAsia="仿宋_GB2312"/>
          <w:sz w:val="28"/>
          <w:szCs w:val="28"/>
        </w:rPr>
        <w:t>万元，比上年</w:t>
      </w:r>
      <w:r>
        <w:rPr>
          <w:rFonts w:ascii="仿宋_GB2312" w:eastAsia="仿宋_GB2312"/>
          <w:sz w:val="28"/>
          <w:szCs w:val="28"/>
        </w:rPr>
        <w:t>增加3033.99</w:t>
      </w:r>
      <w:r>
        <w:rPr>
          <w:rFonts w:hint="eastAsia" w:ascii="仿宋_GB2312" w:eastAsia="仿宋_GB2312"/>
          <w:sz w:val="28"/>
          <w:szCs w:val="28"/>
        </w:rPr>
        <w:t>万元，增长5.45%。主要原因：工程项目及投资增加。</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54225.78</w:t>
      </w:r>
      <w:r>
        <w:rPr>
          <w:rFonts w:hint="eastAsia" w:ascii="仿宋_GB2312" w:eastAsia="仿宋_GB2312"/>
          <w:sz w:val="28"/>
          <w:szCs w:val="28"/>
        </w:rPr>
        <w:t>万元，主要用于以下方面（按大类）：教育支出2万元，占本年财政拨款支出0.004%，社会保障和就业支出283.97万元，占本年财政拨款支出0.524%，卫生健康支出188.27万元，占本年财政拨款支出0.347%、交通运输支出53751.54万元，占本年财政拨款支出99.125%。</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1、“教育支出”2023年度支出决算金额2万元，年初预算批复2万元。其中：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“进修及培训”2023年度支出决算金额2万元，年初预算批复2万元。</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2、“社会保障和就业支出”2023年度支出决算金额283.97万元，比年初预算批复</w:t>
      </w:r>
      <w:r>
        <w:rPr>
          <w:rFonts w:ascii="仿宋_GB2312" w:eastAsia="仿宋_GB2312"/>
          <w:sz w:val="28"/>
          <w:szCs w:val="28"/>
        </w:rPr>
        <w:t>313.86</w:t>
      </w:r>
      <w:r>
        <w:rPr>
          <w:rFonts w:hint="eastAsia" w:ascii="仿宋_GB2312" w:eastAsia="仿宋_GB2312"/>
          <w:sz w:val="28"/>
          <w:szCs w:val="28"/>
        </w:rPr>
        <w:t>万元减少29.89万元，下降9.52%。其中：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2023年度支出决算金额283.97万元，比年初预算批复313.86万元减少29.89万元，下降9.52%。主要原因是：执行全市统一养老保险和职业年金缴费政策，在预算执行过程中根据实际人员变动情况安排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3、“卫生健康支出”2023年度支出决算金额188.26万元，与年初预算批复</w:t>
      </w:r>
      <w:r>
        <w:rPr>
          <w:rFonts w:ascii="仿宋_GB2312" w:eastAsia="仿宋_GB2312"/>
          <w:sz w:val="28"/>
          <w:szCs w:val="28"/>
        </w:rPr>
        <w:t>188.26</w:t>
      </w:r>
      <w:r>
        <w:rPr>
          <w:rFonts w:hint="eastAsia" w:ascii="仿宋_GB2312" w:eastAsia="仿宋_GB2312"/>
          <w:sz w:val="28"/>
          <w:szCs w:val="28"/>
        </w:rPr>
        <w:t>万元持平。其中：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“行政事业单位医疗”2023年度支出决算金额188.266776万元，与年初预算批复162.14万元持平。</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4、“交通运输支出”2023年度支出决算金额53751.54万元，比年初预算批复</w:t>
      </w:r>
      <w:r>
        <w:rPr>
          <w:rFonts w:ascii="仿宋_GB2312" w:eastAsia="仿宋_GB2312"/>
          <w:sz w:val="28"/>
          <w:szCs w:val="28"/>
        </w:rPr>
        <w:t>20101.91</w:t>
      </w:r>
      <w:r>
        <w:rPr>
          <w:rFonts w:hint="eastAsia" w:ascii="仿宋_GB2312" w:eastAsia="仿宋_GB2312"/>
          <w:sz w:val="28"/>
          <w:szCs w:val="28"/>
        </w:rPr>
        <w:t>万元增加</w:t>
      </w:r>
      <w:r>
        <w:rPr>
          <w:rFonts w:ascii="仿宋_GB2312" w:eastAsia="仿宋_GB2312"/>
          <w:sz w:val="28"/>
          <w:szCs w:val="28"/>
        </w:rPr>
        <w:t>33649.63</w:t>
      </w:r>
      <w:r>
        <w:rPr>
          <w:rFonts w:hint="eastAsia" w:ascii="仿宋_GB2312" w:eastAsia="仿宋_GB2312"/>
          <w:sz w:val="28"/>
          <w:szCs w:val="28"/>
        </w:rPr>
        <w:t>万元，上升167.39%。其中：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公路水路运输”2023年度支出决算金额53751.54万元，比年初预算批复20101.91万元增加33649.63万元，上升167.39%。主要原因：2023年加大了对通怀路(二期)、天北路北延（顺义段）等道路工程、昌金路牛栏山引水桥危桥改造工程及普通公路养护工程、市级道路灾后恢复重建工程等项目的投入。</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2023年度政府性基金预算财政拨款支出</w:t>
      </w:r>
      <w:r>
        <w:rPr>
          <w:rFonts w:ascii="仿宋_GB2312" w:eastAsia="仿宋_GB2312"/>
          <w:sz w:val="28"/>
          <w:szCs w:val="28"/>
        </w:rPr>
        <w:t>1000</w:t>
      </w:r>
      <w:r>
        <w:rPr>
          <w:rFonts w:hint="eastAsia" w:ascii="仿宋_GB2312" w:eastAsia="仿宋_GB2312"/>
          <w:sz w:val="28"/>
          <w:szCs w:val="28"/>
        </w:rPr>
        <w:t>万元，主要用于以下方面（按大类）：城乡社区支出1000万元，占本年财政拨款支出1.81%。</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1、“城乡社区支出”（类，下同）2023年度决算1000万元，比2023年度年初预算增加1000万元，增长100%。其中：</w:t>
      </w:r>
    </w:p>
    <w:p>
      <w:pPr>
        <w:autoSpaceDE w:val="0"/>
        <w:autoSpaceDN w:val="0"/>
        <w:adjustRightInd w:val="0"/>
        <w:spacing w:line="580" w:lineRule="exact"/>
        <w:ind w:firstLine="700" w:firstLineChars="250"/>
        <w:jc w:val="left"/>
        <w:rPr>
          <w:rFonts w:ascii="仿宋_GB2312" w:eastAsia="仿宋_GB2312"/>
          <w:sz w:val="28"/>
          <w:szCs w:val="28"/>
        </w:rPr>
      </w:pPr>
      <w:r>
        <w:rPr>
          <w:rFonts w:hint="eastAsia" w:ascii="仿宋_GB2312" w:eastAsia="仿宋_GB2312"/>
          <w:sz w:val="28"/>
          <w:szCs w:val="28"/>
        </w:rPr>
        <w:t>“国有土地使用权出让收入安排的支出” 2023年度支出决算1000万元，比2023年度年初预算增加1000万元，上升100%。主要原因是：通怀路(二期)道路工程年中追加固定资产投资1000万元。</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2635.3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“三公”经费包括本单位所属1个参照公务员法管理事业单位。2023年度“三公”经费财政拨款决算数</w:t>
      </w:r>
      <w:r>
        <w:rPr>
          <w:rFonts w:ascii="仿宋_GB2312" w:eastAsia="仿宋_GB2312"/>
          <w:sz w:val="28"/>
          <w:szCs w:val="28"/>
        </w:rPr>
        <w:t>5.5</w:t>
      </w:r>
      <w:r>
        <w:rPr>
          <w:rFonts w:hint="eastAsia" w:ascii="仿宋_GB2312" w:eastAsia="仿宋_GB2312"/>
          <w:sz w:val="28"/>
          <w:szCs w:val="28"/>
        </w:rPr>
        <w:t>万元，比2023年度“三公”经费财政拨款年初预算</w:t>
      </w:r>
      <w:r>
        <w:rPr>
          <w:rFonts w:ascii="仿宋_GB2312" w:eastAsia="仿宋_GB2312"/>
          <w:sz w:val="28"/>
          <w:szCs w:val="28"/>
        </w:rPr>
        <w:t>7.5</w:t>
      </w:r>
      <w:r>
        <w:rPr>
          <w:rFonts w:hint="eastAsia" w:ascii="仿宋_GB2312" w:eastAsia="仿宋_GB2312"/>
          <w:sz w:val="28"/>
          <w:szCs w:val="28"/>
        </w:rPr>
        <w:t>万元减少</w:t>
      </w:r>
      <w:r>
        <w:rPr>
          <w:rFonts w:ascii="仿宋_GB2312" w:eastAsia="仿宋_GB2312"/>
          <w:sz w:val="28"/>
          <w:szCs w:val="28"/>
        </w:rPr>
        <w:t>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p>
    <w:p>
      <w:pPr>
        <w:spacing w:line="560" w:lineRule="exact"/>
        <w:ind w:firstLine="60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p>
    <w:p>
      <w:pPr>
        <w:spacing w:line="560" w:lineRule="exact"/>
        <w:ind w:firstLine="600"/>
        <w:rPr>
          <w:rFonts w:ascii="仿宋_GB2312" w:eastAsia="仿宋_GB2312"/>
          <w:sz w:val="28"/>
          <w:szCs w:val="28"/>
        </w:rPr>
      </w:pPr>
      <w:r>
        <w:rPr>
          <w:rFonts w:hint="eastAsia" w:ascii="仿宋_GB2312" w:eastAsia="仿宋_GB2312"/>
          <w:sz w:val="28"/>
          <w:szCs w:val="28"/>
        </w:rPr>
        <w:t>本年度无此项支出。</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3.公务用车购置及运行维护费。2023年度决算数5.50万元，比2023年度年初预算数7.50万元减少2万元。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万元。主要原因：本年度无此项支出，2023年度购置（更新）0辆，车均购置费0万元。公务用车运行维护费2023年度决算数</w:t>
      </w:r>
      <w:r>
        <w:rPr>
          <w:rFonts w:ascii="仿宋_GB2312" w:eastAsia="仿宋_GB2312"/>
          <w:sz w:val="28"/>
          <w:szCs w:val="28"/>
        </w:rPr>
        <w:t>5.5</w:t>
      </w:r>
      <w:r>
        <w:rPr>
          <w:rFonts w:hint="eastAsia" w:ascii="仿宋_GB2312" w:eastAsia="仿宋_GB2312"/>
          <w:sz w:val="28"/>
          <w:szCs w:val="28"/>
        </w:rPr>
        <w:t>万元，比2023年度年初预算数</w:t>
      </w:r>
      <w:r>
        <w:rPr>
          <w:rFonts w:ascii="仿宋_GB2312" w:eastAsia="仿宋_GB2312"/>
          <w:sz w:val="28"/>
          <w:szCs w:val="28"/>
        </w:rPr>
        <w:t>7.5</w:t>
      </w:r>
      <w:r>
        <w:rPr>
          <w:rFonts w:hint="eastAsia" w:ascii="仿宋_GB2312" w:eastAsia="仿宋_GB2312"/>
          <w:sz w:val="28"/>
          <w:szCs w:val="28"/>
        </w:rPr>
        <w:t>万元减少2万元，主要原因：落实政府过紧日子要求，加强公务用车管理，严格控制公务车辆运行费用支出。2023年度公务用车运行维护费中，公务用车加油</w:t>
      </w:r>
      <w:r>
        <w:rPr>
          <w:rFonts w:ascii="仿宋_GB2312" w:eastAsia="仿宋_GB2312"/>
          <w:sz w:val="28"/>
          <w:szCs w:val="28"/>
        </w:rPr>
        <w:t>1.1</w:t>
      </w:r>
      <w:r>
        <w:rPr>
          <w:rFonts w:hint="eastAsia" w:ascii="仿宋_GB2312" w:eastAsia="仿宋_GB2312"/>
          <w:sz w:val="28"/>
          <w:szCs w:val="28"/>
        </w:rPr>
        <w:t>万元，公务用车维修</w:t>
      </w:r>
      <w:r>
        <w:rPr>
          <w:rFonts w:ascii="仿宋_GB2312" w:eastAsia="仿宋_GB2312"/>
          <w:sz w:val="28"/>
          <w:szCs w:val="28"/>
        </w:rPr>
        <w:t>2.51</w:t>
      </w:r>
      <w:r>
        <w:rPr>
          <w:rFonts w:hint="eastAsia" w:ascii="仿宋_GB2312" w:eastAsia="仿宋_GB2312"/>
          <w:sz w:val="28"/>
          <w:szCs w:val="28"/>
        </w:rPr>
        <w:t>万元，公务用车保险</w:t>
      </w:r>
      <w:r>
        <w:rPr>
          <w:rFonts w:ascii="仿宋_GB2312" w:eastAsia="仿宋_GB2312"/>
          <w:sz w:val="28"/>
          <w:szCs w:val="28"/>
        </w:rPr>
        <w:t>1.76</w:t>
      </w:r>
      <w:r>
        <w:rPr>
          <w:rFonts w:hint="eastAsia" w:ascii="仿宋_GB2312" w:eastAsia="仿宋_GB2312"/>
          <w:sz w:val="28"/>
          <w:szCs w:val="28"/>
        </w:rPr>
        <w:t>万元，公务用车其他支出</w:t>
      </w:r>
      <w:r>
        <w:rPr>
          <w:rFonts w:ascii="仿宋_GB2312" w:eastAsia="仿宋_GB2312"/>
          <w:sz w:val="28"/>
          <w:szCs w:val="28"/>
        </w:rPr>
        <w:t>0.13</w:t>
      </w:r>
      <w:r>
        <w:rPr>
          <w:rFonts w:hint="eastAsia" w:ascii="仿宋_GB2312" w:eastAsia="仿宋_GB2312"/>
          <w:sz w:val="28"/>
          <w:szCs w:val="28"/>
        </w:rPr>
        <w:t>万元。2023年度公务用车保有量8辆，车均运行维护费0.68万元。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ascii="仿宋_GB2312" w:eastAsia="仿宋_GB2312"/>
          <w:sz w:val="28"/>
          <w:szCs w:val="28"/>
        </w:rPr>
        <w:t>402.62</w:t>
      </w:r>
      <w:r>
        <w:rPr>
          <w:rFonts w:hint="eastAsia" w:ascii="仿宋_GB2312" w:eastAsia="仿宋_GB2312"/>
          <w:sz w:val="28"/>
          <w:szCs w:val="28"/>
        </w:rPr>
        <w:t>万元，比上年减少7.24万元，减少原因：落实政府过紧日子要求，压减公务用车运行维护费等一般性支出。</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45.87</w:t>
      </w:r>
      <w:r>
        <w:rPr>
          <w:rFonts w:hint="eastAsia" w:ascii="仿宋_GB2312" w:eastAsia="仿宋_GB2312"/>
          <w:sz w:val="28"/>
          <w:szCs w:val="28"/>
        </w:rPr>
        <w:t>万元，其中：政府采购货物支出</w:t>
      </w:r>
      <w:r>
        <w:rPr>
          <w:rFonts w:ascii="仿宋_GB2312" w:eastAsia="仿宋_GB2312"/>
          <w:sz w:val="28"/>
          <w:szCs w:val="28"/>
        </w:rPr>
        <w:t>2.06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43.81</w:t>
      </w:r>
      <w:r>
        <w:rPr>
          <w:rFonts w:hint="eastAsia" w:ascii="仿宋_GB2312" w:eastAsia="仿宋_GB2312"/>
          <w:sz w:val="28"/>
          <w:szCs w:val="28"/>
        </w:rPr>
        <w:t>万元。授予中小企业合同金额</w:t>
      </w:r>
      <w:r>
        <w:rPr>
          <w:rFonts w:ascii="仿宋_GB2312" w:eastAsia="仿宋_GB2312"/>
          <w:sz w:val="28"/>
          <w:szCs w:val="28"/>
        </w:rPr>
        <w:t>43.24</w:t>
      </w:r>
      <w:r>
        <w:rPr>
          <w:rFonts w:hint="eastAsia" w:ascii="仿宋_GB2312" w:eastAsia="仿宋_GB2312"/>
          <w:sz w:val="28"/>
          <w:szCs w:val="28"/>
        </w:rPr>
        <w:t>万元，占政府采购支出总额的</w:t>
      </w:r>
      <w:r>
        <w:rPr>
          <w:rFonts w:ascii="仿宋_GB2312" w:eastAsia="仿宋_GB2312"/>
          <w:sz w:val="28"/>
          <w:szCs w:val="28"/>
        </w:rPr>
        <w:t>94.27</w:t>
      </w:r>
      <w:r>
        <w:rPr>
          <w:rFonts w:hint="eastAsia" w:ascii="仿宋_GB2312" w:eastAsia="仿宋_GB2312"/>
          <w:sz w:val="28"/>
          <w:szCs w:val="28"/>
        </w:rPr>
        <w:t>%，其中：授予小微企业合同金额</w:t>
      </w:r>
      <w:r>
        <w:rPr>
          <w:rFonts w:ascii="仿宋_GB2312" w:eastAsia="仿宋_GB2312"/>
          <w:sz w:val="28"/>
          <w:szCs w:val="28"/>
        </w:rPr>
        <w:t>42.01</w:t>
      </w:r>
      <w:r>
        <w:rPr>
          <w:rFonts w:hint="eastAsia" w:ascii="仿宋_GB2312" w:eastAsia="仿宋_GB2312"/>
          <w:sz w:val="28"/>
          <w:szCs w:val="28"/>
        </w:rPr>
        <w:t>万元，占政府采购支出总额的</w:t>
      </w:r>
      <w:r>
        <w:rPr>
          <w:rFonts w:ascii="仿宋_GB2312" w:eastAsia="仿宋_GB2312"/>
          <w:sz w:val="28"/>
          <w:szCs w:val="28"/>
        </w:rPr>
        <w:t>91.58</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2023年度新购置车辆0台，共计0万元；新购置单位价值100万元（含）以上的设备0台（套），共计0万元。截至12月31日，北京市交通委员会顺义公路分局共有车辆8台，共计</w:t>
      </w:r>
      <w:r>
        <w:rPr>
          <w:rFonts w:ascii="仿宋_GB2312" w:eastAsia="仿宋_GB2312"/>
          <w:sz w:val="28"/>
          <w:szCs w:val="28"/>
        </w:rPr>
        <w:t>128</w:t>
      </w:r>
      <w:r>
        <w:rPr>
          <w:rFonts w:hint="eastAsia" w:ascii="仿宋_GB2312" w:eastAsia="仿宋_GB2312"/>
          <w:sz w:val="28"/>
          <w:szCs w:val="28"/>
        </w:rPr>
        <w:t>.</w:t>
      </w:r>
      <w:r>
        <w:rPr>
          <w:rFonts w:ascii="仿宋_GB2312" w:eastAsia="仿宋_GB2312"/>
          <w:sz w:val="28"/>
          <w:szCs w:val="28"/>
        </w:rPr>
        <w:t>6</w:t>
      </w:r>
      <w:r>
        <w:rPr>
          <w:rFonts w:hint="eastAsia" w:ascii="仿宋_GB2312" w:eastAsia="仿宋_GB2312"/>
          <w:sz w:val="28"/>
          <w:szCs w:val="28"/>
        </w:rPr>
        <w:t>1万元；单位价值100万元（含）以上的设备0台（套），共计0万元。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政府购买服务决算82.72</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560" w:firstLineChars="20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52" w:firstLineChars="200"/>
        <w:rPr>
          <w:rFonts w:ascii="仿宋_GB2312" w:eastAsia="仿宋_GB2312"/>
          <w:color w:val="000000"/>
          <w:spacing w:val="-2"/>
          <w:sz w:val="28"/>
          <w:szCs w:val="28"/>
        </w:rPr>
      </w:pPr>
      <w:r>
        <w:rPr>
          <w:rFonts w:hint="eastAsia" w:ascii="仿宋_GB2312" w:eastAsia="仿宋_GB2312"/>
          <w:color w:val="000000"/>
          <w:spacing w:val="-2"/>
          <w:sz w:val="28"/>
          <w:szCs w:val="28"/>
        </w:rPr>
        <w:t>7.当年使用的所有支出功能分类项级科目名词解释：</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教育支出（类）进修及培训（款）培训支出（项）：反映各部门安排用于培训的支出。教育部门的师资培训，党校、行政学院等专业干部教育机构的支出，以及退役士兵、转业士官的培训支出，不在本科目反映。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社会保障和就业支出（类）行政事业单位养老支出（款）机关事业单位职业年金缴费支出（项）：反映机关事业单位实施养老保险制度由单位实际缴纳的职业年金支出。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社会保障和就业支出（类）行政事业单位养老支出（款）其他行政事业单位养老支出（项）：反映出上述项目以外其他用于行政事业单位养老方面的支出。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卫生健康支出（类）行政事业单位医疗（款）公务员医疗补助（项）：反映财政部门安排的公务员医疗补助经费。</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城乡社区支出（类）国有土地使用权出让收入安排的支出（款）城市建设支出（项）：反映土地出让收入用于完善国有土地使用功能的配套设施建设和城市基础设施建设支出。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交通运输支出（类）公路水路运输（款）公路建设（项）：反映新建公路支出，公路改建支出，特大型桥梁建设支出，公路客货运站（场）建设支出。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交通运输支出（类）公路水路运输（款）公路养护（项）：反映公路养护支出。</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交通运输支出（类）公路水路运输（款）其他公路水路运输支出（项）：反映出上述项目以外其他用于公路水路运输方面的支出。</w:t>
      </w:r>
    </w:p>
    <w:p>
      <w:pPr>
        <w:ind w:firstLine="560" w:firstLineChars="200"/>
        <w:rPr>
          <w:rFonts w:ascii="仿宋_GB2312" w:eastAsia="仿宋_GB2312"/>
          <w:sz w:val="28"/>
          <w:szCs w:val="28"/>
        </w:rPr>
      </w:pPr>
      <w:r>
        <w:rPr>
          <w:rFonts w:hint="eastAsia" w:ascii="仿宋_GB2312" w:eastAsia="仿宋_GB2312"/>
          <w:sz w:val="28"/>
          <w:szCs w:val="28"/>
        </w:rPr>
        <w:t>交通运输支出（类）车辆购置税支出（款）车辆购置税用于农村公路建设支出（项）：反映车辆购置税收入安排用于农村公路建设的支出。</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980" w:firstLineChars="35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0000019F" w:csb1="00000000"/>
  </w:font>
  <w:font w:name="仿宋_GB2312">
    <w:panose1 w:val="02010609030101010101"/>
    <w:charset w:val="86"/>
    <w:family w:val="modern"/>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000101FF" w:csb1="00000000"/>
  </w:font>
  <w:font w:name="仿宋">
    <w:panose1 w:val="02010609060101010101"/>
    <w:charset w:val="86"/>
    <w:family w:val="modern"/>
    <w:pitch w:val="default"/>
    <w:sig w:usb0="800002BF" w:usb1="38CF7CFA" w:usb2="00000016" w:usb3="00000000" w:csb0="00040001" w:csb1="00000000"/>
  </w:font>
  <w:font w:name="Droid Sans">
    <w:altName w:val="宋体"/>
    <w:panose1 w:val="00000000000000000000"/>
    <w:charset w:val="00"/>
    <w:family w:val="auto"/>
    <w:pitch w:val="default"/>
    <w:sig w:usb0="00000000" w:usb1="00000000" w:usb2="00000000"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3060"/>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562F4"/>
    <w:rsid w:val="0026479D"/>
    <w:rsid w:val="002673C4"/>
    <w:rsid w:val="0027112B"/>
    <w:rsid w:val="00271C3F"/>
    <w:rsid w:val="00272460"/>
    <w:rsid w:val="00273070"/>
    <w:rsid w:val="0027394A"/>
    <w:rsid w:val="00274D50"/>
    <w:rsid w:val="002760D5"/>
    <w:rsid w:val="00276289"/>
    <w:rsid w:val="0028081D"/>
    <w:rsid w:val="0028458C"/>
    <w:rsid w:val="002911BD"/>
    <w:rsid w:val="00291456"/>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261F"/>
    <w:rsid w:val="003254B6"/>
    <w:rsid w:val="00325687"/>
    <w:rsid w:val="00332C14"/>
    <w:rsid w:val="00335079"/>
    <w:rsid w:val="003352CE"/>
    <w:rsid w:val="00341D8E"/>
    <w:rsid w:val="003502B9"/>
    <w:rsid w:val="00351B8F"/>
    <w:rsid w:val="00353226"/>
    <w:rsid w:val="00353717"/>
    <w:rsid w:val="00354630"/>
    <w:rsid w:val="00365A24"/>
    <w:rsid w:val="003712DB"/>
    <w:rsid w:val="00373DDC"/>
    <w:rsid w:val="003748A0"/>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1B59"/>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1419F"/>
    <w:rsid w:val="0052381C"/>
    <w:rsid w:val="005346B3"/>
    <w:rsid w:val="0054051C"/>
    <w:rsid w:val="00546A84"/>
    <w:rsid w:val="00547BE2"/>
    <w:rsid w:val="0055353D"/>
    <w:rsid w:val="0056187C"/>
    <w:rsid w:val="00576B03"/>
    <w:rsid w:val="00581E1A"/>
    <w:rsid w:val="005863D8"/>
    <w:rsid w:val="00591655"/>
    <w:rsid w:val="00591BEC"/>
    <w:rsid w:val="005940EA"/>
    <w:rsid w:val="00594448"/>
    <w:rsid w:val="005A1D6F"/>
    <w:rsid w:val="005A4D82"/>
    <w:rsid w:val="005A52A6"/>
    <w:rsid w:val="005A7C0C"/>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2463"/>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1A22"/>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21DB"/>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0516D"/>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36602"/>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2F1B"/>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4958"/>
    <w:rsid w:val="00E4554E"/>
    <w:rsid w:val="00E46D22"/>
    <w:rsid w:val="00E4768F"/>
    <w:rsid w:val="00E53C0E"/>
    <w:rsid w:val="00E54F7E"/>
    <w:rsid w:val="00E560CE"/>
    <w:rsid w:val="00E5674E"/>
    <w:rsid w:val="00E63783"/>
    <w:rsid w:val="00E650E2"/>
    <w:rsid w:val="00E74A41"/>
    <w:rsid w:val="00E75CAD"/>
    <w:rsid w:val="00E76922"/>
    <w:rsid w:val="00E8595B"/>
    <w:rsid w:val="00E915EC"/>
    <w:rsid w:val="00EA11B1"/>
    <w:rsid w:val="00EA2224"/>
    <w:rsid w:val="00EA2A56"/>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4E6"/>
    <w:rsid w:val="00F27B2A"/>
    <w:rsid w:val="00F31762"/>
    <w:rsid w:val="00F345D3"/>
    <w:rsid w:val="00F356ED"/>
    <w:rsid w:val="00F359B5"/>
    <w:rsid w:val="00F4144F"/>
    <w:rsid w:val="00F418B4"/>
    <w:rsid w:val="00F433F3"/>
    <w:rsid w:val="00F4430A"/>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7FB60F1"/>
    <w:rsid w:val="433E495C"/>
    <w:rsid w:val="4AC27CB3"/>
    <w:rsid w:val="4BF72BEF"/>
    <w:rsid w:val="51DB3C59"/>
    <w:rsid w:val="55762E42"/>
    <w:rsid w:val="57A7B272"/>
    <w:rsid w:val="58470068"/>
    <w:rsid w:val="5A1720F9"/>
    <w:rsid w:val="5B9C37C2"/>
    <w:rsid w:val="5BA7C654"/>
    <w:rsid w:val="64C0607C"/>
    <w:rsid w:val="676F09E1"/>
    <w:rsid w:val="678F5DDD"/>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txPr>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p>
      </c:txPr>
    </c:title>
    <c:autoTitleDeleted val="false"/>
    <c:plotArea>
      <c:layout/>
      <c:pieChart>
        <c:varyColors val="true"/>
        <c:ser>
          <c:idx val="0"/>
          <c:order val="0"/>
          <c:tx>
            <c:strRef>
              <c:f>Sheet1!$D$2</c:f>
              <c:strCache>
                <c:ptCount val="1"/>
                <c:pt idx="0">
                  <c:v>收入决算</c:v>
                </c:pt>
              </c:strCache>
            </c:strRef>
          </c:tx>
          <c:explosion val="0"/>
          <c:dPt>
            <c:idx val="0"/>
            <c:bubble3D val="false"/>
          </c:dPt>
          <c:dPt>
            <c:idx val="1"/>
            <c:bubble3D val="false"/>
          </c:dPt>
          <c:dPt>
            <c:idx val="2"/>
            <c:bubble3D val="false"/>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multiLvlStrRef>
              <c:f>Sheet1!$B$3:$C$5</c:f>
              <c:multiLvlStrCache>
                <c:ptCount val="2"/>
                <c:lvl>
                  <c:pt idx="0">
                    <c:v>55479.96万元</c:v>
                  </c:pt>
                  <c:pt idx="1">
                    <c:v>39222.54万元</c:v>
                  </c:pt>
                </c:lvl>
                <c:lvl>
                  <c:pt idx="0">
                    <c:v>财政拨款收入</c:v>
                  </c:pt>
                  <c:pt idx="1">
                    <c:v>其他收入</c:v>
                  </c:pt>
                </c:lvl>
              </c:multiLvlStrCache>
            </c:multiLvlStrRef>
          </c:cat>
          <c:val>
            <c:numRef>
              <c:f>Sheet1!$D$3:$D$5</c:f>
              <c:numCache>
                <c:formatCode>0.00%</c:formatCode>
                <c:ptCount val="3"/>
                <c:pt idx="0">
                  <c:v>0.5858</c:v>
                </c:pt>
                <c:pt idx="1">
                  <c:v>0.4142</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manualLayout>
          <c:xMode val="edge"/>
          <c:yMode val="edge"/>
          <c:x val="0.604834645669291"/>
          <c:y val="0.365515091863517"/>
          <c:w val="0.378498687664042"/>
          <c:h val="0.418969816272966"/>
        </c:manualLayout>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15</Pages>
  <Words>902</Words>
  <Characters>5148</Characters>
  <Lines>42</Lines>
  <Paragraphs>12</Paragraphs>
  <TotalTime>0</TotalTime>
  <ScaleCrop>false</ScaleCrop>
  <LinksUpToDate>false</LinksUpToDate>
  <CharactersWithSpaces>6038</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bmct-aktd</cp:lastModifiedBy>
  <cp:lastPrinted>2020-08-08T03:39:00Z</cp:lastPrinted>
  <dcterms:modified xsi:type="dcterms:W3CDTF">2024-12-11T11:22:45Z</dcterms:modified>
  <dc:title>北京市财政局关于做好向市人大常委会报送2015年度市级部门决算（草案）</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