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p>
    <w:p>
      <w:pPr>
        <w:jc w:val="center"/>
        <w:rPr>
          <w:rFonts w:hint="eastAsia" w:ascii="黑体" w:eastAsia="黑体"/>
          <w:sz w:val="72"/>
          <w:szCs w:val="72"/>
        </w:rPr>
      </w:pPr>
    </w:p>
    <w:p>
      <w:pPr>
        <w:jc w:val="center"/>
        <w:rPr>
          <w:rFonts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lang w:eastAsia="zh-CN"/>
        </w:rPr>
      </w:pPr>
      <w:r>
        <w:rPr>
          <w:rFonts w:hint="eastAsia" w:ascii="黑体" w:eastAsia="黑体"/>
          <w:sz w:val="72"/>
          <w:szCs w:val="72"/>
        </w:rPr>
        <w:t>2023年度部门决算</w:t>
      </w:r>
      <w:r>
        <w:rPr>
          <w:rFonts w:hint="eastAsia" w:ascii="黑体" w:eastAsia="黑体"/>
          <w:sz w:val="72"/>
          <w:szCs w:val="72"/>
          <w:lang w:eastAsia="zh-CN"/>
        </w:rPr>
        <w:t>公开</w:t>
      </w:r>
    </w:p>
    <w:p>
      <w:pPr>
        <w:pStyle w:val="2"/>
        <w:rPr>
          <w:rFonts w:hint="eastAsia" w:ascii="黑体" w:hAnsi="Times New Roman" w:eastAsia="黑体" w:cs="Times New Roman"/>
          <w:kern w:val="2"/>
          <w:sz w:val="72"/>
          <w:szCs w:val="72"/>
          <w:lang w:val="en-US" w:eastAsia="zh-CN" w:bidi="ar-SA"/>
        </w:rPr>
      </w:pPr>
    </w:p>
    <w:p>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北京市交通委员会怀柔公路分局</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pStyle w:val="2"/>
        <w:ind w:left="0" w:leftChars="0" w:firstLine="0" w:firstLineChars="0"/>
        <w:rPr>
          <w:rFonts w:ascii="黑体" w:eastAsia="黑体"/>
          <w:sz w:val="52"/>
          <w:szCs w:val="52"/>
        </w:rPr>
      </w:pPr>
    </w:p>
    <w:p>
      <w:pPr>
        <w:jc w:val="center"/>
        <w:rPr>
          <w:rFonts w:hint="eastAsia"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3</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2023年度部门决算说明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2023年度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2023年度部门绩效评价情况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44"/>
          <w:szCs w:val="44"/>
        </w:rPr>
        <w:t>第一部分 202</w:t>
      </w:r>
      <w:r>
        <w:rPr>
          <w:rFonts w:hint="eastAsia" w:ascii="宋体" w:hAnsi="宋体" w:cs="宋体"/>
          <w:b/>
          <w:bCs/>
          <w:spacing w:val="40"/>
          <w:kern w:val="0"/>
          <w:sz w:val="44"/>
          <w:szCs w:val="44"/>
          <w:lang w:val="en-US" w:eastAsia="zh-CN"/>
        </w:rPr>
        <w:t>3</w:t>
      </w:r>
      <w:r>
        <w:rPr>
          <w:rFonts w:hint="eastAsia" w:ascii="宋体" w:hAnsi="宋体" w:cs="宋体"/>
          <w:b/>
          <w:bCs/>
          <w:spacing w:val="40"/>
          <w:kern w:val="0"/>
          <w:sz w:val="44"/>
          <w:szCs w:val="44"/>
        </w:rPr>
        <w:t>年度部门决算报表</w:t>
      </w:r>
    </w:p>
    <w:p>
      <w:pPr>
        <w:pStyle w:val="3"/>
        <w:rPr>
          <w:rFonts w:hint="eastAsia"/>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pStyle w:val="2"/>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根据《中共北京市委机构编制委员会办公室关于核定市交通委派出机构主要职责和机构编制事项的批复》（京编办复〔2022〕169号），北京市交通委员会怀柔公路分局是北京市交通委员会的派出机构。主要职责是：负责本行政区域内公路行业管理工作，拟订公路建设和养护的规划、计划并组织实施，负责公路建设、养护质量安全等的监督管理，承担公路应急处置等工作，完成市交通委交办的其他任务。</w:t>
      </w:r>
    </w:p>
    <w:p>
      <w:pPr>
        <w:pStyle w:val="20"/>
        <w:spacing w:line="480" w:lineRule="auto"/>
        <w:ind w:firstLine="640"/>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北京市交通委员会怀柔公路分局下设11个职能科室。包括：办公室、法制科（行政审批科）、规划计划科、工程管理科、养护管理科、路网服务与科技科、安全质量监管与应急科、乡村公路管理科、财务科、党群工作科、人事科。</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w:t>
      </w:r>
      <w:r>
        <w:rPr>
          <w:rFonts w:hint="eastAsia" w:ascii="仿宋_GB2312" w:eastAsia="仿宋_GB2312"/>
          <w:kern w:val="0"/>
          <w:sz w:val="28"/>
          <w:szCs w:val="28"/>
          <w:lang w:val="en-US" w:eastAsia="zh-CN"/>
        </w:rPr>
        <w:t>0</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0</w:t>
      </w:r>
      <w:r>
        <w:rPr>
          <w:rFonts w:hint="eastAsia" w:ascii="仿宋_GB2312" w:eastAsia="仿宋_GB2312"/>
          <w:kern w:val="0"/>
          <w:sz w:val="28"/>
          <w:szCs w:val="28"/>
        </w:rPr>
        <w:t>人；事业编制</w:t>
      </w:r>
      <w:r>
        <w:rPr>
          <w:rFonts w:hint="eastAsia" w:ascii="仿宋_GB2312" w:eastAsia="仿宋_GB2312"/>
          <w:kern w:val="0"/>
          <w:sz w:val="28"/>
          <w:szCs w:val="28"/>
          <w:lang w:val="en-US" w:eastAsia="zh-CN"/>
        </w:rPr>
        <w:t>62</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58</w:t>
      </w:r>
      <w:r>
        <w:rPr>
          <w:rFonts w:hint="eastAsia" w:ascii="仿宋_GB2312" w:eastAsia="仿宋_GB2312"/>
          <w:kern w:val="0"/>
          <w:sz w:val="28"/>
          <w:szCs w:val="28"/>
        </w:rPr>
        <w:t>人。</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83044.15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48256.06</w:t>
      </w:r>
      <w:r>
        <w:rPr>
          <w:rFonts w:hint="eastAsia" w:ascii="仿宋_GB2312" w:eastAsia="仿宋_GB2312"/>
          <w:sz w:val="28"/>
          <w:szCs w:val="28"/>
        </w:rPr>
        <w:t>万元，增长</w:t>
      </w:r>
      <w:r>
        <w:rPr>
          <w:rFonts w:hint="eastAsia" w:ascii="仿宋_GB2312" w:eastAsia="仿宋_GB2312"/>
          <w:sz w:val="28"/>
          <w:szCs w:val="28"/>
          <w:lang w:val="en-US" w:eastAsia="zh-CN"/>
        </w:rPr>
        <w:t>138.71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76792.87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42022.58</w:t>
      </w:r>
      <w:r>
        <w:rPr>
          <w:rFonts w:hint="eastAsia" w:ascii="仿宋_GB2312" w:eastAsia="仿宋_GB2312"/>
          <w:sz w:val="28"/>
          <w:szCs w:val="28"/>
        </w:rPr>
        <w:t>万元，增长</w:t>
      </w:r>
      <w:r>
        <w:rPr>
          <w:rFonts w:hint="eastAsia" w:ascii="仿宋_GB2312" w:eastAsia="仿宋_GB2312"/>
          <w:sz w:val="28"/>
          <w:szCs w:val="28"/>
          <w:lang w:val="en-US" w:eastAsia="zh-CN"/>
        </w:rPr>
        <w:t>120.86</w:t>
      </w:r>
      <w:r>
        <w:rPr>
          <w:rFonts w:hint="eastAsia" w:ascii="仿宋_GB2312" w:eastAsia="仿宋_GB2312"/>
          <w:sz w:val="28"/>
          <w:szCs w:val="28"/>
        </w:rPr>
        <w:t>%</w:t>
      </w:r>
      <w:r>
        <w:rPr>
          <w:rFonts w:hint="eastAsia" w:ascii="仿宋_GB2312" w:eastAsia="仿宋_GB2312"/>
          <w:sz w:val="28"/>
          <w:szCs w:val="28"/>
          <w:lang w:eastAsia="zh-CN"/>
        </w:rPr>
        <w:t>。</w:t>
      </w:r>
    </w:p>
    <w:p>
      <w:pPr>
        <w:tabs>
          <w:tab w:val="center" w:pos="6979"/>
        </w:tabs>
        <w:spacing w:line="580" w:lineRule="exact"/>
        <w:ind w:firstLine="560" w:firstLineChars="200"/>
        <w:rPr>
          <w:rFonts w:hint="eastAsia"/>
          <w:sz w:val="28"/>
          <w:szCs w:val="28"/>
        </w:rPr>
      </w:pPr>
      <w:r>
        <w:rPr>
          <w:rFonts w:hint="eastAsia" w:ascii="仿宋_GB2312" w:eastAsia="仿宋_GB2312"/>
          <w:sz w:val="28"/>
          <w:szCs w:val="28"/>
        </w:rPr>
        <w:t>1.财政拨款收入</w:t>
      </w:r>
      <w:r>
        <w:rPr>
          <w:rFonts w:ascii="仿宋_GB2312" w:eastAsia="仿宋_GB2312"/>
          <w:sz w:val="28"/>
          <w:szCs w:val="28"/>
        </w:rPr>
        <w:t>76792.7</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val="en-US" w:eastAsia="zh-CN"/>
        </w:rPr>
        <w:t>100</w:t>
      </w:r>
      <w:r>
        <w:rPr>
          <w:rFonts w:hint="eastAsia" w:ascii="仿宋_GB2312" w:eastAsia="仿宋_GB2312"/>
          <w:sz w:val="28"/>
          <w:szCs w:val="28"/>
        </w:rPr>
        <w:t>%。其中：一般公共预算财政拨款收入</w:t>
      </w:r>
      <w:r>
        <w:rPr>
          <w:rFonts w:ascii="仿宋_GB2312" w:eastAsia="仿宋_GB2312"/>
          <w:sz w:val="28"/>
          <w:szCs w:val="28"/>
        </w:rPr>
        <w:t>75982.7</w:t>
      </w:r>
      <w:r>
        <w:rPr>
          <w:rFonts w:hint="eastAsia" w:ascii="仿宋_GB2312" w:eastAsia="仿宋_GB2312"/>
          <w:sz w:val="28"/>
          <w:szCs w:val="28"/>
        </w:rPr>
        <w:t>万元，占收入合计的</w:t>
      </w:r>
      <w:r>
        <w:rPr>
          <w:rFonts w:ascii="仿宋_GB2312" w:eastAsia="仿宋_GB2312"/>
          <w:sz w:val="28"/>
          <w:szCs w:val="28"/>
        </w:rPr>
        <w:t>9</w:t>
      </w:r>
      <w:r>
        <w:rPr>
          <w:rFonts w:hint="eastAsia" w:ascii="仿宋_GB2312" w:eastAsia="仿宋_GB2312"/>
          <w:sz w:val="28"/>
          <w:szCs w:val="28"/>
          <w:lang w:val="en-US" w:eastAsia="zh-CN"/>
        </w:rPr>
        <w:t>9</w:t>
      </w:r>
      <w:r>
        <w:rPr>
          <w:rFonts w:hint="eastAsia" w:ascii="仿宋_GB2312" w:eastAsia="仿宋_GB2312"/>
          <w:sz w:val="28"/>
          <w:szCs w:val="28"/>
        </w:rPr>
        <w:t>%；政府性基金预算财政拨款收入</w:t>
      </w:r>
      <w:r>
        <w:rPr>
          <w:rFonts w:ascii="仿宋_GB2312" w:eastAsia="仿宋_GB2312"/>
          <w:sz w:val="28"/>
          <w:szCs w:val="28"/>
        </w:rPr>
        <w:t>810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1</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r>
        <w:rPr>
          <w:rFonts w:hint="eastAsia" w:ascii="仿宋_GB2312" w:eastAsia="仿宋_GB2312"/>
          <w:sz w:val="28"/>
          <w:szCs w:val="28"/>
          <w:lang w:val="en-US" w:eastAsia="zh-CN"/>
        </w:rPr>
        <w:t xml:space="preserve"> </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0.17</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rPr>
        <w:t>%。</w:t>
      </w:r>
    </w:p>
    <w:p>
      <w:pPr>
        <w:pStyle w:val="3"/>
        <w:rPr>
          <w:rFonts w:hint="eastAsia" w:eastAsia="仿宋_GB2312"/>
          <w:lang w:eastAsia="zh-CN"/>
        </w:rPr>
      </w:pPr>
    </w:p>
    <w:p>
      <w:pPr>
        <w:pStyle w:val="3"/>
        <w:ind w:firstLine="0"/>
        <w:jc w:val="center"/>
        <w:rPr>
          <w:rFonts w:hint="default"/>
          <w:lang w:val="en-US"/>
        </w:rPr>
      </w:pPr>
      <w:r>
        <w:rPr>
          <w:rFonts w:hint="eastAsia" w:ascii="仿宋_GB2312" w:eastAsia="仿宋_GB2312"/>
          <w:color w:val="000000"/>
          <w:sz w:val="32"/>
          <w:szCs w:val="32"/>
          <w:highlight w:val="none"/>
          <w:lang w:val="en-US" w:eastAsia="zh-CN"/>
        </w:rPr>
        <w:t>图1：收入决算</w:t>
      </w:r>
    </w:p>
    <w:p>
      <w:pPr>
        <w:bidi w:val="0"/>
        <w:jc w:val="center"/>
        <w:rPr>
          <w:rFonts w:hint="eastAsia"/>
          <w:lang w:val="en-US" w:eastAsia="zh-CN"/>
        </w:rPr>
      </w:pPr>
      <w:r>
        <w:rPr>
          <w:rFonts w:hint="eastAsia"/>
          <w:lang w:val="en-US" w:eastAsia="zh-CN"/>
        </w:rPr>
        <w:drawing>
          <wp:inline distT="0" distB="0" distL="114300" distR="114300">
            <wp:extent cx="4408805" cy="2477770"/>
            <wp:effectExtent l="4445" t="5080" r="6350" b="1270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年度本年支出合计</w:t>
      </w:r>
      <w:r>
        <w:rPr>
          <w:rFonts w:ascii="仿宋_GB2312" w:eastAsia="仿宋_GB2312"/>
          <w:sz w:val="28"/>
          <w:szCs w:val="28"/>
        </w:rPr>
        <w:t>40489.78</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11973.02</w:t>
      </w:r>
      <w:r>
        <w:rPr>
          <w:rFonts w:hint="eastAsia" w:ascii="仿宋_GB2312" w:eastAsia="仿宋_GB2312"/>
          <w:sz w:val="28"/>
          <w:szCs w:val="28"/>
        </w:rPr>
        <w:t>万元，增长</w:t>
      </w:r>
      <w:r>
        <w:rPr>
          <w:rFonts w:hint="eastAsia" w:ascii="仿宋_GB2312" w:eastAsia="仿宋_GB2312"/>
          <w:sz w:val="28"/>
          <w:szCs w:val="28"/>
          <w:lang w:val="en-US" w:eastAsia="zh-CN"/>
        </w:rPr>
        <w:t>41.99</w:t>
      </w:r>
      <w:r>
        <w:rPr>
          <w:rFonts w:hint="eastAsia" w:ascii="仿宋_GB2312" w:eastAsia="仿宋_GB2312"/>
          <w:sz w:val="28"/>
          <w:szCs w:val="28"/>
        </w:rPr>
        <w:t>%，其中：基本支出</w:t>
      </w:r>
      <w:r>
        <w:rPr>
          <w:rFonts w:ascii="仿宋_GB2312" w:eastAsia="仿宋_GB2312"/>
          <w:sz w:val="28"/>
          <w:szCs w:val="28"/>
        </w:rPr>
        <w:t>2251.88</w:t>
      </w:r>
      <w:r>
        <w:rPr>
          <w:rFonts w:hint="eastAsia" w:ascii="仿宋_GB2312" w:eastAsia="仿宋_GB2312"/>
          <w:sz w:val="28"/>
          <w:szCs w:val="28"/>
        </w:rPr>
        <w:t>万元，占支出合计的</w:t>
      </w:r>
      <w:r>
        <w:rPr>
          <w:rFonts w:ascii="仿宋_GB2312" w:eastAsia="仿宋_GB2312"/>
          <w:sz w:val="28"/>
          <w:szCs w:val="28"/>
        </w:rPr>
        <w:t>6</w:t>
      </w:r>
      <w:r>
        <w:rPr>
          <w:rFonts w:hint="eastAsia" w:ascii="仿宋_GB2312" w:eastAsia="仿宋_GB2312"/>
          <w:sz w:val="28"/>
          <w:szCs w:val="28"/>
        </w:rPr>
        <w:t>%；项目支出</w:t>
      </w:r>
      <w:r>
        <w:rPr>
          <w:rFonts w:ascii="仿宋_GB2312" w:eastAsia="仿宋_GB2312"/>
          <w:sz w:val="28"/>
          <w:szCs w:val="28"/>
        </w:rPr>
        <w:t>38237.</w:t>
      </w:r>
      <w:r>
        <w:rPr>
          <w:rFonts w:hint="eastAsia" w:ascii="仿宋_GB2312" w:eastAsia="仿宋_GB2312"/>
          <w:sz w:val="28"/>
          <w:szCs w:val="28"/>
          <w:lang w:val="en-US" w:eastAsia="zh-CN"/>
        </w:rPr>
        <w:t>9</w:t>
      </w:r>
      <w:r>
        <w:rPr>
          <w:rFonts w:hint="eastAsia" w:ascii="仿宋_GB2312" w:eastAsia="仿宋_GB2312"/>
          <w:sz w:val="28"/>
          <w:szCs w:val="28"/>
        </w:rPr>
        <w:t>万元，占支出合计的</w:t>
      </w:r>
      <w:r>
        <w:rPr>
          <w:rFonts w:ascii="仿宋_GB2312" w:eastAsia="仿宋_GB2312"/>
          <w:sz w:val="28"/>
          <w:szCs w:val="28"/>
        </w:rPr>
        <w:t>94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rPr>
        <w:t>%。</w:t>
      </w:r>
    </w:p>
    <w:p>
      <w:pPr>
        <w:pStyle w:val="3"/>
        <w:ind w:firstLine="642"/>
        <w:jc w:val="center"/>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图2：基本支出和项目支出情况</w:t>
      </w:r>
    </w:p>
    <w:p>
      <w:pPr>
        <w:jc w:val="center"/>
        <w:rPr>
          <w:rFonts w:hint="eastAsia"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83022</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48290.96</w:t>
      </w:r>
      <w:r>
        <w:rPr>
          <w:rFonts w:hint="eastAsia" w:ascii="仿宋_GB2312" w:eastAsia="仿宋_GB2312"/>
          <w:sz w:val="28"/>
          <w:szCs w:val="28"/>
        </w:rPr>
        <w:t>万元，增长</w:t>
      </w:r>
      <w:r>
        <w:rPr>
          <w:rFonts w:hint="eastAsia" w:ascii="仿宋_GB2312" w:eastAsia="仿宋_GB2312"/>
          <w:sz w:val="28"/>
          <w:szCs w:val="28"/>
          <w:lang w:val="en-US" w:eastAsia="zh-CN"/>
        </w:rPr>
        <w:t>139.04</w:t>
      </w:r>
      <w:r>
        <w:rPr>
          <w:rFonts w:hint="eastAsia" w:ascii="仿宋_GB2312" w:eastAsia="仿宋_GB2312"/>
          <w:sz w:val="28"/>
          <w:szCs w:val="28"/>
        </w:rPr>
        <w:t>%。主要原因：</w:t>
      </w:r>
      <w:r>
        <w:rPr>
          <w:rFonts w:hint="eastAsia" w:ascii="仿宋_GB2312" w:eastAsia="仿宋_GB2312"/>
          <w:sz w:val="28"/>
          <w:szCs w:val="28"/>
          <w:lang w:eastAsia="zh-CN"/>
        </w:rPr>
        <w:t>增加国道111（河防口-汤河口）出京线，国道234（国道111-石佛桥），国道234（永宁-琉璃庙）等项目</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年度一般公共预算财政拨款支出</w:t>
      </w:r>
      <w:r>
        <w:rPr>
          <w:rFonts w:ascii="仿宋_GB2312" w:eastAsia="仿宋_GB2312"/>
          <w:sz w:val="28"/>
          <w:szCs w:val="28"/>
        </w:rPr>
        <w:t>36842.04</w:t>
      </w:r>
      <w:r>
        <w:rPr>
          <w:rFonts w:hint="eastAsia" w:ascii="仿宋_GB2312" w:eastAsia="仿宋_GB2312"/>
          <w:sz w:val="28"/>
          <w:szCs w:val="28"/>
        </w:rPr>
        <w:t>万元，主要用于以下方面：教育支出</w:t>
      </w:r>
      <w:r>
        <w:rPr>
          <w:rFonts w:hint="eastAsia" w:ascii="仿宋_GB2312" w:eastAsia="仿宋_GB2312"/>
          <w:sz w:val="28"/>
          <w:szCs w:val="28"/>
          <w:lang w:val="en-US" w:eastAsia="zh-CN"/>
        </w:rPr>
        <w:t>0.44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0.00</w:t>
      </w:r>
      <w:r>
        <w:rPr>
          <w:rFonts w:hint="eastAsia" w:ascii="仿宋_GB2312" w:eastAsia="仿宋_GB2312"/>
          <w:sz w:val="28"/>
          <w:szCs w:val="28"/>
        </w:rPr>
        <w:t>%；社会保障和就业支出224</w:t>
      </w:r>
      <w:r>
        <w:rPr>
          <w:rFonts w:hint="eastAsia" w:ascii="仿宋_GB2312" w:eastAsia="仿宋_GB2312"/>
          <w:sz w:val="28"/>
          <w:szCs w:val="28"/>
          <w:lang w:val="en-US" w:eastAsia="zh-CN"/>
        </w:rPr>
        <w:t>.</w:t>
      </w:r>
      <w:r>
        <w:rPr>
          <w:rFonts w:hint="eastAsia" w:ascii="仿宋_GB2312" w:eastAsia="仿宋_GB2312"/>
          <w:sz w:val="28"/>
          <w:szCs w:val="28"/>
        </w:rPr>
        <w:t>4</w:t>
      </w:r>
      <w:r>
        <w:rPr>
          <w:rFonts w:hint="eastAsia" w:ascii="仿宋_GB2312" w:eastAsia="仿宋_GB2312"/>
          <w:sz w:val="28"/>
          <w:szCs w:val="28"/>
          <w:lang w:val="en-US" w:eastAsia="zh-CN"/>
        </w:rPr>
        <w:t>3</w:t>
      </w:r>
      <w:r>
        <w:rPr>
          <w:rFonts w:hint="eastAsia" w:ascii="仿宋_GB2312" w:eastAsia="仿宋_GB2312"/>
          <w:sz w:val="28"/>
          <w:szCs w:val="28"/>
          <w:lang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0.61</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卫生健康支出</w:t>
      </w:r>
      <w:r>
        <w:rPr>
          <w:rFonts w:hint="eastAsia" w:ascii="仿宋_GB2312" w:eastAsia="仿宋_GB2312"/>
          <w:sz w:val="28"/>
          <w:szCs w:val="28"/>
          <w:lang w:val="en-US" w:eastAsia="zh-CN"/>
        </w:rPr>
        <w:t>140.07</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0.38</w:t>
      </w:r>
      <w:r>
        <w:rPr>
          <w:rFonts w:hint="eastAsia" w:ascii="仿宋_GB2312" w:eastAsia="仿宋_GB2312"/>
          <w:sz w:val="28"/>
          <w:szCs w:val="28"/>
        </w:rPr>
        <w:t>%；交通运输支出</w:t>
      </w:r>
      <w:r>
        <w:rPr>
          <w:rFonts w:hint="eastAsia" w:ascii="仿宋_GB2312" w:eastAsia="仿宋_GB2312"/>
          <w:sz w:val="28"/>
          <w:szCs w:val="28"/>
          <w:lang w:val="en-US" w:eastAsia="zh-CN"/>
        </w:rPr>
        <w:t>36131.13</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98.07</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灾害防治及应急管理支出</w:t>
      </w:r>
      <w:r>
        <w:rPr>
          <w:rFonts w:hint="eastAsia" w:ascii="仿宋_GB2312" w:eastAsia="仿宋_GB2312"/>
          <w:sz w:val="28"/>
          <w:szCs w:val="28"/>
          <w:lang w:val="en-US" w:eastAsia="zh-CN"/>
        </w:rPr>
        <w:t>345.98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0.94</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1、“教育支出”202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0.44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年度年初预算减少</w:t>
      </w:r>
      <w:r>
        <w:rPr>
          <w:rFonts w:hint="eastAsia" w:ascii="仿宋_GB2312" w:eastAsia="仿宋_GB2312"/>
          <w:sz w:val="28"/>
          <w:szCs w:val="28"/>
          <w:lang w:val="en-US" w:eastAsia="zh-CN"/>
        </w:rPr>
        <w:t>0.06</w:t>
      </w:r>
      <w:r>
        <w:rPr>
          <w:rFonts w:hint="eastAsia" w:ascii="仿宋_GB2312" w:eastAsia="仿宋_GB2312"/>
          <w:sz w:val="28"/>
          <w:szCs w:val="28"/>
        </w:rPr>
        <w:t>万元，下降</w:t>
      </w:r>
      <w:r>
        <w:rPr>
          <w:rFonts w:hint="eastAsia" w:ascii="仿宋_GB2312" w:eastAsia="仿宋_GB2312"/>
          <w:sz w:val="28"/>
          <w:szCs w:val="28"/>
          <w:lang w:val="en-US" w:eastAsia="zh-CN"/>
        </w:rPr>
        <w:t>12</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“进修及培训”202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0.44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年度年初预算减少</w:t>
      </w:r>
      <w:r>
        <w:rPr>
          <w:rFonts w:hint="eastAsia" w:ascii="仿宋_GB2312" w:eastAsia="仿宋_GB2312"/>
          <w:sz w:val="28"/>
          <w:szCs w:val="28"/>
          <w:lang w:val="en-US" w:eastAsia="zh-CN"/>
        </w:rPr>
        <w:t>0.06</w:t>
      </w:r>
      <w:r>
        <w:rPr>
          <w:rFonts w:hint="eastAsia" w:ascii="仿宋_GB2312" w:eastAsia="仿宋_GB2312"/>
          <w:sz w:val="28"/>
          <w:szCs w:val="28"/>
        </w:rPr>
        <w:t>万元，下降</w:t>
      </w:r>
      <w:r>
        <w:rPr>
          <w:rFonts w:hint="eastAsia" w:ascii="仿宋_GB2312" w:eastAsia="仿宋_GB2312"/>
          <w:sz w:val="28"/>
          <w:szCs w:val="28"/>
          <w:lang w:val="en-US" w:eastAsia="zh-CN"/>
        </w:rPr>
        <w:t>12</w:t>
      </w:r>
      <w:r>
        <w:rPr>
          <w:rFonts w:hint="eastAsia" w:ascii="仿宋_GB2312" w:eastAsia="仿宋_GB2312"/>
          <w:sz w:val="28"/>
          <w:szCs w:val="28"/>
        </w:rPr>
        <w:t>%。主要原因：大部分培训改为线上观看视频进行。</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2、“社会保障和就业支出”202</w:t>
      </w:r>
      <w:r>
        <w:rPr>
          <w:rFonts w:hint="eastAsia" w:ascii="仿宋_GB2312" w:eastAsia="仿宋_GB2312"/>
          <w:sz w:val="28"/>
          <w:szCs w:val="28"/>
          <w:lang w:val="en-US" w:eastAsia="zh-CN"/>
        </w:rPr>
        <w:t>3</w:t>
      </w:r>
      <w:r>
        <w:rPr>
          <w:rFonts w:hint="eastAsia" w:ascii="仿宋_GB2312" w:eastAsia="仿宋_GB2312"/>
          <w:sz w:val="28"/>
          <w:szCs w:val="28"/>
        </w:rPr>
        <w:t>年度决算224</w:t>
      </w:r>
      <w:r>
        <w:rPr>
          <w:rFonts w:hint="eastAsia" w:ascii="仿宋_GB2312" w:eastAsia="仿宋_GB2312"/>
          <w:sz w:val="28"/>
          <w:szCs w:val="28"/>
          <w:lang w:val="en-US" w:eastAsia="zh-CN"/>
        </w:rPr>
        <w:t>.</w:t>
      </w:r>
      <w:r>
        <w:rPr>
          <w:rFonts w:hint="eastAsia" w:ascii="仿宋_GB2312" w:eastAsia="仿宋_GB2312"/>
          <w:sz w:val="28"/>
          <w:szCs w:val="28"/>
        </w:rPr>
        <w:t>4</w:t>
      </w:r>
      <w:r>
        <w:rPr>
          <w:rFonts w:hint="eastAsia" w:ascii="仿宋_GB2312" w:eastAsia="仿宋_GB2312"/>
          <w:sz w:val="28"/>
          <w:szCs w:val="28"/>
          <w:lang w:val="en-US" w:eastAsia="zh-CN"/>
        </w:rPr>
        <w:t>3</w:t>
      </w:r>
      <w:r>
        <w:rPr>
          <w:rFonts w:hint="eastAsia" w:ascii="仿宋_GB2312" w:eastAsia="仿宋_GB2312"/>
          <w:sz w:val="28"/>
          <w:szCs w:val="28"/>
          <w:lang w:eastAsia="zh-CN"/>
        </w:rPr>
        <w:t>万元</w:t>
      </w:r>
      <w:r>
        <w:rPr>
          <w:rFonts w:hint="eastAsia" w:ascii="仿宋_GB2312" w:eastAsia="仿宋_GB2312"/>
          <w:sz w:val="28"/>
          <w:szCs w:val="28"/>
        </w:rPr>
        <w:t>，比202</w:t>
      </w:r>
      <w:r>
        <w:rPr>
          <w:rFonts w:hint="eastAsia" w:ascii="仿宋_GB2312" w:eastAsia="仿宋_GB2312"/>
          <w:sz w:val="28"/>
          <w:szCs w:val="28"/>
          <w:lang w:val="en-US" w:eastAsia="zh-CN"/>
        </w:rPr>
        <w:t>3</w:t>
      </w:r>
      <w:r>
        <w:rPr>
          <w:rFonts w:hint="eastAsia" w:ascii="仿宋_GB2312" w:eastAsia="仿宋_GB2312"/>
          <w:sz w:val="28"/>
          <w:szCs w:val="28"/>
        </w:rPr>
        <w:t>年度年初预算</w:t>
      </w:r>
      <w:r>
        <w:rPr>
          <w:rFonts w:hint="eastAsia" w:ascii="仿宋_GB2312" w:eastAsia="仿宋_GB2312"/>
          <w:sz w:val="28"/>
          <w:szCs w:val="28"/>
          <w:lang w:eastAsia="zh-CN"/>
        </w:rPr>
        <w:t>减少</w:t>
      </w:r>
      <w:r>
        <w:rPr>
          <w:rFonts w:hint="eastAsia" w:ascii="仿宋_GB2312" w:eastAsia="仿宋_GB2312"/>
          <w:sz w:val="28"/>
          <w:szCs w:val="28"/>
          <w:lang w:val="en-US" w:eastAsia="zh-CN"/>
        </w:rPr>
        <w:t>10.55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4.49</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“行政事业单位养老支出”202</w:t>
      </w:r>
      <w:r>
        <w:rPr>
          <w:rFonts w:hint="eastAsia" w:ascii="仿宋_GB2312" w:eastAsia="仿宋_GB2312"/>
          <w:sz w:val="28"/>
          <w:szCs w:val="28"/>
          <w:lang w:val="en-US" w:eastAsia="zh-CN"/>
        </w:rPr>
        <w:t>3</w:t>
      </w:r>
      <w:r>
        <w:rPr>
          <w:rFonts w:hint="eastAsia" w:ascii="仿宋_GB2312" w:eastAsia="仿宋_GB2312"/>
          <w:sz w:val="28"/>
          <w:szCs w:val="28"/>
        </w:rPr>
        <w:t>年度决算224</w:t>
      </w:r>
      <w:r>
        <w:rPr>
          <w:rFonts w:hint="eastAsia" w:ascii="仿宋_GB2312" w:eastAsia="仿宋_GB2312"/>
          <w:sz w:val="28"/>
          <w:szCs w:val="28"/>
          <w:lang w:val="en-US" w:eastAsia="zh-CN"/>
        </w:rPr>
        <w:t>.</w:t>
      </w:r>
      <w:r>
        <w:rPr>
          <w:rFonts w:hint="eastAsia" w:ascii="仿宋_GB2312" w:eastAsia="仿宋_GB2312"/>
          <w:sz w:val="28"/>
          <w:szCs w:val="28"/>
        </w:rPr>
        <w:t>4</w:t>
      </w:r>
      <w:r>
        <w:rPr>
          <w:rFonts w:hint="eastAsia" w:ascii="仿宋_GB2312" w:eastAsia="仿宋_GB2312"/>
          <w:sz w:val="28"/>
          <w:szCs w:val="28"/>
          <w:lang w:val="en-US" w:eastAsia="zh-CN"/>
        </w:rPr>
        <w:t>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w:t>
      </w:r>
      <w:r>
        <w:rPr>
          <w:rFonts w:hint="eastAsia" w:ascii="仿宋_GB2312" w:eastAsia="仿宋_GB2312"/>
          <w:sz w:val="28"/>
          <w:szCs w:val="28"/>
          <w:lang w:eastAsia="zh-CN"/>
        </w:rPr>
        <w:t>减少</w:t>
      </w:r>
      <w:r>
        <w:rPr>
          <w:rFonts w:hint="eastAsia" w:ascii="仿宋_GB2312" w:eastAsia="仿宋_GB2312"/>
          <w:sz w:val="28"/>
          <w:szCs w:val="28"/>
          <w:lang w:val="en-US" w:eastAsia="zh-CN"/>
        </w:rPr>
        <w:t>10.55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4.49</w:t>
      </w:r>
      <w:r>
        <w:rPr>
          <w:rFonts w:hint="eastAsia" w:ascii="仿宋_GB2312" w:eastAsia="仿宋_GB2312"/>
          <w:sz w:val="28"/>
          <w:szCs w:val="28"/>
        </w:rPr>
        <w:t>%。主要原因：执行全市统一机关养老保险缴费标准，在预算执行过程中根据实际人员变动情况安排支出。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140.07</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w:t>
      </w:r>
      <w:r>
        <w:rPr>
          <w:rFonts w:hint="eastAsia" w:ascii="仿宋_GB2312" w:eastAsia="仿宋_GB2312"/>
          <w:sz w:val="28"/>
          <w:szCs w:val="28"/>
          <w:lang w:eastAsia="zh-CN"/>
        </w:rPr>
        <w:t>减少</w:t>
      </w:r>
      <w:r>
        <w:rPr>
          <w:rFonts w:hint="eastAsia" w:ascii="仿宋_GB2312" w:eastAsia="仿宋_GB2312"/>
          <w:sz w:val="28"/>
          <w:szCs w:val="28"/>
          <w:lang w:val="en-US" w:eastAsia="zh-CN"/>
        </w:rPr>
        <w:t>2.15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1.51%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“行政事业单位医疗”202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140.07</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w:t>
      </w:r>
      <w:r>
        <w:rPr>
          <w:rFonts w:hint="eastAsia" w:ascii="仿宋_GB2312" w:eastAsia="仿宋_GB2312"/>
          <w:sz w:val="28"/>
          <w:szCs w:val="28"/>
          <w:lang w:eastAsia="zh-CN"/>
        </w:rPr>
        <w:t>减少</w:t>
      </w:r>
      <w:r>
        <w:rPr>
          <w:rFonts w:hint="eastAsia" w:ascii="仿宋_GB2312" w:eastAsia="仿宋_GB2312"/>
          <w:sz w:val="28"/>
          <w:szCs w:val="28"/>
          <w:lang w:val="en-US" w:eastAsia="zh-CN"/>
        </w:rPr>
        <w:t>2.15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1.51%</w:t>
      </w:r>
      <w:r>
        <w:rPr>
          <w:rFonts w:hint="eastAsia" w:ascii="仿宋_GB2312" w:eastAsia="仿宋_GB2312"/>
          <w:sz w:val="28"/>
          <w:szCs w:val="28"/>
        </w:rPr>
        <w:t>。主要原因：执行全市统一医疗保险缴费标准，在预算执行过程中根据实际人员变动情况安排支出。</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、“交通运输支出”202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36131.13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17910.40</w:t>
      </w:r>
      <w:r>
        <w:rPr>
          <w:rFonts w:hint="eastAsia" w:ascii="仿宋_GB2312" w:eastAsia="仿宋_GB2312"/>
          <w:sz w:val="28"/>
          <w:szCs w:val="28"/>
        </w:rPr>
        <w:t>万元，增长</w:t>
      </w:r>
      <w:r>
        <w:rPr>
          <w:rFonts w:hint="eastAsia" w:ascii="仿宋_GB2312" w:eastAsia="仿宋_GB2312"/>
          <w:sz w:val="28"/>
          <w:szCs w:val="28"/>
          <w:lang w:val="en-US" w:eastAsia="zh-CN"/>
        </w:rPr>
        <w:t>98.30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“公路水路运输”202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hint="eastAsia" w:ascii="仿宋_GB2312" w:eastAsia="仿宋_GB2312"/>
          <w:sz w:val="28"/>
          <w:szCs w:val="28"/>
          <w:lang w:val="en-US" w:eastAsia="zh-CN"/>
        </w:rPr>
        <w:t>36131.13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17910.40</w:t>
      </w:r>
      <w:r>
        <w:rPr>
          <w:rFonts w:hint="eastAsia" w:ascii="仿宋_GB2312" w:eastAsia="仿宋_GB2312"/>
          <w:sz w:val="28"/>
          <w:szCs w:val="28"/>
        </w:rPr>
        <w:t>万元，增长</w:t>
      </w:r>
      <w:r>
        <w:rPr>
          <w:rFonts w:hint="eastAsia" w:ascii="仿宋_GB2312" w:eastAsia="仿宋_GB2312"/>
          <w:sz w:val="28"/>
          <w:szCs w:val="28"/>
          <w:lang w:val="en-US" w:eastAsia="zh-CN"/>
        </w:rPr>
        <w:t>98.30</w:t>
      </w:r>
      <w:r>
        <w:rPr>
          <w:rFonts w:hint="eastAsia" w:ascii="仿宋_GB2312" w:eastAsia="仿宋_GB2312"/>
          <w:sz w:val="28"/>
          <w:szCs w:val="28"/>
        </w:rPr>
        <w:t>%%。主要原因：</w:t>
      </w:r>
      <w:r>
        <w:rPr>
          <w:rFonts w:hint="eastAsia" w:ascii="仿宋_GB2312" w:eastAsia="仿宋_GB2312"/>
          <w:sz w:val="28"/>
          <w:szCs w:val="28"/>
          <w:lang w:eastAsia="zh-CN"/>
        </w:rPr>
        <w:t>增加</w:t>
      </w:r>
      <w:r>
        <w:rPr>
          <w:rFonts w:hint="eastAsia" w:ascii="仿宋_GB2312" w:eastAsia="仿宋_GB2312"/>
          <w:sz w:val="28"/>
          <w:szCs w:val="28"/>
        </w:rPr>
        <w:t>雁栖湖北二路新改建工程</w:t>
      </w:r>
      <w:r>
        <w:rPr>
          <w:rFonts w:hint="eastAsia" w:ascii="仿宋_GB2312" w:eastAsia="仿宋_GB2312"/>
          <w:sz w:val="28"/>
          <w:szCs w:val="28"/>
          <w:lang w:eastAsia="zh-CN"/>
        </w:rPr>
        <w:t>、县道中次差路段专线工程、普通公路沿线地质灾害防治工程等项目</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、“灾害防治及应急管理支出”202</w:t>
      </w:r>
      <w:r>
        <w:rPr>
          <w:rFonts w:hint="eastAsia" w:ascii="仿宋_GB2312" w:eastAsia="仿宋_GB2312"/>
          <w:sz w:val="28"/>
          <w:szCs w:val="28"/>
          <w:lang w:val="en-US" w:eastAsia="zh-CN"/>
        </w:rPr>
        <w:t>3</w:t>
      </w:r>
      <w:r>
        <w:rPr>
          <w:rFonts w:hint="eastAsia" w:ascii="仿宋_GB2312" w:eastAsia="仿宋_GB2312"/>
          <w:sz w:val="28"/>
          <w:szCs w:val="28"/>
        </w:rPr>
        <w:t>年度决算345</w:t>
      </w:r>
      <w:r>
        <w:rPr>
          <w:rFonts w:hint="eastAsia" w:ascii="仿宋_GB2312" w:eastAsia="仿宋_GB2312"/>
          <w:sz w:val="28"/>
          <w:szCs w:val="28"/>
          <w:lang w:val="en-US" w:eastAsia="zh-CN"/>
        </w:rPr>
        <w:t>.</w:t>
      </w:r>
      <w:r>
        <w:rPr>
          <w:rFonts w:hint="eastAsia" w:ascii="仿宋_GB2312" w:eastAsia="仿宋_GB2312"/>
          <w:sz w:val="28"/>
          <w:szCs w:val="28"/>
        </w:rPr>
        <w:t>9</w:t>
      </w:r>
      <w:r>
        <w:rPr>
          <w:rFonts w:hint="eastAsia" w:ascii="仿宋_GB2312" w:eastAsia="仿宋_GB2312"/>
          <w:sz w:val="28"/>
          <w:szCs w:val="28"/>
          <w:lang w:val="en-US" w:eastAsia="zh-CN"/>
        </w:rPr>
        <w:t>8</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年度年初预算增加345</w:t>
      </w:r>
      <w:r>
        <w:rPr>
          <w:rFonts w:hint="eastAsia" w:ascii="仿宋_GB2312" w:eastAsia="仿宋_GB2312"/>
          <w:sz w:val="28"/>
          <w:szCs w:val="28"/>
          <w:lang w:val="en-US" w:eastAsia="zh-CN"/>
        </w:rPr>
        <w:t>.</w:t>
      </w:r>
      <w:r>
        <w:rPr>
          <w:rFonts w:hint="eastAsia" w:ascii="仿宋_GB2312" w:eastAsia="仿宋_GB2312"/>
          <w:sz w:val="28"/>
          <w:szCs w:val="28"/>
        </w:rPr>
        <w:t>9</w:t>
      </w:r>
      <w:r>
        <w:rPr>
          <w:rFonts w:hint="eastAsia" w:ascii="仿宋_GB2312" w:eastAsia="仿宋_GB2312"/>
          <w:sz w:val="28"/>
          <w:szCs w:val="28"/>
          <w:lang w:val="en-US" w:eastAsia="zh-CN"/>
        </w:rPr>
        <w:t>8</w:t>
      </w:r>
      <w:r>
        <w:rPr>
          <w:rFonts w:hint="eastAsia" w:ascii="仿宋_GB2312" w:eastAsia="仿宋_GB2312"/>
          <w:sz w:val="28"/>
          <w:szCs w:val="28"/>
        </w:rPr>
        <w:t>万元，增长</w:t>
      </w:r>
      <w:r>
        <w:rPr>
          <w:rFonts w:hint="eastAsia" w:ascii="仿宋_GB2312" w:eastAsia="仿宋_GB2312"/>
          <w:sz w:val="28"/>
          <w:szCs w:val="28"/>
          <w:lang w:val="en-US" w:eastAsia="zh-CN"/>
        </w:rPr>
        <w:t>100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“自然灾害救灾及恢复重建支出”202</w:t>
      </w:r>
      <w:r>
        <w:rPr>
          <w:rFonts w:hint="eastAsia" w:ascii="仿宋_GB2312" w:eastAsia="仿宋_GB2312"/>
          <w:sz w:val="28"/>
          <w:szCs w:val="28"/>
          <w:lang w:val="en-US" w:eastAsia="zh-CN"/>
        </w:rPr>
        <w:t>3</w:t>
      </w:r>
      <w:r>
        <w:rPr>
          <w:rFonts w:hint="eastAsia" w:ascii="仿宋_GB2312" w:eastAsia="仿宋_GB2312"/>
          <w:sz w:val="28"/>
          <w:szCs w:val="28"/>
        </w:rPr>
        <w:t>年度决算345</w:t>
      </w:r>
      <w:r>
        <w:rPr>
          <w:rFonts w:hint="eastAsia" w:ascii="仿宋_GB2312" w:eastAsia="仿宋_GB2312"/>
          <w:sz w:val="28"/>
          <w:szCs w:val="28"/>
          <w:lang w:val="en-US" w:eastAsia="zh-CN"/>
        </w:rPr>
        <w:t>.</w:t>
      </w:r>
      <w:r>
        <w:rPr>
          <w:rFonts w:hint="eastAsia" w:ascii="仿宋_GB2312" w:eastAsia="仿宋_GB2312"/>
          <w:sz w:val="28"/>
          <w:szCs w:val="28"/>
        </w:rPr>
        <w:t>9</w:t>
      </w:r>
      <w:r>
        <w:rPr>
          <w:rFonts w:hint="eastAsia" w:ascii="仿宋_GB2312" w:eastAsia="仿宋_GB2312"/>
          <w:sz w:val="28"/>
          <w:szCs w:val="28"/>
          <w:lang w:val="en-US" w:eastAsia="zh-CN"/>
        </w:rPr>
        <w:t>8</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年度年初预算增加345</w:t>
      </w:r>
      <w:r>
        <w:rPr>
          <w:rFonts w:hint="eastAsia" w:ascii="仿宋_GB2312" w:eastAsia="仿宋_GB2312"/>
          <w:sz w:val="28"/>
          <w:szCs w:val="28"/>
          <w:lang w:val="en-US" w:eastAsia="zh-CN"/>
        </w:rPr>
        <w:t>.</w:t>
      </w:r>
      <w:r>
        <w:rPr>
          <w:rFonts w:hint="eastAsia" w:ascii="仿宋_GB2312" w:eastAsia="仿宋_GB2312"/>
          <w:sz w:val="28"/>
          <w:szCs w:val="28"/>
        </w:rPr>
        <w:t>9</w:t>
      </w:r>
      <w:r>
        <w:rPr>
          <w:rFonts w:hint="eastAsia" w:ascii="仿宋_GB2312" w:eastAsia="仿宋_GB2312"/>
          <w:sz w:val="28"/>
          <w:szCs w:val="28"/>
          <w:lang w:val="en-US" w:eastAsia="zh-CN"/>
        </w:rPr>
        <w:t>8</w:t>
      </w:r>
      <w:r>
        <w:rPr>
          <w:rFonts w:hint="eastAsia" w:ascii="仿宋_GB2312" w:eastAsia="仿宋_GB2312"/>
          <w:sz w:val="28"/>
          <w:szCs w:val="28"/>
        </w:rPr>
        <w:t>万元，增长</w:t>
      </w:r>
      <w:r>
        <w:rPr>
          <w:rFonts w:hint="eastAsia" w:ascii="仿宋_GB2312" w:eastAsia="仿宋_GB2312"/>
          <w:sz w:val="28"/>
          <w:szCs w:val="28"/>
          <w:lang w:val="en-US" w:eastAsia="zh-CN"/>
        </w:rPr>
        <w:t>100</w:t>
      </w:r>
      <w:r>
        <w:rPr>
          <w:rFonts w:hint="eastAsia" w:ascii="仿宋_GB2312" w:eastAsia="仿宋_GB2312"/>
          <w:sz w:val="28"/>
          <w:szCs w:val="28"/>
        </w:rPr>
        <w:t>%。主要原因：</w:t>
      </w:r>
      <w:r>
        <w:rPr>
          <w:rFonts w:hint="eastAsia" w:ascii="仿宋_GB2312" w:eastAsia="仿宋_GB2312"/>
          <w:sz w:val="28"/>
          <w:szCs w:val="28"/>
          <w:lang w:eastAsia="zh-CN"/>
        </w:rPr>
        <w:t>增加</w:t>
      </w:r>
      <w:r>
        <w:rPr>
          <w:rFonts w:hint="eastAsia" w:ascii="仿宋_GB2312" w:eastAsia="仿宋_GB2312"/>
          <w:sz w:val="28"/>
          <w:szCs w:val="28"/>
        </w:rPr>
        <w:t>特大自然灾害怀柔台关路北宅1号桥救灾恢复重建工程</w:t>
      </w:r>
      <w:r>
        <w:rPr>
          <w:rFonts w:hint="eastAsia" w:ascii="仿宋_GB2312" w:eastAsia="仿宋_GB2312"/>
          <w:sz w:val="28"/>
          <w:szCs w:val="28"/>
          <w:lang w:eastAsia="zh-CN"/>
        </w:rPr>
        <w:t>项目</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年度政府性基金预算财政拨款支出</w:t>
      </w:r>
      <w:r>
        <w:rPr>
          <w:rFonts w:ascii="仿宋_GB2312" w:eastAsia="仿宋_GB2312"/>
          <w:sz w:val="28"/>
          <w:szCs w:val="28"/>
        </w:rPr>
        <w:t>3642.81</w:t>
      </w:r>
      <w:r>
        <w:rPr>
          <w:rFonts w:hint="eastAsia" w:ascii="仿宋_GB2312" w:eastAsia="仿宋_GB2312"/>
          <w:sz w:val="28"/>
          <w:szCs w:val="28"/>
        </w:rPr>
        <w:t>万元，主要用于以下方面：城乡社区支出</w:t>
      </w:r>
      <w:r>
        <w:rPr>
          <w:rFonts w:ascii="仿宋_GB2312" w:eastAsia="仿宋_GB2312"/>
          <w:sz w:val="28"/>
          <w:szCs w:val="28"/>
        </w:rPr>
        <w:t>3642.81</w:t>
      </w:r>
      <w:r>
        <w:rPr>
          <w:rFonts w:hint="eastAsia" w:ascii="仿宋_GB2312" w:eastAsia="仿宋_GB2312"/>
          <w:sz w:val="28"/>
          <w:szCs w:val="28"/>
        </w:rPr>
        <w:t>万元，占本年财</w:t>
      </w:r>
      <w:bookmarkStart w:id="0" w:name="_GoBack"/>
      <w:bookmarkEnd w:id="0"/>
      <w:r>
        <w:rPr>
          <w:rFonts w:hint="eastAsia" w:ascii="仿宋_GB2312" w:eastAsia="仿宋_GB2312"/>
          <w:sz w:val="28"/>
          <w:szCs w:val="28"/>
        </w:rPr>
        <w:t>政拨款支出</w:t>
      </w:r>
      <w:r>
        <w:rPr>
          <w:rFonts w:hint="eastAsia" w:ascii="仿宋_GB2312" w:eastAsia="仿宋_GB2312"/>
          <w:sz w:val="28"/>
          <w:szCs w:val="28"/>
          <w:lang w:val="en-US" w:eastAsia="zh-CN"/>
        </w:rPr>
        <w:t>100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1、“城乡社区支出”202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ascii="仿宋_GB2312" w:eastAsia="仿宋_GB2312"/>
          <w:sz w:val="28"/>
          <w:szCs w:val="28"/>
        </w:rPr>
        <w:t>3642.81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810</w:t>
      </w:r>
      <w:r>
        <w:rPr>
          <w:rFonts w:hint="eastAsia" w:ascii="仿宋_GB2312" w:eastAsia="仿宋_GB2312"/>
          <w:sz w:val="28"/>
          <w:szCs w:val="28"/>
        </w:rPr>
        <w:t>万元，增长</w:t>
      </w:r>
      <w:r>
        <w:rPr>
          <w:rFonts w:hint="eastAsia" w:ascii="仿宋_GB2312" w:eastAsia="仿宋_GB2312"/>
          <w:sz w:val="28"/>
          <w:szCs w:val="28"/>
          <w:lang w:val="en-US" w:eastAsia="zh-CN"/>
        </w:rPr>
        <w:t>28.59%</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“国有土地使用权出让收入安排的支出”202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ascii="仿宋_GB2312" w:eastAsia="仿宋_GB2312"/>
          <w:sz w:val="28"/>
          <w:szCs w:val="28"/>
        </w:rPr>
        <w:t>3642.81</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w:t>
      </w:r>
      <w:r>
        <w:rPr>
          <w:rFonts w:hint="eastAsia" w:ascii="仿宋_GB2312" w:eastAsia="仿宋_GB2312"/>
          <w:sz w:val="28"/>
          <w:szCs w:val="28"/>
          <w:lang w:val="en-US" w:eastAsia="zh-CN"/>
        </w:rPr>
        <w:t>810</w:t>
      </w:r>
      <w:r>
        <w:rPr>
          <w:rFonts w:hint="eastAsia" w:ascii="仿宋_GB2312" w:eastAsia="仿宋_GB2312"/>
          <w:sz w:val="28"/>
          <w:szCs w:val="28"/>
        </w:rPr>
        <w:t>万元，增长增长</w:t>
      </w:r>
      <w:r>
        <w:rPr>
          <w:rFonts w:hint="eastAsia" w:ascii="仿宋_GB2312" w:eastAsia="仿宋_GB2312"/>
          <w:sz w:val="28"/>
          <w:szCs w:val="28"/>
          <w:lang w:val="en-US" w:eastAsia="zh-CN"/>
        </w:rPr>
        <w:t>28.59%</w:t>
      </w:r>
      <w:r>
        <w:rPr>
          <w:rFonts w:hint="eastAsia" w:ascii="仿宋_GB2312" w:eastAsia="仿宋_GB2312"/>
          <w:sz w:val="28"/>
          <w:szCs w:val="28"/>
        </w:rPr>
        <w:t>。主要原因：</w:t>
      </w:r>
      <w:r>
        <w:rPr>
          <w:rFonts w:hint="eastAsia" w:ascii="仿宋_GB2312" w:eastAsia="仿宋_GB2312"/>
          <w:sz w:val="28"/>
          <w:szCs w:val="28"/>
          <w:lang w:eastAsia="zh-CN"/>
        </w:rPr>
        <w:t>增加通怀路（京承高速-河防口）工程项目</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2251.88</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hint="eastAsia"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lang w:val="en-US" w:eastAsia="zh-CN"/>
        </w:rPr>
        <w:t>1</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6.3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7.1</w:t>
      </w:r>
      <w:r>
        <w:rPr>
          <w:rFonts w:hint="eastAsia" w:ascii="仿宋_GB2312" w:eastAsia="仿宋_GB2312"/>
          <w:sz w:val="28"/>
          <w:szCs w:val="28"/>
        </w:rPr>
        <w:t>万元减少</w:t>
      </w:r>
      <w:r>
        <w:rPr>
          <w:rFonts w:ascii="仿宋_GB2312" w:eastAsia="仿宋_GB2312"/>
          <w:sz w:val="28"/>
          <w:szCs w:val="28"/>
        </w:rPr>
        <w:t>0.8</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万元。主要原因：202</w:t>
      </w:r>
      <w:r>
        <w:rPr>
          <w:rFonts w:hint="eastAsia" w:ascii="仿宋_GB2312" w:eastAsia="仿宋_GB2312"/>
          <w:sz w:val="28"/>
          <w:szCs w:val="28"/>
          <w:lang w:val="en-US" w:eastAsia="zh-CN"/>
        </w:rPr>
        <w:t>3</w:t>
      </w:r>
      <w:r>
        <w:rPr>
          <w:rFonts w:hint="eastAsia" w:ascii="仿宋_GB2312" w:eastAsia="仿宋_GB2312"/>
          <w:sz w:val="28"/>
          <w:szCs w:val="28"/>
        </w:rPr>
        <w:t>年度未安排因公出国（境）组团；202</w:t>
      </w:r>
      <w:r>
        <w:rPr>
          <w:rFonts w:hint="eastAsia" w:ascii="仿宋_GB2312" w:eastAsia="仿宋_GB2312"/>
          <w:sz w:val="28"/>
          <w:szCs w:val="28"/>
          <w:lang w:val="en-US" w:eastAsia="zh-CN"/>
        </w:rPr>
        <w:t>3</w:t>
      </w:r>
      <w:r>
        <w:rPr>
          <w:rFonts w:hint="eastAsia" w:ascii="仿宋_GB2312" w:eastAsia="仿宋_GB2312"/>
          <w:sz w:val="28"/>
          <w:szCs w:val="28"/>
        </w:rPr>
        <w:t>年度组织因公出国（境）团组</w:t>
      </w:r>
      <w:r>
        <w:rPr>
          <w:rFonts w:hint="eastAsia" w:ascii="仿宋_GB2312" w:eastAsia="仿宋_GB2312"/>
          <w:sz w:val="28"/>
          <w:szCs w:val="28"/>
          <w:lang w:val="en-US" w:eastAsia="zh-CN"/>
        </w:rPr>
        <w:t>0</w:t>
      </w:r>
      <w:r>
        <w:rPr>
          <w:rFonts w:hint="eastAsia" w:ascii="仿宋_GB2312" w:eastAsia="仿宋_GB2312"/>
          <w:sz w:val="28"/>
          <w:szCs w:val="28"/>
        </w:rPr>
        <w:t>个、</w:t>
      </w:r>
      <w:r>
        <w:rPr>
          <w:rFonts w:hint="eastAsia" w:ascii="仿宋_GB2312" w:eastAsia="仿宋_GB2312"/>
          <w:sz w:val="28"/>
          <w:szCs w:val="28"/>
          <w:lang w:val="en-US" w:eastAsia="zh-CN"/>
        </w:rPr>
        <w:t>0</w:t>
      </w:r>
      <w:r>
        <w:rPr>
          <w:rFonts w:hint="eastAsia" w:ascii="仿宋_GB2312" w:eastAsia="仿宋_GB2312"/>
          <w:sz w:val="28"/>
          <w:szCs w:val="28"/>
        </w:rPr>
        <w:t>人次，人均因公出国（境）费用</w:t>
      </w:r>
      <w:r>
        <w:rPr>
          <w:rFonts w:hint="eastAsia" w:ascii="仿宋_GB2312" w:eastAsia="仿宋_GB2312"/>
          <w:sz w:val="28"/>
          <w:szCs w:val="28"/>
          <w:lang w:val="en-US" w:eastAsia="zh-CN"/>
        </w:rPr>
        <w:t>0</w:t>
      </w:r>
      <w:r>
        <w:rPr>
          <w:rFonts w:hint="eastAsia" w:ascii="仿宋_GB2312" w:eastAsia="仿宋_GB2312"/>
          <w:sz w:val="28"/>
          <w:szCs w:val="28"/>
        </w:rPr>
        <w:t>万元。</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0.1</w:t>
      </w:r>
      <w:r>
        <w:rPr>
          <w:rFonts w:hint="eastAsia" w:ascii="仿宋_GB2312" w:eastAsia="仿宋_GB2312"/>
          <w:sz w:val="28"/>
          <w:szCs w:val="28"/>
        </w:rPr>
        <w:t>万元减少</w:t>
      </w:r>
      <w:r>
        <w:rPr>
          <w:rFonts w:hint="eastAsia" w:ascii="仿宋_GB2312" w:eastAsia="仿宋_GB2312"/>
          <w:sz w:val="28"/>
          <w:szCs w:val="28"/>
          <w:lang w:val="en-US" w:eastAsia="zh-CN"/>
        </w:rPr>
        <w:t>0.1</w:t>
      </w:r>
      <w:r>
        <w:rPr>
          <w:rFonts w:hint="eastAsia" w:ascii="仿宋_GB2312" w:eastAsia="仿宋_GB2312"/>
          <w:sz w:val="28"/>
          <w:szCs w:val="28"/>
        </w:rPr>
        <w:t>万元。主要原因：202</w:t>
      </w:r>
      <w:r>
        <w:rPr>
          <w:rFonts w:hint="eastAsia" w:ascii="仿宋_GB2312" w:eastAsia="仿宋_GB2312"/>
          <w:sz w:val="28"/>
          <w:szCs w:val="28"/>
          <w:lang w:val="en-US" w:eastAsia="zh-CN"/>
        </w:rPr>
        <w:t>3</w:t>
      </w:r>
      <w:r>
        <w:rPr>
          <w:rFonts w:hint="eastAsia" w:ascii="仿宋_GB2312" w:eastAsia="仿宋_GB2312"/>
          <w:sz w:val="28"/>
          <w:szCs w:val="28"/>
        </w:rPr>
        <w:t>年度未安排公务</w:t>
      </w:r>
      <w:r>
        <w:rPr>
          <w:rFonts w:hint="eastAsia" w:ascii="仿宋_GB2312" w:eastAsia="仿宋_GB2312"/>
          <w:sz w:val="28"/>
          <w:szCs w:val="28"/>
          <w:lang w:eastAsia="zh-CN"/>
        </w:rPr>
        <w:t>接待</w:t>
      </w:r>
      <w:r>
        <w:rPr>
          <w:rFonts w:hint="eastAsia" w:ascii="仿宋_GB2312" w:eastAsia="仿宋_GB2312"/>
          <w:sz w:val="28"/>
          <w:szCs w:val="28"/>
        </w:rPr>
        <w:t>活动。公务接待</w:t>
      </w:r>
      <w:r>
        <w:rPr>
          <w:rFonts w:hint="eastAsia" w:ascii="仿宋_GB2312" w:eastAsia="仿宋_GB2312"/>
          <w:sz w:val="28"/>
          <w:szCs w:val="28"/>
          <w:lang w:val="en-US" w:eastAsia="zh-CN"/>
        </w:rPr>
        <w:t>0</w:t>
      </w:r>
      <w:r>
        <w:rPr>
          <w:rFonts w:hint="eastAsia" w:ascii="仿宋_GB2312" w:eastAsia="仿宋_GB2312"/>
          <w:sz w:val="28"/>
          <w:szCs w:val="28"/>
        </w:rPr>
        <w:t>批次，公务接待</w:t>
      </w:r>
      <w:r>
        <w:rPr>
          <w:rFonts w:hint="eastAsia" w:ascii="仿宋_GB2312" w:eastAsia="仿宋_GB2312"/>
          <w:sz w:val="28"/>
          <w:szCs w:val="28"/>
          <w:lang w:val="en-US"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hint="eastAsia" w:ascii="仿宋_GB2312" w:eastAsia="仿宋_GB2312"/>
          <w:sz w:val="28"/>
          <w:szCs w:val="28"/>
          <w:lang w:val="en-US" w:eastAsia="zh-CN"/>
        </w:rPr>
        <w:t>6.3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7</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lang w:val="en-US" w:eastAsia="zh-CN"/>
        </w:rPr>
        <w:t>.7</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0</w:t>
      </w:r>
      <w:r>
        <w:rPr>
          <w:rFonts w:hint="eastAsia" w:ascii="仿宋_GB2312" w:eastAsia="仿宋_GB2312"/>
          <w:sz w:val="28"/>
          <w:szCs w:val="28"/>
        </w:rPr>
        <w:t>万元。主要原因：</w:t>
      </w:r>
      <w:r>
        <w:rPr>
          <w:rFonts w:hint="eastAsia" w:ascii="仿宋_GB2312" w:eastAsia="仿宋_GB2312"/>
          <w:sz w:val="28"/>
          <w:szCs w:val="28"/>
          <w:lang w:val="en-US" w:eastAsia="zh-CN"/>
        </w:rPr>
        <w:t>2023年未购置公务用车</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年度购置</w:t>
      </w:r>
      <w:r>
        <w:rPr>
          <w:rFonts w:hint="eastAsia" w:ascii="仿宋_GB2312" w:eastAsia="仿宋_GB2312"/>
          <w:sz w:val="28"/>
          <w:szCs w:val="28"/>
          <w:lang w:val="en-US" w:eastAsia="zh-CN"/>
        </w:rPr>
        <w:t>0</w:t>
      </w:r>
      <w:r>
        <w:rPr>
          <w:rFonts w:hint="eastAsia" w:ascii="仿宋_GB2312" w:eastAsia="仿宋_GB2312"/>
          <w:sz w:val="28"/>
          <w:szCs w:val="28"/>
        </w:rPr>
        <w:t>辆，车均购置费</w:t>
      </w:r>
      <w:r>
        <w:rPr>
          <w:rFonts w:hint="eastAsia" w:ascii="仿宋_GB2312" w:eastAsia="仿宋_GB2312"/>
          <w:sz w:val="28"/>
          <w:szCs w:val="28"/>
          <w:lang w:val="en-US" w:eastAsia="zh-CN"/>
        </w:rPr>
        <w:t>0</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6.3</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7</w:t>
      </w:r>
      <w:r>
        <w:rPr>
          <w:rFonts w:hint="eastAsia" w:ascii="仿宋_GB2312" w:eastAsia="仿宋_GB2312"/>
          <w:sz w:val="28"/>
          <w:szCs w:val="28"/>
        </w:rPr>
        <w:t>万元减少</w:t>
      </w:r>
      <w:r>
        <w:rPr>
          <w:rFonts w:ascii="仿宋_GB2312" w:eastAsia="仿宋_GB2312"/>
          <w:sz w:val="28"/>
          <w:szCs w:val="28"/>
          <w:highlight w:val="none"/>
        </w:rPr>
        <w:t>0</w:t>
      </w:r>
      <w:r>
        <w:rPr>
          <w:rFonts w:hint="eastAsia" w:ascii="仿宋_GB2312" w:eastAsia="仿宋_GB2312"/>
          <w:sz w:val="28"/>
          <w:szCs w:val="28"/>
          <w:highlight w:val="none"/>
          <w:lang w:val="en-US" w:eastAsia="zh-CN"/>
        </w:rPr>
        <w:t>.7</w:t>
      </w:r>
      <w:r>
        <w:rPr>
          <w:rFonts w:hint="eastAsia" w:ascii="仿宋_GB2312" w:eastAsia="仿宋_GB2312"/>
          <w:sz w:val="28"/>
          <w:szCs w:val="28"/>
        </w:rPr>
        <w:t>万元，主要原因：我分局加强公务用车管理，严格控制公务车辆运行费用支出。202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2.02</w:t>
      </w:r>
      <w:r>
        <w:rPr>
          <w:rFonts w:hint="eastAsia" w:ascii="仿宋_GB2312" w:eastAsia="仿宋_GB2312"/>
          <w:sz w:val="28"/>
          <w:szCs w:val="28"/>
        </w:rPr>
        <w:t>万元，公务用车维修</w:t>
      </w:r>
      <w:r>
        <w:rPr>
          <w:rFonts w:ascii="仿宋_GB2312" w:eastAsia="仿宋_GB2312"/>
          <w:sz w:val="28"/>
          <w:szCs w:val="28"/>
          <w:highlight w:val="none"/>
        </w:rPr>
        <w:t>1.35</w:t>
      </w:r>
      <w:r>
        <w:rPr>
          <w:rFonts w:hint="eastAsia" w:ascii="仿宋_GB2312" w:eastAsia="仿宋_GB2312"/>
          <w:sz w:val="28"/>
          <w:szCs w:val="28"/>
        </w:rPr>
        <w:t>万元，公务用车保险</w:t>
      </w:r>
      <w:r>
        <w:rPr>
          <w:rFonts w:ascii="仿宋_GB2312" w:eastAsia="仿宋_GB2312"/>
          <w:sz w:val="28"/>
          <w:szCs w:val="28"/>
          <w:highlight w:val="none"/>
        </w:rPr>
        <w:t>2.29</w:t>
      </w:r>
      <w:r>
        <w:rPr>
          <w:rFonts w:hint="eastAsia" w:ascii="仿宋_GB2312" w:eastAsia="仿宋_GB2312"/>
          <w:sz w:val="28"/>
          <w:szCs w:val="28"/>
        </w:rPr>
        <w:t>万元，公务用车其他支出</w:t>
      </w:r>
      <w:r>
        <w:rPr>
          <w:rFonts w:ascii="仿宋_GB2312" w:eastAsia="仿宋_GB2312"/>
          <w:sz w:val="28"/>
          <w:szCs w:val="28"/>
          <w:highlight w:val="none"/>
        </w:rPr>
        <w:t>0.65</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6</w:t>
      </w:r>
      <w:r>
        <w:rPr>
          <w:rFonts w:hint="eastAsia" w:ascii="仿宋_GB2312" w:eastAsia="仿宋_GB2312"/>
          <w:sz w:val="28"/>
          <w:szCs w:val="28"/>
        </w:rPr>
        <w:t>辆，车均运行维护费</w:t>
      </w:r>
      <w:r>
        <w:rPr>
          <w:rFonts w:hint="eastAsia" w:ascii="仿宋_GB2312" w:eastAsia="仿宋_GB2312"/>
          <w:sz w:val="28"/>
          <w:szCs w:val="28"/>
          <w:lang w:val="en-US" w:eastAsia="zh-CN"/>
        </w:rPr>
        <w:t>1.05</w:t>
      </w:r>
      <w:r>
        <w:rPr>
          <w:rFonts w:hint="eastAsia" w:ascii="仿宋_GB2312" w:eastAsia="仿宋_GB2312"/>
          <w:sz w:val="28"/>
          <w:szCs w:val="28"/>
        </w:rPr>
        <w:t>万元。</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年度使用财政拨款安排的基本支出中的日常公用经费支出，合计274</w:t>
      </w:r>
      <w:r>
        <w:rPr>
          <w:rFonts w:hint="eastAsia" w:ascii="仿宋_GB2312" w:eastAsia="仿宋_GB2312"/>
          <w:sz w:val="28"/>
          <w:szCs w:val="28"/>
          <w:lang w:val="en-US" w:eastAsia="zh-CN"/>
        </w:rPr>
        <w:t>.</w:t>
      </w:r>
      <w:r>
        <w:rPr>
          <w:rFonts w:hint="eastAsia" w:ascii="仿宋_GB2312" w:eastAsia="仿宋_GB2312"/>
          <w:sz w:val="28"/>
          <w:szCs w:val="28"/>
        </w:rPr>
        <w:t>46万元，比上年减少</w:t>
      </w:r>
      <w:r>
        <w:rPr>
          <w:rFonts w:hint="eastAsia" w:ascii="仿宋_GB2312" w:eastAsia="仿宋_GB2312"/>
          <w:sz w:val="28"/>
          <w:szCs w:val="28"/>
          <w:lang w:val="en-US" w:eastAsia="zh-CN"/>
        </w:rPr>
        <w:t>29.46</w:t>
      </w:r>
      <w:r>
        <w:rPr>
          <w:rFonts w:hint="eastAsia" w:ascii="仿宋_GB2312" w:eastAsia="仿宋_GB2312"/>
          <w:sz w:val="28"/>
          <w:szCs w:val="28"/>
        </w:rPr>
        <w:t>万元，减少原因：</w:t>
      </w:r>
      <w:r>
        <w:rPr>
          <w:rFonts w:hint="eastAsia" w:ascii="仿宋_GB2312" w:eastAsia="仿宋_GB2312"/>
          <w:sz w:val="28"/>
          <w:szCs w:val="28"/>
          <w:lang w:eastAsia="zh-CN"/>
        </w:rPr>
        <w:t>落实政府过紧日子要求，厉行勤俭节约要求</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年度政府采购支出总额</w:t>
      </w:r>
      <w:r>
        <w:rPr>
          <w:rFonts w:ascii="仿宋_GB2312" w:eastAsia="仿宋_GB2312"/>
          <w:sz w:val="28"/>
          <w:szCs w:val="28"/>
        </w:rPr>
        <w:t>296.82</w:t>
      </w:r>
      <w:r>
        <w:rPr>
          <w:rFonts w:hint="eastAsia" w:ascii="仿宋_GB2312" w:eastAsia="仿宋_GB2312"/>
          <w:sz w:val="28"/>
          <w:szCs w:val="28"/>
        </w:rPr>
        <w:t>万元，其中：政府采购货物支出</w:t>
      </w:r>
      <w:r>
        <w:rPr>
          <w:rFonts w:ascii="仿宋_GB2312" w:eastAsia="仿宋_GB2312"/>
          <w:sz w:val="28"/>
          <w:szCs w:val="28"/>
        </w:rPr>
        <w:t>0.71</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296.11</w:t>
      </w:r>
      <w:r>
        <w:rPr>
          <w:rFonts w:hint="eastAsia" w:ascii="仿宋_GB2312" w:eastAsia="仿宋_GB2312"/>
          <w:sz w:val="28"/>
          <w:szCs w:val="28"/>
        </w:rPr>
        <w:t>万元。授予中小企业合同金额</w:t>
      </w:r>
      <w:r>
        <w:rPr>
          <w:rFonts w:ascii="仿宋_GB2312" w:eastAsia="仿宋_GB2312"/>
          <w:sz w:val="28"/>
          <w:szCs w:val="28"/>
          <w:highlight w:val="none"/>
        </w:rPr>
        <w:t>239.13</w:t>
      </w:r>
      <w:r>
        <w:rPr>
          <w:rFonts w:hint="eastAsia" w:ascii="仿宋_GB2312" w:eastAsia="仿宋_GB2312"/>
          <w:sz w:val="28"/>
          <w:szCs w:val="28"/>
        </w:rPr>
        <w:t>万元，占政府采购支出总额的</w:t>
      </w:r>
      <w:r>
        <w:rPr>
          <w:rFonts w:ascii="仿宋_GB2312" w:eastAsia="仿宋_GB2312"/>
          <w:sz w:val="28"/>
          <w:szCs w:val="28"/>
          <w:highlight w:val="none"/>
        </w:rPr>
        <w:t>80.56</w:t>
      </w:r>
      <w:r>
        <w:rPr>
          <w:rFonts w:hint="eastAsia" w:ascii="仿宋_GB2312" w:eastAsia="仿宋_GB2312"/>
          <w:sz w:val="28"/>
          <w:szCs w:val="28"/>
        </w:rPr>
        <w:t>%，其中：授予小微企业合同金额</w:t>
      </w:r>
      <w:r>
        <w:rPr>
          <w:rFonts w:ascii="仿宋_GB2312" w:eastAsia="仿宋_GB2312"/>
          <w:sz w:val="28"/>
          <w:szCs w:val="28"/>
          <w:highlight w:val="none"/>
        </w:rPr>
        <w:t>3.6</w:t>
      </w:r>
      <w:r>
        <w:rPr>
          <w:rFonts w:hint="eastAsia" w:ascii="仿宋_GB2312" w:eastAsia="仿宋_GB2312"/>
          <w:sz w:val="28"/>
          <w:szCs w:val="28"/>
        </w:rPr>
        <w:t>万元，占政府采购支出总额的</w:t>
      </w:r>
      <w:r>
        <w:rPr>
          <w:rFonts w:ascii="仿宋_GB2312" w:eastAsia="仿宋_GB2312"/>
          <w:sz w:val="28"/>
          <w:szCs w:val="28"/>
          <w:highlight w:val="none"/>
        </w:rPr>
        <w:t>1</w:t>
      </w:r>
      <w:r>
        <w:rPr>
          <w:rFonts w:hint="eastAsia" w:ascii="仿宋_GB2312" w:eastAsia="仿宋_GB2312"/>
          <w:sz w:val="28"/>
          <w:szCs w:val="28"/>
          <w:highlight w:val="none"/>
        </w:rPr>
        <w:t>%</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2023年度新购置车辆0</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0</w:t>
      </w:r>
      <w:r>
        <w:rPr>
          <w:rFonts w:hint="eastAsia" w:ascii="仿宋_GB2312" w:eastAsia="仿宋_GB2312"/>
          <w:sz w:val="28"/>
          <w:szCs w:val="28"/>
        </w:rPr>
        <w:t>元</w:t>
      </w:r>
      <w:r>
        <w:rPr>
          <w:rFonts w:hint="eastAsia" w:ascii="仿宋_GB2312" w:eastAsia="仿宋_GB2312"/>
          <w:sz w:val="28"/>
          <w:szCs w:val="28"/>
          <w:lang w:eastAsia="zh-CN"/>
        </w:rPr>
        <w:t>；新购置</w:t>
      </w:r>
      <w:r>
        <w:rPr>
          <w:rFonts w:hint="eastAsia" w:ascii="仿宋_GB2312" w:eastAsia="仿宋_GB2312"/>
          <w:sz w:val="28"/>
          <w:szCs w:val="28"/>
        </w:rPr>
        <w:t>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2</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225.28</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w:t>
      </w:r>
      <w:r>
        <w:rPr>
          <w:rFonts w:hint="eastAsia" w:ascii="仿宋_GB2312" w:eastAsia="仿宋_GB2312"/>
          <w:sz w:val="28"/>
          <w:szCs w:val="28"/>
          <w:lang w:eastAsia="zh-CN"/>
        </w:rPr>
        <w:t>本单位共有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w:t>
      </w:r>
      <w:r>
        <w:rPr>
          <w:rFonts w:hint="eastAsia" w:ascii="仿宋_GB2312" w:eastAsia="仿宋_GB2312"/>
          <w:sz w:val="28"/>
          <w:szCs w:val="28"/>
          <w:lang w:eastAsia="zh-CN"/>
        </w:rPr>
        <w:t>共计</w:t>
      </w:r>
      <w:r>
        <w:rPr>
          <w:rFonts w:hint="eastAsia" w:ascii="仿宋_GB2312" w:eastAsia="仿宋_GB2312"/>
          <w:sz w:val="28"/>
          <w:szCs w:val="28"/>
          <w:lang w:val="en-US" w:eastAsia="zh-CN"/>
        </w:rPr>
        <w:t>97.01</w:t>
      </w:r>
      <w:r>
        <w:rPr>
          <w:rFonts w:hint="eastAsia" w:ascii="仿宋_GB2312" w:eastAsia="仿宋_GB2312"/>
          <w:sz w:val="28"/>
          <w:szCs w:val="28"/>
        </w:rPr>
        <w:t>万元；单位价值100万元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3</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454.84</w:t>
      </w:r>
      <w:r>
        <w:rPr>
          <w:rFonts w:hint="eastAsia" w:ascii="仿宋_GB2312" w:eastAsia="仿宋_GB2312"/>
          <w:sz w:val="28"/>
          <w:szCs w:val="28"/>
        </w:rPr>
        <w:t>万元。</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w:t>
      </w:r>
      <w:r>
        <w:rPr>
          <w:rFonts w:ascii="仿宋_GB2312" w:eastAsia="仿宋_GB2312"/>
          <w:sz w:val="28"/>
          <w:szCs w:val="28"/>
        </w:rPr>
        <w:t>政府购买服务决算</w:t>
      </w:r>
      <w:r>
        <w:rPr>
          <w:rFonts w:ascii="仿宋_GB2312" w:eastAsia="仿宋_GB2312"/>
          <w:sz w:val="28"/>
          <w:szCs w:val="28"/>
          <w:highlight w:val="none"/>
        </w:rPr>
        <w:t>0</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教育支出（类）进修及培训（款）培训支出（项）：反映各部门安排用于培训的支出。教育部门的师资培训，党校、行政学院等专业干部教育机构的支出，以及退役士兵、转业士官的培训支出，不在本科目反映。</w:t>
      </w:r>
    </w:p>
    <w:p>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社会保障和就业支出（类）行政事业单位养老支出（款）行政单位离退休（项）：反映行政单位（包括实行公务员管理的事业单位）开支的离退休经费。</w:t>
      </w:r>
    </w:p>
    <w:p>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社会保障和就业支出（类）行政事业单位养老支出（款）机关事业单位基本养老保险缴费支出（项）：反映机关事业单位实施养老保险制度由单位实际缴纳的基本养老保险支出。</w:t>
      </w:r>
    </w:p>
    <w:p>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w:t>
      </w:r>
    </w:p>
    <w:p>
      <w:pPr>
        <w:ind w:firstLine="560" w:firstLineChars="200"/>
        <w:rPr>
          <w:rFonts w:hint="eastAsia" w:ascii="仿宋_GB2312" w:eastAsia="仿宋_GB2312"/>
          <w:sz w:val="28"/>
          <w:szCs w:val="28"/>
        </w:rPr>
      </w:pPr>
      <w:r>
        <w:rPr>
          <w:rFonts w:hint="eastAsia" w:ascii="仿宋_GB2312" w:eastAsia="仿宋_GB2312"/>
          <w:sz w:val="28"/>
          <w:szCs w:val="28"/>
        </w:rPr>
        <w:t>卫生健康支出（类）行政事业单位医疗（款）行政单位医疗（项）：反映财政部门安排的行政单位（包括实行公务员管理的事业单位，下同）基本医疗保险缴费经费，未参加医疗保险的行政单位的公费医疗经费，按国际规定享受离休人员、红军老战士待遇人员的医疗经费。</w:t>
      </w:r>
    </w:p>
    <w:p>
      <w:pPr>
        <w:ind w:firstLine="560" w:firstLineChars="200"/>
        <w:rPr>
          <w:rFonts w:hint="eastAsia" w:ascii="仿宋_GB2312" w:eastAsia="仿宋_GB2312"/>
          <w:sz w:val="28"/>
          <w:szCs w:val="28"/>
        </w:rPr>
      </w:pPr>
      <w:r>
        <w:rPr>
          <w:rFonts w:hint="eastAsia" w:ascii="仿宋_GB2312" w:eastAsia="仿宋_GB2312"/>
          <w:sz w:val="28"/>
          <w:szCs w:val="28"/>
        </w:rPr>
        <w:t>卫生健康支出（类）行政事业单位医疗（款）公务员医疗补助（项）：反映财政部门安排的公务员医疗补助经费。</w:t>
      </w:r>
    </w:p>
    <w:p>
      <w:pPr>
        <w:ind w:firstLine="560" w:firstLineChars="200"/>
        <w:rPr>
          <w:rFonts w:hint="eastAsia" w:ascii="仿宋_GB2312" w:eastAsia="仿宋_GB2312"/>
          <w:sz w:val="28"/>
          <w:szCs w:val="28"/>
        </w:rPr>
      </w:pPr>
      <w:r>
        <w:rPr>
          <w:rFonts w:hint="eastAsia" w:ascii="仿宋_GB2312" w:eastAsia="仿宋_GB2312"/>
          <w:sz w:val="28"/>
          <w:szCs w:val="28"/>
        </w:rPr>
        <w:t>城乡社区支出（类）国有土地使用权出让收入安排的支出（款）城市建设支出（项）：反映土地出让收入用于完善国有土地使用功能的配套设施建设和城市基础设施建设支出。</w:t>
      </w:r>
    </w:p>
    <w:p>
      <w:pPr>
        <w:ind w:firstLine="560" w:firstLineChars="200"/>
        <w:rPr>
          <w:rFonts w:hint="eastAsia" w:ascii="仿宋_GB2312" w:eastAsia="仿宋_GB2312"/>
          <w:sz w:val="28"/>
          <w:szCs w:val="28"/>
        </w:rPr>
      </w:pPr>
      <w:r>
        <w:rPr>
          <w:rFonts w:hint="eastAsia" w:ascii="仿宋_GB2312" w:eastAsia="仿宋_GB2312"/>
          <w:sz w:val="28"/>
          <w:szCs w:val="28"/>
        </w:rPr>
        <w:t>交通运输支出（类）公路水路运输（款）公路建设（项）：反映新建公路支出，公路改建支出，特大型桥梁建设支出，公路客货运站（场）建设支出。</w:t>
      </w:r>
    </w:p>
    <w:p>
      <w:pPr>
        <w:ind w:firstLine="560" w:firstLineChars="200"/>
        <w:rPr>
          <w:rFonts w:hint="eastAsia" w:ascii="仿宋_GB2312" w:eastAsia="仿宋_GB2312"/>
          <w:sz w:val="28"/>
          <w:szCs w:val="28"/>
        </w:rPr>
      </w:pPr>
      <w:r>
        <w:rPr>
          <w:rFonts w:hint="eastAsia" w:ascii="仿宋_GB2312" w:eastAsia="仿宋_GB2312"/>
          <w:sz w:val="28"/>
          <w:szCs w:val="28"/>
        </w:rPr>
        <w:t>交通运输支出（类）公路水路运输（款）公路养护（项）：反映公路养护支出。</w:t>
      </w:r>
    </w:p>
    <w:p>
      <w:pPr>
        <w:ind w:firstLine="560" w:firstLineChars="200"/>
        <w:rPr>
          <w:rFonts w:hint="eastAsia" w:ascii="仿宋_GB2312" w:eastAsia="仿宋_GB2312"/>
          <w:sz w:val="28"/>
          <w:szCs w:val="28"/>
        </w:rPr>
      </w:pPr>
      <w:r>
        <w:rPr>
          <w:rFonts w:hint="eastAsia" w:ascii="仿宋_GB2312" w:eastAsia="仿宋_GB2312"/>
          <w:sz w:val="28"/>
          <w:szCs w:val="28"/>
        </w:rPr>
        <w:t>交通运输支出（类）公路水路运输（款）其他公路水路运输支出（项）：反映出上述项目以外其他用于公路水路运输方面的支出。</w:t>
      </w:r>
    </w:p>
    <w:p>
      <w:p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灾害防治及应急管理支出（类）自然灾害救灾及恢复重建支出（款）自然灾害灾后重建补助（项）：反映公路灾后恢复重建支出。</w:t>
      </w:r>
    </w:p>
    <w:p>
      <w:pPr>
        <w:ind w:firstLine="560" w:firstLineChars="200"/>
        <w:rPr>
          <w:rFonts w:hint="default" w:ascii="仿宋_GB2312" w:eastAsia="仿宋_GB2312"/>
          <w:sz w:val="28"/>
          <w:szCs w:val="28"/>
          <w:lang w:val="en-US" w:eastAsia="zh-CN"/>
        </w:rPr>
      </w:pPr>
      <w:r>
        <w:rPr>
          <w:rFonts w:hint="default" w:ascii="仿宋_GB2312" w:eastAsia="仿宋_GB2312"/>
          <w:sz w:val="28"/>
          <w:szCs w:val="28"/>
          <w:lang w:val="en-US" w:eastAsia="zh-CN"/>
        </w:rPr>
        <w:t>灾害防治及应急管理支出（类）自然灾害救灾及恢复重建支出（款）其他自然灾害救灾及恢复重建支出（项）：反映出上述项目以外其他用于灾后恢复重建方面的支出。</w:t>
      </w:r>
    </w:p>
    <w:p>
      <w:pPr>
        <w:numPr>
          <w:ilvl w:val="0"/>
          <w:numId w:val="0"/>
        </w:numPr>
        <w:rPr>
          <w:rFonts w:hint="eastAsia" w:ascii="仿宋_GB2312" w:eastAsia="仿宋_GB2312"/>
          <w:sz w:val="28"/>
          <w:szCs w:val="28"/>
          <w:lang w:val="en-US" w:eastAsia="zh-CN"/>
        </w:rPr>
      </w:pPr>
    </w:p>
    <w:p>
      <w:pPr>
        <w:ind w:firstLine="632" w:firstLineChars="200"/>
        <w:rPr>
          <w:rFonts w:hint="eastAsia" w:ascii="仿宋_GB2312" w:hAnsi="Times New Roman" w:eastAsia="仿宋_GB2312" w:cs="Times New Roman"/>
          <w:b/>
          <w:color w:val="000000"/>
          <w:spacing w:val="-2"/>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3</w:t>
      </w:r>
      <w:r>
        <w:rPr>
          <w:rFonts w:hint="eastAsia" w:ascii="黑体" w:eastAsia="黑体"/>
          <w:sz w:val="32"/>
          <w:szCs w:val="32"/>
        </w:rPr>
        <w:t>年度部门绩效评价情况</w:t>
      </w:r>
    </w:p>
    <w:p>
      <w:pPr>
        <w:tabs>
          <w:tab w:val="center" w:pos="6979"/>
        </w:tabs>
        <w:spacing w:before="156" w:beforeLines="50" w:after="156" w:afterLines="50"/>
        <w:jc w:val="center"/>
        <w:rPr>
          <w:rFonts w:hint="eastAsia" w:ascii="宋体" w:hAnsi="宋体" w:cs="宋体"/>
          <w:b/>
          <w:bCs/>
          <w:spacing w:val="40"/>
          <w:kern w:val="0"/>
          <w:sz w:val="32"/>
          <w:szCs w:val="32"/>
        </w:rPr>
      </w:pPr>
    </w:p>
    <w:p>
      <w:pPr>
        <w:ind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项目支出绩效自评表（详见附件）</w:t>
      </w:r>
    </w:p>
    <w:p>
      <w:pPr>
        <w:tabs>
          <w:tab w:val="center" w:pos="6979"/>
        </w:tabs>
        <w:spacing w:before="156" w:beforeLines="50" w:after="156" w:afterLines="50"/>
        <w:jc w:val="center"/>
        <w:rPr>
          <w:rFonts w:hint="eastAsia" w:ascii="宋体" w:hAnsi="宋体" w:cs="宋体"/>
          <w:b/>
          <w:bCs/>
          <w:spacing w:val="40"/>
          <w:kern w:val="0"/>
          <w:sz w:val="32"/>
          <w:szCs w:val="32"/>
        </w:rPr>
      </w:pPr>
    </w:p>
    <w:p>
      <w:pPr>
        <w:rPr>
          <w:rFonts w:hint="eastAsia"/>
        </w:rPr>
      </w:pPr>
    </w:p>
    <w:p>
      <w:pPr>
        <w:pStyle w:val="3"/>
        <w:rPr>
          <w:rFonts w:hint="eastAsia"/>
        </w:rPr>
      </w:pPr>
    </w:p>
    <w:p>
      <w:pPr>
        <w:rPr>
          <w:rFonts w:hint="eastAsia"/>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ZjNhMzIzZWIxNjBkZWZmNjkzODdiNGI1ZTU0NzcifQ=="/>
  </w:docVars>
  <w:rsids>
    <w:rsidRoot w:val="00100246"/>
    <w:rsid w:val="00003B03"/>
    <w:rsid w:val="000040E6"/>
    <w:rsid w:val="00011830"/>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87A8B"/>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814321"/>
    <w:rsid w:val="01E176E1"/>
    <w:rsid w:val="020C008E"/>
    <w:rsid w:val="02B56978"/>
    <w:rsid w:val="0405748B"/>
    <w:rsid w:val="043F474B"/>
    <w:rsid w:val="047D5273"/>
    <w:rsid w:val="04912ACD"/>
    <w:rsid w:val="05B35753"/>
    <w:rsid w:val="06316315"/>
    <w:rsid w:val="06F86E33"/>
    <w:rsid w:val="077A1F3E"/>
    <w:rsid w:val="0788050C"/>
    <w:rsid w:val="079004AC"/>
    <w:rsid w:val="07DC6755"/>
    <w:rsid w:val="0808579C"/>
    <w:rsid w:val="08253C58"/>
    <w:rsid w:val="083D3697"/>
    <w:rsid w:val="08962DA7"/>
    <w:rsid w:val="089808CE"/>
    <w:rsid w:val="08C23B9D"/>
    <w:rsid w:val="090221EB"/>
    <w:rsid w:val="09CD45A7"/>
    <w:rsid w:val="0A1C108A"/>
    <w:rsid w:val="0A9357F1"/>
    <w:rsid w:val="0AB1211B"/>
    <w:rsid w:val="0C670CE3"/>
    <w:rsid w:val="0C913FB2"/>
    <w:rsid w:val="0DF74E71"/>
    <w:rsid w:val="0E060087"/>
    <w:rsid w:val="0E4806A0"/>
    <w:rsid w:val="0EB65F51"/>
    <w:rsid w:val="0F3A0931"/>
    <w:rsid w:val="0F3F1AA3"/>
    <w:rsid w:val="0F45156F"/>
    <w:rsid w:val="0F8E2C57"/>
    <w:rsid w:val="0FA1275E"/>
    <w:rsid w:val="0FC06194"/>
    <w:rsid w:val="10125409"/>
    <w:rsid w:val="10282537"/>
    <w:rsid w:val="1032785A"/>
    <w:rsid w:val="1059665E"/>
    <w:rsid w:val="105E31D1"/>
    <w:rsid w:val="10AC13BA"/>
    <w:rsid w:val="10B63FE7"/>
    <w:rsid w:val="11407D54"/>
    <w:rsid w:val="115D26B4"/>
    <w:rsid w:val="12EA1F62"/>
    <w:rsid w:val="12F9465F"/>
    <w:rsid w:val="13596EAB"/>
    <w:rsid w:val="14636234"/>
    <w:rsid w:val="147C72F5"/>
    <w:rsid w:val="14802503"/>
    <w:rsid w:val="154D0C92"/>
    <w:rsid w:val="162419F3"/>
    <w:rsid w:val="176F00F5"/>
    <w:rsid w:val="17854713"/>
    <w:rsid w:val="17946704"/>
    <w:rsid w:val="17C214C3"/>
    <w:rsid w:val="17D80CE7"/>
    <w:rsid w:val="183D0B4A"/>
    <w:rsid w:val="188C387F"/>
    <w:rsid w:val="19AD1E12"/>
    <w:rsid w:val="1AEC0734"/>
    <w:rsid w:val="1BB750B7"/>
    <w:rsid w:val="1BD143CB"/>
    <w:rsid w:val="1C654B5D"/>
    <w:rsid w:val="1CA613B3"/>
    <w:rsid w:val="1D305D43"/>
    <w:rsid w:val="1D444728"/>
    <w:rsid w:val="1DEF20B0"/>
    <w:rsid w:val="1E2527AC"/>
    <w:rsid w:val="1E8F40C9"/>
    <w:rsid w:val="1EB47EF1"/>
    <w:rsid w:val="20D52267"/>
    <w:rsid w:val="214243FA"/>
    <w:rsid w:val="21661111"/>
    <w:rsid w:val="22D14CB0"/>
    <w:rsid w:val="239857CE"/>
    <w:rsid w:val="23BF71FF"/>
    <w:rsid w:val="252A7D7C"/>
    <w:rsid w:val="257A14F5"/>
    <w:rsid w:val="25A032F9"/>
    <w:rsid w:val="2613738E"/>
    <w:rsid w:val="27196C26"/>
    <w:rsid w:val="27BF3329"/>
    <w:rsid w:val="27CE7A10"/>
    <w:rsid w:val="2829733C"/>
    <w:rsid w:val="28786771"/>
    <w:rsid w:val="287C121A"/>
    <w:rsid w:val="29EF086F"/>
    <w:rsid w:val="2A0E497A"/>
    <w:rsid w:val="2AC944BF"/>
    <w:rsid w:val="2ACE1AD5"/>
    <w:rsid w:val="2B514BE0"/>
    <w:rsid w:val="2B8F5708"/>
    <w:rsid w:val="2BCA04EF"/>
    <w:rsid w:val="2D1C7470"/>
    <w:rsid w:val="2D6055AE"/>
    <w:rsid w:val="2EFFE297"/>
    <w:rsid w:val="2F61560E"/>
    <w:rsid w:val="300264A9"/>
    <w:rsid w:val="3005243D"/>
    <w:rsid w:val="301437CA"/>
    <w:rsid w:val="305D4027"/>
    <w:rsid w:val="31662A68"/>
    <w:rsid w:val="317258B0"/>
    <w:rsid w:val="31791B35"/>
    <w:rsid w:val="319A0963"/>
    <w:rsid w:val="320F1351"/>
    <w:rsid w:val="346314E0"/>
    <w:rsid w:val="34DF325D"/>
    <w:rsid w:val="375872F6"/>
    <w:rsid w:val="37753A04"/>
    <w:rsid w:val="379320DC"/>
    <w:rsid w:val="37A75B88"/>
    <w:rsid w:val="37DF5322"/>
    <w:rsid w:val="388D4D7E"/>
    <w:rsid w:val="38BF6734"/>
    <w:rsid w:val="39930ABA"/>
    <w:rsid w:val="3B8E1539"/>
    <w:rsid w:val="3BB54D17"/>
    <w:rsid w:val="3BC1546A"/>
    <w:rsid w:val="3BFA6BCE"/>
    <w:rsid w:val="3D2A703F"/>
    <w:rsid w:val="3D3E3E5A"/>
    <w:rsid w:val="3D842BF3"/>
    <w:rsid w:val="3E483C21"/>
    <w:rsid w:val="3E6F38A3"/>
    <w:rsid w:val="3E8D412D"/>
    <w:rsid w:val="3E94330A"/>
    <w:rsid w:val="3EC51715"/>
    <w:rsid w:val="3FB377C0"/>
    <w:rsid w:val="3FC419CD"/>
    <w:rsid w:val="3FE536F1"/>
    <w:rsid w:val="3FEB6F5A"/>
    <w:rsid w:val="409749EB"/>
    <w:rsid w:val="40F938F8"/>
    <w:rsid w:val="41A15696"/>
    <w:rsid w:val="433E495C"/>
    <w:rsid w:val="434D3A87"/>
    <w:rsid w:val="43D16466"/>
    <w:rsid w:val="43E77A38"/>
    <w:rsid w:val="442962A2"/>
    <w:rsid w:val="445A46AE"/>
    <w:rsid w:val="44C45FCB"/>
    <w:rsid w:val="450735AD"/>
    <w:rsid w:val="45D01027"/>
    <w:rsid w:val="460F14C8"/>
    <w:rsid w:val="47B916EB"/>
    <w:rsid w:val="48763A80"/>
    <w:rsid w:val="48C06AA9"/>
    <w:rsid w:val="48D03190"/>
    <w:rsid w:val="496837C2"/>
    <w:rsid w:val="4A0A26D2"/>
    <w:rsid w:val="4A0F1A73"/>
    <w:rsid w:val="4A9106FD"/>
    <w:rsid w:val="4AC27CB3"/>
    <w:rsid w:val="4B103D18"/>
    <w:rsid w:val="4B49722A"/>
    <w:rsid w:val="4BA17066"/>
    <w:rsid w:val="4BCA41E8"/>
    <w:rsid w:val="4BF72BEF"/>
    <w:rsid w:val="4C0B2731"/>
    <w:rsid w:val="4C3C28EB"/>
    <w:rsid w:val="4D3D2DBF"/>
    <w:rsid w:val="4E197388"/>
    <w:rsid w:val="4E30022D"/>
    <w:rsid w:val="4E724CEA"/>
    <w:rsid w:val="4E8C7B5A"/>
    <w:rsid w:val="4EBB3F9B"/>
    <w:rsid w:val="4ED1689E"/>
    <w:rsid w:val="4EF70D4B"/>
    <w:rsid w:val="4EF94AC3"/>
    <w:rsid w:val="4F585C8E"/>
    <w:rsid w:val="51711289"/>
    <w:rsid w:val="51DB3C59"/>
    <w:rsid w:val="51DE2CB7"/>
    <w:rsid w:val="528C45CC"/>
    <w:rsid w:val="534F1156"/>
    <w:rsid w:val="536200A8"/>
    <w:rsid w:val="53682217"/>
    <w:rsid w:val="54662BFB"/>
    <w:rsid w:val="55216B22"/>
    <w:rsid w:val="553625CD"/>
    <w:rsid w:val="55560EC1"/>
    <w:rsid w:val="55762E42"/>
    <w:rsid w:val="56B714EC"/>
    <w:rsid w:val="56C37E91"/>
    <w:rsid w:val="56C66328"/>
    <w:rsid w:val="56CD2A24"/>
    <w:rsid w:val="57462870"/>
    <w:rsid w:val="574B7E86"/>
    <w:rsid w:val="57A7B272"/>
    <w:rsid w:val="5807265D"/>
    <w:rsid w:val="58470068"/>
    <w:rsid w:val="589A10C5"/>
    <w:rsid w:val="59163CBA"/>
    <w:rsid w:val="598F04FE"/>
    <w:rsid w:val="59CC1752"/>
    <w:rsid w:val="59F44805"/>
    <w:rsid w:val="5A0A04CC"/>
    <w:rsid w:val="5A1720F9"/>
    <w:rsid w:val="5A1E7CD0"/>
    <w:rsid w:val="5A2275C4"/>
    <w:rsid w:val="5A8C0EE1"/>
    <w:rsid w:val="5ABF4E13"/>
    <w:rsid w:val="5B6F05E7"/>
    <w:rsid w:val="5B9C37C2"/>
    <w:rsid w:val="5BA7C654"/>
    <w:rsid w:val="5C1178F0"/>
    <w:rsid w:val="5C3D06E5"/>
    <w:rsid w:val="5E473A9D"/>
    <w:rsid w:val="5E604B5F"/>
    <w:rsid w:val="5EAA1503"/>
    <w:rsid w:val="5EAA7B88"/>
    <w:rsid w:val="5ED30E8D"/>
    <w:rsid w:val="5EFD5F0A"/>
    <w:rsid w:val="5F021772"/>
    <w:rsid w:val="5F167D8E"/>
    <w:rsid w:val="60163727"/>
    <w:rsid w:val="618E553F"/>
    <w:rsid w:val="631F0B45"/>
    <w:rsid w:val="63D062E3"/>
    <w:rsid w:val="63E853DA"/>
    <w:rsid w:val="63F0603D"/>
    <w:rsid w:val="63F43D7F"/>
    <w:rsid w:val="64C0607C"/>
    <w:rsid w:val="65640A91"/>
    <w:rsid w:val="66061B48"/>
    <w:rsid w:val="66236B9E"/>
    <w:rsid w:val="671B1623"/>
    <w:rsid w:val="676F09E1"/>
    <w:rsid w:val="67732BC2"/>
    <w:rsid w:val="67966EFB"/>
    <w:rsid w:val="6865279D"/>
    <w:rsid w:val="68CB0E27"/>
    <w:rsid w:val="697E40EB"/>
    <w:rsid w:val="69FB573C"/>
    <w:rsid w:val="69FC1BE0"/>
    <w:rsid w:val="6A27005F"/>
    <w:rsid w:val="6A8E035E"/>
    <w:rsid w:val="6B2A0087"/>
    <w:rsid w:val="6B2D5DC9"/>
    <w:rsid w:val="6B3727A3"/>
    <w:rsid w:val="6BA234A1"/>
    <w:rsid w:val="6BC26511"/>
    <w:rsid w:val="6C501D6F"/>
    <w:rsid w:val="6CD7423E"/>
    <w:rsid w:val="6CEE3336"/>
    <w:rsid w:val="6D2D3E5E"/>
    <w:rsid w:val="6D372F2F"/>
    <w:rsid w:val="6D57712D"/>
    <w:rsid w:val="6DC36570"/>
    <w:rsid w:val="6ED749C9"/>
    <w:rsid w:val="6F51652A"/>
    <w:rsid w:val="70BF74C3"/>
    <w:rsid w:val="70E46F2A"/>
    <w:rsid w:val="711A0B9D"/>
    <w:rsid w:val="72135D18"/>
    <w:rsid w:val="7218332F"/>
    <w:rsid w:val="724E382F"/>
    <w:rsid w:val="725B146D"/>
    <w:rsid w:val="73575823"/>
    <w:rsid w:val="736A4C25"/>
    <w:rsid w:val="737C5B3F"/>
    <w:rsid w:val="7463285B"/>
    <w:rsid w:val="75127B90"/>
    <w:rsid w:val="765C7562"/>
    <w:rsid w:val="7730111A"/>
    <w:rsid w:val="776B5CAF"/>
    <w:rsid w:val="786646C8"/>
    <w:rsid w:val="787943FB"/>
    <w:rsid w:val="78852DA0"/>
    <w:rsid w:val="793B7903"/>
    <w:rsid w:val="795409C4"/>
    <w:rsid w:val="79A25BD4"/>
    <w:rsid w:val="7A7F1C49"/>
    <w:rsid w:val="7AD46261"/>
    <w:rsid w:val="7AE75F94"/>
    <w:rsid w:val="7B5B7AE6"/>
    <w:rsid w:val="7B5F322F"/>
    <w:rsid w:val="7B871525"/>
    <w:rsid w:val="7BA7071E"/>
    <w:rsid w:val="7BD1454E"/>
    <w:rsid w:val="7BD36518"/>
    <w:rsid w:val="7BDF6DA8"/>
    <w:rsid w:val="7C374CF9"/>
    <w:rsid w:val="7C7EDC1A"/>
    <w:rsid w:val="7C832C9F"/>
    <w:rsid w:val="7C991510"/>
    <w:rsid w:val="7CA73C2D"/>
    <w:rsid w:val="7CC14335"/>
    <w:rsid w:val="7CCED98D"/>
    <w:rsid w:val="7CFE75C5"/>
    <w:rsid w:val="7D08410F"/>
    <w:rsid w:val="7D821FA4"/>
    <w:rsid w:val="7DB96DED"/>
    <w:rsid w:val="7DD3AD81"/>
    <w:rsid w:val="7DDA3B8E"/>
    <w:rsid w:val="7E2E7A36"/>
    <w:rsid w:val="7E4C610E"/>
    <w:rsid w:val="7E7A0ECD"/>
    <w:rsid w:val="7F25708B"/>
    <w:rsid w:val="7F263665"/>
    <w:rsid w:val="7F4D213E"/>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FFAA19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 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paragraph" w:customStyle="1" w:styleId="20">
    <w:name w:val="正文文"/>
    <w:basedOn w:val="1"/>
    <w:next w:val="1"/>
    <w:qFormat/>
    <w:uiPriority w:val="0"/>
    <w:pPr>
      <w:spacing w:line="360" w:lineRule="auto"/>
      <w:ind w:firstLine="200" w:firstLineChars="200"/>
      <w:jc w:val="left"/>
    </w:pPr>
    <w:rPr>
      <w:rFonts w:ascii="宋体" w:hAnsi="宋体" w:cs="Times New Roman"/>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rtlCol="0" anchor="t" anchorCtr="true"/>
          <a:lstStyle/>
          <a:p>
            <a:pPr algn="l">
              <a:defRPr lang="zh-CN" sz="1800" b="1" i="0" u="none" strike="noStrike" kern="1200" baseline="0">
                <a:solidFill>
                  <a:schemeClr val="tx1"/>
                </a:solidFill>
                <a:latin typeface="+mn-lt"/>
                <a:ea typeface="+mn-ea"/>
                <a:cs typeface="+mn-cs"/>
              </a:defRPr>
            </a:pPr>
            <a:r>
              <a:rPr lang="en-US"/>
              <a:t>收入决算</a:t>
            </a:r>
            <a:endParaRPr lang="en-US" sz="1100"/>
          </a:p>
        </c:rich>
      </c:tx>
      <c:layout>
        <c:manualLayout>
          <c:xMode val="edge"/>
          <c:yMode val="edge"/>
          <c:x val="0.387656632579577"/>
          <c:y val="0.0345976422347514"/>
        </c:manualLayout>
      </c:layout>
      <c:overlay val="false"/>
      <c:spPr>
        <a:noFill/>
        <a:ln>
          <a:noFill/>
        </a:ln>
        <a:effectLst/>
      </c:spPr>
    </c:title>
    <c:autoTitleDeleted val="false"/>
    <c:plotArea>
      <c:layout/>
      <c:pieChart>
        <c:varyColors val="true"/>
        <c:ser>
          <c:idx val="0"/>
          <c:order val="0"/>
          <c:tx>
            <c:strRef>
              <c:f>Sheet1!$B$1</c:f>
              <c:strCache>
                <c:ptCount val="1"/>
                <c:pt idx="0">
                  <c:v>收入</c:v>
                </c:pt>
              </c:strCache>
            </c:strRef>
          </c:tx>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a:t>
                    </a:r>
                    <a:endParaRPr lang="en-US" altLang="zh-CN"/>
                  </a:p>
                </c:rich>
              </c:tx>
              <c:dLblPos val="inEnd"/>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76792.7</c:v>
                </c:pt>
                <c:pt idx="1">
                  <c:v>0</c:v>
                </c:pt>
                <c:pt idx="2">
                  <c:v>0</c:v>
                </c:pt>
                <c:pt idx="3">
                  <c:v>0</c:v>
                </c:pt>
                <c:pt idx="4">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egendEntry>
        <c:idx val="0"/>
        <c:txPr>
          <a:bodyPr rot="0" spcFirstLastPara="0" vertOverflow="ellipsis" vert="horz" wrap="square" anchor="ctr" anchorCtr="true"/>
          <a:lstStyle/>
          <a:p>
            <a:pPr>
              <a:defRPr lang="zh-CN" sz="900" b="0" i="0" u="none" strike="noStrike" kern="1200" baseline="0">
                <a:solidFill>
                  <a:schemeClr val="bg1">
                    <a:lumMod val="50000"/>
                  </a:schemeClr>
                </a:solidFill>
                <a:latin typeface="+mn-lt"/>
                <a:ea typeface="+mn-ea"/>
                <a:cs typeface="+mn-cs"/>
              </a:defRPr>
            </a:pPr>
          </a:p>
        </c:txPr>
      </c:legendEntry>
      <c:legendEntry>
        <c:idx val="1"/>
        <c:delete val="true"/>
      </c:legendEntry>
      <c:legendEntry>
        <c:idx val="2"/>
        <c:delete val="true"/>
      </c:legendEntry>
      <c:legendEntry>
        <c:idx val="3"/>
        <c:delete val="true"/>
      </c:legendEntry>
      <c:legendEntry>
        <c:idx val="4"/>
        <c:delete val="true"/>
      </c:legendEntry>
      <c:legendEntry>
        <c:idx val="5"/>
        <c:txPr>
          <a:bodyPr rot="0" spcFirstLastPara="0" vertOverflow="ellipsis" vert="horz" wrap="square" anchor="ctr" anchorCtr="true"/>
          <a:lstStyle/>
          <a:p>
            <a:pPr>
              <a:defRPr lang="zh-CN" sz="900" b="0" i="0" u="none" strike="noStrike" kern="1200" baseline="0">
                <a:solidFill>
                  <a:schemeClr val="bg1">
                    <a:lumMod val="50000"/>
                  </a:schemeClr>
                </a:solidFill>
                <a:latin typeface="+mn-lt"/>
                <a:ea typeface="+mn-ea"/>
                <a:cs typeface="+mn-cs"/>
              </a:defRPr>
            </a:pPr>
          </a:p>
        </c:txPr>
      </c:legendEntry>
      <c:layout>
        <c:manualLayout>
          <c:xMode val="edge"/>
          <c:yMode val="edge"/>
          <c:x val="0.786979691775889"/>
          <c:y val="0.453229113275243"/>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bg1">
                  <a:lumMod val="50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bg1">
                    <a:lumMod val="50000"/>
                  </a:schemeClr>
                </a:solidFill>
                <a:latin typeface="+mn-lt"/>
                <a:ea typeface="+mn-ea"/>
                <a:cs typeface="+mn-cs"/>
              </a:defRPr>
            </a:pPr>
            <a:r>
              <a:rPr>
                <a:solidFill>
                  <a:schemeClr val="bg1">
                    <a:lumMod val="50000"/>
                  </a:schemeClr>
                </a:solidFill>
              </a:rPr>
              <a:t>支出决算</a:t>
            </a:r>
            <a:endParaRPr>
              <a:solidFill>
                <a:schemeClr val="bg1">
                  <a:lumMod val="50000"/>
                </a:schemeClr>
              </a:solidFill>
            </a:endParaRPr>
          </a:p>
        </c:rich>
      </c:tx>
      <c:layout/>
      <c:overlay val="false"/>
      <c:spPr>
        <a:noFill/>
        <a:ln>
          <a:noFill/>
        </a:ln>
        <a:effectLst/>
      </c:spPr>
    </c:title>
    <c:autoTitleDeleted val="false"/>
    <c:plotArea>
      <c:layout/>
      <c:pieChart>
        <c:varyColors val="true"/>
        <c:ser>
          <c:idx val="0"/>
          <c:order val="0"/>
          <c:tx>
            <c:strRef>
              <c:f>Sheet0!$B$1</c:f>
              <c:strCache>
                <c:ptCount val="1"/>
                <c:pt idx="0">
                  <c:v>支出</c:v>
                </c:pt>
              </c:strCache>
            </c:strRef>
          </c:tx>
          <c:spPr/>
          <c:explosion val="0"/>
          <c:dPt>
            <c:idx val="0"/>
            <c:bubble3D val="false"/>
            <c:spPr>
              <a:solidFill>
                <a:srgbClr val="4F81BD"/>
              </a:solidFill>
              <a:ln w="19050">
                <a:solidFill>
                  <a:srgbClr val="FFFFFF"/>
                </a:solidFill>
              </a:ln>
              <a:effectLst/>
            </c:spPr>
          </c:dPt>
          <c:dPt>
            <c:idx val="1"/>
            <c:bubble3D val="false"/>
            <c:spPr>
              <a:solidFill>
                <a:srgbClr val="C0504D"/>
              </a:solidFill>
              <a:ln w="19050">
                <a:solidFill>
                  <a:srgbClr val="FFFFFF"/>
                </a:solidFill>
              </a:ln>
              <a:effectLst/>
            </c:spPr>
          </c:dPt>
          <c:dPt>
            <c:idx val="2"/>
            <c:bubble3D val="false"/>
            <c:spPr>
              <a:solidFill>
                <a:srgbClr val="9BBB59"/>
              </a:solidFill>
              <a:ln w="19050">
                <a:solidFill>
                  <a:srgbClr val="FFFFFF"/>
                </a:solidFill>
              </a:ln>
              <a:effectLst/>
            </c:spPr>
          </c:dPt>
          <c:dPt>
            <c:idx val="3"/>
            <c:bubble3D val="false"/>
            <c:spPr>
              <a:solidFill>
                <a:srgbClr val="8064A2"/>
              </a:solidFill>
              <a:ln w="19050">
                <a:solidFill>
                  <a:srgbClr val="FFFFFF"/>
                </a:solidFill>
              </a:ln>
              <a:effectLst/>
            </c:spPr>
          </c:dPt>
          <c:dPt>
            <c:idx val="4"/>
            <c:bubble3D val="false"/>
            <c:spPr>
              <a:solidFill>
                <a:srgbClr val="4BACC6"/>
              </a:solidFill>
              <a:ln w="19050">
                <a:solidFill>
                  <a:srgbClr val="FFFFFF"/>
                </a:solidFill>
              </a:ln>
              <a:effectLst/>
            </c:spPr>
          </c:dPt>
          <c:dLbls>
            <c:dLbl>
              <c:idx val="0"/>
              <c:layout>
                <c:manualLayout>
                  <c:x val="-0.00175256660698065"/>
                  <c:y val="0.084769581176705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rgbClr val="404040">
                            <a:lumMod val="75000"/>
                            <a:lumOff val="25000"/>
                          </a:srgbClr>
                        </a:solidFill>
                        <a:latin typeface="+mn-lt"/>
                        <a:ea typeface="+mn-ea"/>
                        <a:cs typeface="+mn-cs"/>
                      </a:defRPr>
                    </a:pPr>
                    <a:r>
                      <a:rPr lang="en-US" altLang="zh-CN">
                        <a:solidFill>
                          <a:schemeClr val="tx1">
                            <a:lumMod val="95000"/>
                            <a:lumOff val="5000"/>
                          </a:schemeClr>
                        </a:solidFill>
                      </a:rPr>
                      <a:t>6</a:t>
                    </a:r>
                    <a:r>
                      <a:rPr>
                        <a:solidFill>
                          <a:schemeClr val="tx1">
                            <a:lumMod val="95000"/>
                            <a:lumOff val="5000"/>
                          </a:schemeClr>
                        </a:solidFill>
                      </a:rPr>
                      <a:t>%</a:t>
                    </a:r>
                    <a:endParaRPr>
                      <a:solidFill>
                        <a:schemeClr val="tx1">
                          <a:lumMod val="95000"/>
                          <a:lumOff val="5000"/>
                        </a:schemeClr>
                      </a:solidFill>
                    </a:endParaRP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30609872370902"/>
                  <c:y val="-0.12193151266412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rgbClr val="404040">
                            <a:lumMod val="75000"/>
                            <a:lumOff val="25000"/>
                          </a:srgbClr>
                        </a:solidFill>
                        <a:latin typeface="+mn-lt"/>
                        <a:ea typeface="+mn-ea"/>
                        <a:cs typeface="+mn-cs"/>
                      </a:defRPr>
                    </a:pPr>
                    <a:r>
                      <a:rPr>
                        <a:solidFill>
                          <a:schemeClr val="tx1">
                            <a:lumMod val="95000"/>
                            <a:lumOff val="5000"/>
                          </a:schemeClr>
                        </a:solidFill>
                      </a:rPr>
                      <a:t>94%</a:t>
                    </a:r>
                    <a:endParaRPr>
                      <a:solidFill>
                        <a:schemeClr val="tx1">
                          <a:lumMod val="95000"/>
                          <a:lumOff val="5000"/>
                        </a:schemeClr>
                      </a:solidFill>
                    </a:endParaRP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delete val="true"/>
            </c:dLbl>
            <c:dLbl>
              <c:idx val="3"/>
              <c:delete val="true"/>
            </c:dLbl>
            <c:dLbl>
              <c:idx val="4"/>
              <c:delete val="true"/>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404040">
                        <a:lumMod val="75000"/>
                        <a:lumOff val="25000"/>
                      </a:srgb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2251.88</c:v>
                </c:pt>
                <c:pt idx="1">
                  <c:v>38237.9</c:v>
                </c:pt>
                <c:pt idx="2">
                  <c:v>0</c:v>
                </c:pt>
                <c:pt idx="3">
                  <c:v>0</c:v>
                </c:pt>
                <c:pt idx="4">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2"/>
        <c:delete val="true"/>
      </c:legendEntry>
      <c:legendEntry>
        <c:idx val="3"/>
        <c:delete val="true"/>
      </c:legendEntry>
      <c:legendEntry>
        <c:idx val="4"/>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4917</Words>
  <Characters>5612</Characters>
  <Lines>77</Lines>
  <Paragraphs>21</Paragraphs>
  <TotalTime>1</TotalTime>
  <ScaleCrop>false</ScaleCrop>
  <LinksUpToDate>false</LinksUpToDate>
  <CharactersWithSpaces>5630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2017-07-11T23:16:00Z</dcterms:created>
  <dc:creator>常程</dc:creator>
  <cp:lastModifiedBy>bmct-aktd</cp:lastModifiedBy>
  <cp:lastPrinted>2020-08-07T19:39:00Z</cp:lastPrinted>
  <dcterms:modified xsi:type="dcterms:W3CDTF">2024-12-11T11:29:10Z</dcterms:modified>
  <dc:title>北京市财政局关于做好向市人大常委会报送2015年度市级部门决算（草案）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1EA071993E524ED7A47539D819EEF124_13</vt:lpwstr>
  </property>
</Properties>
</file>