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1493E4">
      <w:pPr>
        <w:jc w:val="center"/>
        <w:rPr>
          <w:rFonts w:hint="eastAsia" w:ascii="仿宋_GB2312" w:eastAsia="仿宋_GB2312"/>
          <w:b/>
          <w:sz w:val="32"/>
          <w:szCs w:val="32"/>
          <w:lang w:eastAsia="zh-CN"/>
        </w:rPr>
      </w:pPr>
    </w:p>
    <w:p w14:paraId="08E72367">
      <w:pPr>
        <w:jc w:val="center"/>
        <w:rPr>
          <w:rFonts w:ascii="黑体" w:eastAsia="黑体"/>
          <w:sz w:val="72"/>
          <w:szCs w:val="72"/>
        </w:rPr>
      </w:pPr>
    </w:p>
    <w:p w14:paraId="0692C1B6">
      <w:pPr>
        <w:jc w:val="center"/>
        <w:rPr>
          <w:rFonts w:ascii="黑体" w:eastAsia="黑体"/>
          <w:sz w:val="72"/>
          <w:szCs w:val="72"/>
        </w:rPr>
      </w:pPr>
    </w:p>
    <w:p w14:paraId="3D01607F">
      <w:pPr>
        <w:jc w:val="center"/>
        <w:rPr>
          <w:rFonts w:ascii="黑体" w:eastAsia="黑体"/>
          <w:sz w:val="72"/>
          <w:szCs w:val="72"/>
        </w:rPr>
      </w:pPr>
    </w:p>
    <w:p w14:paraId="0AD684A5">
      <w:pPr>
        <w:jc w:val="center"/>
        <w:rPr>
          <w:rFonts w:ascii="黑体" w:eastAsia="黑体"/>
          <w:sz w:val="72"/>
          <w:szCs w:val="72"/>
        </w:rPr>
      </w:pPr>
    </w:p>
    <w:p w14:paraId="31BBEF31">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5A8E925B">
      <w:pPr>
        <w:pStyle w:val="2"/>
        <w:rPr>
          <w:rFonts w:hint="eastAsia" w:ascii="黑体" w:hAnsi="Times New Roman" w:eastAsia="黑体" w:cs="Times New Roman"/>
          <w:kern w:val="2"/>
          <w:sz w:val="72"/>
          <w:szCs w:val="72"/>
          <w:lang w:val="en-US" w:eastAsia="zh-CN" w:bidi="ar-SA"/>
        </w:rPr>
      </w:pPr>
    </w:p>
    <w:p w14:paraId="0AD99ED8">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北京市邮政业安全运行监测中心</w:t>
      </w:r>
    </w:p>
    <w:p w14:paraId="396168E8">
      <w:pPr>
        <w:pStyle w:val="2"/>
        <w:jc w:val="center"/>
      </w:pPr>
    </w:p>
    <w:p w14:paraId="6E64DD6C">
      <w:pPr>
        <w:jc w:val="center"/>
        <w:rPr>
          <w:rFonts w:ascii="黑体" w:eastAsia="黑体"/>
          <w:sz w:val="52"/>
          <w:szCs w:val="52"/>
        </w:rPr>
      </w:pPr>
    </w:p>
    <w:p w14:paraId="1D7C1939">
      <w:pPr>
        <w:jc w:val="center"/>
        <w:rPr>
          <w:rFonts w:ascii="黑体" w:eastAsia="黑体"/>
          <w:sz w:val="52"/>
          <w:szCs w:val="52"/>
        </w:rPr>
      </w:pPr>
    </w:p>
    <w:p w14:paraId="067266B7">
      <w:pPr>
        <w:jc w:val="center"/>
        <w:rPr>
          <w:rFonts w:ascii="黑体" w:eastAsia="黑体"/>
          <w:sz w:val="52"/>
          <w:szCs w:val="52"/>
        </w:rPr>
      </w:pPr>
    </w:p>
    <w:p w14:paraId="466B6097">
      <w:pPr>
        <w:jc w:val="center"/>
        <w:rPr>
          <w:rFonts w:ascii="黑体" w:eastAsia="黑体"/>
          <w:sz w:val="52"/>
          <w:szCs w:val="52"/>
        </w:rPr>
      </w:pPr>
    </w:p>
    <w:p w14:paraId="2F5105DD">
      <w:pPr>
        <w:jc w:val="center"/>
        <w:rPr>
          <w:rFonts w:ascii="黑体" w:eastAsia="黑体"/>
          <w:sz w:val="32"/>
          <w:szCs w:val="32"/>
        </w:rPr>
      </w:pPr>
    </w:p>
    <w:p w14:paraId="24727BA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D47FA65">
      <w:pPr>
        <w:spacing w:line="500" w:lineRule="exact"/>
        <w:ind w:firstLine="645"/>
        <w:jc w:val="center"/>
        <w:rPr>
          <w:rFonts w:ascii="宋体" w:hAnsi="宋体" w:cs="宋体"/>
          <w:b/>
          <w:bCs/>
          <w:kern w:val="0"/>
          <w:sz w:val="36"/>
          <w:szCs w:val="36"/>
        </w:rPr>
      </w:pPr>
    </w:p>
    <w:p w14:paraId="3C57329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7F2BFFE8">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C1C77F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B4CA42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F93A4C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F9BBD1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56F829F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9EAA65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8D928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606509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377F2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70FE71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2CDD571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4F8B97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4A7ABE5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2EA38995">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3BF9321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44A1BA46">
      <w:pPr>
        <w:tabs>
          <w:tab w:val="center" w:pos="6979"/>
        </w:tabs>
        <w:spacing w:before="156" w:beforeLines="50" w:after="156" w:afterLines="50"/>
        <w:jc w:val="center"/>
        <w:rPr>
          <w:rFonts w:ascii="宋体" w:hAnsi="宋体" w:cs="宋体"/>
          <w:b/>
          <w:bCs/>
          <w:spacing w:val="40"/>
          <w:kern w:val="0"/>
          <w:sz w:val="32"/>
          <w:szCs w:val="32"/>
        </w:rPr>
      </w:pPr>
    </w:p>
    <w:p w14:paraId="25D1B376">
      <w:pPr>
        <w:tabs>
          <w:tab w:val="center" w:pos="6979"/>
        </w:tabs>
        <w:spacing w:before="156" w:beforeLines="50" w:after="156" w:afterLines="50"/>
        <w:jc w:val="center"/>
        <w:rPr>
          <w:rFonts w:ascii="宋体" w:hAnsi="宋体" w:cs="宋体"/>
          <w:b/>
          <w:bCs/>
          <w:spacing w:val="40"/>
          <w:kern w:val="0"/>
          <w:sz w:val="32"/>
          <w:szCs w:val="32"/>
        </w:rPr>
      </w:pPr>
    </w:p>
    <w:p w14:paraId="60DE042A">
      <w:pPr>
        <w:tabs>
          <w:tab w:val="center" w:pos="6979"/>
        </w:tabs>
        <w:spacing w:before="156" w:beforeLines="50" w:after="156" w:afterLines="50"/>
        <w:jc w:val="center"/>
        <w:rPr>
          <w:rFonts w:ascii="宋体" w:hAnsi="宋体" w:cs="宋体"/>
          <w:b/>
          <w:bCs/>
          <w:spacing w:val="40"/>
          <w:kern w:val="0"/>
          <w:sz w:val="32"/>
          <w:szCs w:val="32"/>
        </w:rPr>
      </w:pPr>
    </w:p>
    <w:p w14:paraId="7DB5ABF5">
      <w:pPr>
        <w:tabs>
          <w:tab w:val="center" w:pos="6979"/>
        </w:tabs>
        <w:spacing w:before="156" w:beforeLines="50" w:after="156" w:afterLines="50"/>
        <w:jc w:val="center"/>
        <w:rPr>
          <w:rFonts w:ascii="宋体" w:hAnsi="宋体" w:cs="宋体"/>
          <w:b/>
          <w:bCs/>
          <w:spacing w:val="40"/>
          <w:kern w:val="0"/>
          <w:sz w:val="32"/>
          <w:szCs w:val="32"/>
        </w:rPr>
      </w:pPr>
    </w:p>
    <w:p w14:paraId="0824D5CA">
      <w:pPr>
        <w:tabs>
          <w:tab w:val="center" w:pos="6979"/>
        </w:tabs>
        <w:spacing w:before="156" w:beforeLines="50" w:after="156" w:afterLines="50"/>
        <w:jc w:val="center"/>
        <w:rPr>
          <w:rFonts w:ascii="宋体" w:hAnsi="宋体" w:cs="宋体"/>
          <w:b/>
          <w:bCs/>
          <w:spacing w:val="40"/>
          <w:kern w:val="0"/>
          <w:sz w:val="32"/>
          <w:szCs w:val="32"/>
        </w:rPr>
      </w:pPr>
    </w:p>
    <w:p w14:paraId="21471DC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6A7A4B81">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997B827">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5E9D54A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5AD7BE65">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6CE98DAE">
      <w:pPr>
        <w:tabs>
          <w:tab w:val="center" w:pos="6979"/>
        </w:tabs>
        <w:spacing w:line="580" w:lineRule="exact"/>
        <w:ind w:firstLine="420" w:firstLineChars="15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北京市邮政业安全运行监测中心为北京市交通委员会所属公益一类正处级事业单位，职责为承担本市邮政业安全运行的监测和预警工作；承担邮政业安全监控平台的运行维护和管理工作。</w:t>
      </w:r>
    </w:p>
    <w:p w14:paraId="75C80A1F">
      <w:pPr>
        <w:tabs>
          <w:tab w:val="center" w:pos="6979"/>
        </w:tabs>
        <w:spacing w:line="580" w:lineRule="exact"/>
        <w:ind w:firstLine="420" w:firstLineChars="150"/>
      </w:pPr>
      <w:r>
        <w:rPr>
          <w:rFonts w:hint="eastAsia" w:ascii="仿宋_GB2312" w:hAnsi="Times New Roman" w:eastAsia="仿宋_GB2312" w:cs="Times New Roman"/>
          <w:sz w:val="28"/>
          <w:szCs w:val="28"/>
          <w:highlight w:val="none"/>
        </w:rPr>
        <w:t>根据《中共北京市委机构编制委员会办公室关于同意设立北京市邮政业安全运行监测中心的函》（京编办事[2019]139号），设立北京市邮政业安全运行监测中心。中心下设4个部门,分别是综合办公室、安全监测部、技术保障部、应急保障部。</w:t>
      </w:r>
    </w:p>
    <w:p w14:paraId="37D2ADCE">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988898B">
      <w:pPr>
        <w:tabs>
          <w:tab w:val="center" w:pos="6979"/>
        </w:tabs>
        <w:spacing w:line="580" w:lineRule="exact"/>
        <w:ind w:firstLine="560" w:firstLineChars="200"/>
        <w:rPr>
          <w:rFonts w:ascii="仿宋_GB2312" w:eastAsia="仿宋_GB2312"/>
          <w:kern w:val="0"/>
          <w:sz w:val="28"/>
          <w:szCs w:val="28"/>
        </w:rPr>
      </w:pPr>
      <w:r>
        <w:rPr>
          <w:rFonts w:hint="eastAsia" w:ascii="仿宋_GB2312" w:hAnsi="Times New Roman" w:eastAsia="仿宋_GB2312" w:cs="Times New Roman"/>
          <w:sz w:val="28"/>
          <w:szCs w:val="28"/>
        </w:rPr>
        <w:t>北京市邮政业安全运行监测中</w:t>
      </w:r>
      <w:r>
        <w:rPr>
          <w:rFonts w:hint="eastAsia" w:ascii="仿宋_GB2312" w:hAnsi="Times New Roman" w:eastAsia="仿宋_GB2312" w:cs="Times New Roman"/>
          <w:sz w:val="28"/>
          <w:szCs w:val="28"/>
          <w:highlight w:val="none"/>
        </w:rPr>
        <w:t>心</w:t>
      </w:r>
      <w:r>
        <w:rPr>
          <w:rFonts w:hint="eastAsia" w:ascii="仿宋_GB2312" w:eastAsia="仿宋_GB2312"/>
          <w:kern w:val="0"/>
          <w:sz w:val="28"/>
          <w:szCs w:val="28"/>
          <w:highlight w:val="none"/>
        </w:rPr>
        <w:t>事业编制</w:t>
      </w:r>
      <w:r>
        <w:rPr>
          <w:rFonts w:hint="eastAsia" w:ascii="仿宋_GB2312" w:eastAsia="仿宋_GB2312"/>
          <w:kern w:val="0"/>
          <w:sz w:val="28"/>
          <w:szCs w:val="28"/>
          <w:highlight w:val="none"/>
          <w:lang w:val="en-US" w:eastAsia="zh-CN"/>
        </w:rPr>
        <w:t>20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16</w:t>
      </w:r>
      <w:r>
        <w:rPr>
          <w:rFonts w:hint="eastAsia" w:ascii="仿宋_GB2312" w:eastAsia="仿宋_GB2312"/>
          <w:kern w:val="0"/>
          <w:sz w:val="28"/>
          <w:szCs w:val="28"/>
          <w:highlight w:val="none"/>
        </w:rPr>
        <w:t>人。</w:t>
      </w:r>
      <w:bookmarkStart w:id="0" w:name="_GoBack"/>
      <w:bookmarkEnd w:id="0"/>
    </w:p>
    <w:p w14:paraId="31626578">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688637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636.36</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399.86</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38.59</w:t>
      </w:r>
      <w:r>
        <w:rPr>
          <w:rFonts w:hint="eastAsia" w:ascii="仿宋_GB2312" w:eastAsia="仿宋_GB2312"/>
          <w:sz w:val="28"/>
          <w:szCs w:val="28"/>
          <w:highlight w:val="none"/>
        </w:rPr>
        <w:t>%。</w:t>
      </w:r>
    </w:p>
    <w:p w14:paraId="1B62B41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603707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635.98</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146.8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18.75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1EC0BC5D">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635.98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635.98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87126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8F04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F6A29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255250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86ED75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B33DF72">
      <w:pPr>
        <w:pStyle w:val="3"/>
        <w:jc w:val="center"/>
        <w:rPr>
          <w:rFonts w:hint="eastAsia"/>
        </w:rPr>
      </w:pPr>
      <w:r>
        <w:rPr>
          <w:rFonts w:hint="eastAsia" w:ascii="仿宋_GB2312" w:eastAsia="仿宋_GB2312"/>
          <w:color w:val="000000"/>
          <w:sz w:val="32"/>
        </w:rPr>
        <w:t>图1：收入决算</w:t>
      </w:r>
    </w:p>
    <w:p w14:paraId="0CB74C50">
      <w:pPr>
        <w:pStyle w:val="2"/>
        <w:ind w:firstLine="420"/>
        <w:jc w:val="center"/>
      </w:pPr>
      <w:r>
        <w:drawing>
          <wp:inline distT="0" distB="0" distL="114300" distR="114300">
            <wp:extent cx="4296410" cy="2631440"/>
            <wp:effectExtent l="0" t="0" r="8890" b="165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296410" cy="2631440"/>
                    </a:xfrm>
                    <a:prstGeom prst="rect">
                      <a:avLst/>
                    </a:prstGeom>
                    <a:noFill/>
                    <a:ln>
                      <a:noFill/>
                    </a:ln>
                  </pic:spPr>
                </pic:pic>
              </a:graphicData>
            </a:graphic>
          </wp:inline>
        </w:drawing>
      </w:r>
    </w:p>
    <w:p w14:paraId="1A313E1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DDF4E3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605.86</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w:t>
      </w:r>
      <w:r>
        <w:rPr>
          <w:rFonts w:hint="eastAsia" w:ascii="仿宋_GB2312" w:eastAsia="仿宋_GB2312"/>
          <w:sz w:val="28"/>
          <w:szCs w:val="28"/>
          <w:highlight w:val="none"/>
          <w:lang w:val="en-US" w:eastAsia="zh-CN"/>
        </w:rPr>
        <w:t>少357.65</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37.12</w:t>
      </w:r>
      <w:r>
        <w:rPr>
          <w:rFonts w:hint="eastAsia" w:ascii="仿宋_GB2312" w:eastAsia="仿宋_GB2312"/>
          <w:sz w:val="28"/>
          <w:szCs w:val="28"/>
          <w:highlight w:val="none"/>
        </w:rPr>
        <w:t>%</w:t>
      </w:r>
      <w:r>
        <w:rPr>
          <w:rFonts w:hint="eastAsia" w:ascii="仿宋_GB2312" w:eastAsia="仿宋_GB2312"/>
          <w:sz w:val="28"/>
          <w:szCs w:val="28"/>
        </w:rPr>
        <w:t>，其中：基本支出</w:t>
      </w:r>
      <w:r>
        <w:rPr>
          <w:rFonts w:ascii="仿宋_GB2312" w:eastAsia="仿宋_GB2312"/>
          <w:sz w:val="28"/>
          <w:szCs w:val="28"/>
        </w:rPr>
        <w:t>519.29</w:t>
      </w:r>
      <w:r>
        <w:rPr>
          <w:rFonts w:hint="eastAsia" w:ascii="仿宋_GB2312" w:eastAsia="仿宋_GB2312"/>
          <w:sz w:val="28"/>
          <w:szCs w:val="28"/>
        </w:rPr>
        <w:t>万元，占支出合计的</w:t>
      </w:r>
      <w:r>
        <w:rPr>
          <w:rFonts w:hint="eastAsia" w:ascii="仿宋_GB2312" w:eastAsia="仿宋_GB2312"/>
          <w:sz w:val="28"/>
          <w:szCs w:val="28"/>
          <w:lang w:eastAsia="zh-CN"/>
        </w:rPr>
        <w:t>86</w:t>
      </w:r>
      <w:r>
        <w:rPr>
          <w:rFonts w:hint="eastAsia" w:ascii="仿宋_GB2312" w:eastAsia="仿宋_GB2312"/>
          <w:sz w:val="28"/>
          <w:szCs w:val="28"/>
        </w:rPr>
        <w:t>%；项目支出</w:t>
      </w:r>
      <w:r>
        <w:rPr>
          <w:rFonts w:ascii="仿宋_GB2312" w:eastAsia="仿宋_GB2312"/>
          <w:sz w:val="28"/>
          <w:szCs w:val="28"/>
        </w:rPr>
        <w:t>86.58</w:t>
      </w:r>
      <w:r>
        <w:rPr>
          <w:rFonts w:hint="eastAsia" w:ascii="仿宋_GB2312" w:eastAsia="仿宋_GB2312"/>
          <w:sz w:val="28"/>
          <w:szCs w:val="28"/>
        </w:rPr>
        <w:t>万元，占支出合计的</w:t>
      </w:r>
      <w:r>
        <w:rPr>
          <w:rFonts w:hint="eastAsia" w:ascii="仿宋_GB2312" w:eastAsia="仿宋_GB2312"/>
          <w:sz w:val="28"/>
          <w:szCs w:val="28"/>
          <w:lang w:eastAsia="zh-CN"/>
        </w:rPr>
        <w:t>14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A5E9CEE">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0399315">
      <w:pPr>
        <w:jc w:val="center"/>
        <w:rPr>
          <w:rFonts w:ascii="黑体" w:eastAsia="黑体"/>
          <w:b/>
          <w:sz w:val="28"/>
          <w:szCs w:val="28"/>
        </w:rPr>
      </w:pPr>
      <w:r>
        <w:rPr>
          <w:rFonts w:hint="eastAsia" w:ascii="黑体" w:eastAsia="黑体"/>
          <w:b/>
          <w:sz w:val="28"/>
          <w:szCs w:val="28"/>
          <w:lang w:eastAsia="zh-CN"/>
        </w:rPr>
        <w:object>
          <v:shape id="_x0000_i1025" o:spt="75" type="#_x0000_t75" style="height:222.75pt;width:366.75pt;" o:ole="t" filled="f" o:preferrelative="t" stroked="f" coordsize="21600,21600">
            <v:path/>
            <v:fill on="f" focussize="0,0"/>
            <v:stroke on="f"/>
            <v:imagedata r:id="rId9" o:title=""/>
            <o:lock v:ext="edit" aspectratio="t"/>
            <w10:wrap type="none"/>
            <w10:anchorlock/>
          </v:shape>
          <o:OLEObject Type="Embed" ProgID="Excel.Chart.8" ShapeID="_x0000_i1025" DrawAspect="Content" ObjectID="_1468075725" r:id="rId8">
            <o:LockedField>false</o:LockedField>
          </o:OLEObject>
        </w:object>
      </w:r>
    </w:p>
    <w:p w14:paraId="188E485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C2298A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636.36</w:t>
      </w:r>
      <w:r>
        <w:rPr>
          <w:rFonts w:hint="eastAsia" w:ascii="仿宋_GB2312" w:eastAsia="仿宋_GB2312"/>
          <w:sz w:val="28"/>
          <w:szCs w:val="28"/>
        </w:rPr>
        <w:t>万元，</w:t>
      </w:r>
      <w:r>
        <w:rPr>
          <w:rFonts w:hint="eastAsia" w:ascii="仿宋_GB2312" w:eastAsia="仿宋_GB2312"/>
          <w:sz w:val="28"/>
          <w:szCs w:val="28"/>
          <w:highlight w:val="none"/>
        </w:rPr>
        <w:t>比上年减少</w:t>
      </w:r>
      <w:r>
        <w:rPr>
          <w:rFonts w:hint="eastAsia" w:ascii="仿宋_GB2312" w:eastAsia="仿宋_GB2312"/>
          <w:sz w:val="28"/>
          <w:szCs w:val="28"/>
          <w:highlight w:val="none"/>
          <w:lang w:val="en-US" w:eastAsia="zh-CN"/>
        </w:rPr>
        <w:t>399.86</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38.59</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我中心</w:t>
      </w:r>
      <w:r>
        <w:rPr>
          <w:rFonts w:hint="eastAsia" w:ascii="仿宋_GB2312" w:eastAsia="仿宋_GB2312"/>
          <w:sz w:val="28"/>
          <w:szCs w:val="28"/>
          <w:highlight w:val="none"/>
          <w:lang w:val="en-US" w:eastAsia="zh-CN"/>
        </w:rPr>
        <w:t>2022年筹建支出较多包括办公楼装修和办公设备购置等大额支出，2023年无该等支出</w:t>
      </w:r>
      <w:r>
        <w:rPr>
          <w:rFonts w:hint="eastAsia" w:ascii="仿宋_GB2312" w:eastAsia="仿宋_GB2312"/>
          <w:sz w:val="28"/>
          <w:szCs w:val="28"/>
          <w:highlight w:val="none"/>
        </w:rPr>
        <w:t>。</w:t>
      </w:r>
    </w:p>
    <w:p w14:paraId="201103A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018D82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8B1EB5F">
      <w:pPr>
        <w:tabs>
          <w:tab w:val="center" w:pos="6979"/>
        </w:tabs>
        <w:spacing w:line="580" w:lineRule="exact"/>
        <w:ind w:firstLine="560" w:firstLineChars="200"/>
        <w:rPr>
          <w:rFonts w:ascii="仿宋_GB2312" w:eastAsia="仿宋_GB2312"/>
          <w:sz w:val="28"/>
          <w:szCs w:val="28"/>
          <w:highlight w:val="yellow"/>
        </w:rPr>
      </w:pPr>
      <w:r>
        <w:rPr>
          <w:rFonts w:hint="eastAsia" w:ascii="仿宋_GB2312" w:eastAsia="仿宋_GB2312"/>
          <w:sz w:val="28"/>
          <w:szCs w:val="28"/>
        </w:rPr>
        <w:t>2023年度一般公共预算财政拨款支出</w:t>
      </w:r>
      <w:r>
        <w:rPr>
          <w:rFonts w:ascii="仿宋_GB2312" w:eastAsia="仿宋_GB2312"/>
          <w:sz w:val="28"/>
          <w:szCs w:val="28"/>
        </w:rPr>
        <w:t>605.86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0.2</w:t>
      </w:r>
      <w:r>
        <w:rPr>
          <w:rFonts w:hint="eastAsia" w:ascii="仿宋_GB2312" w:eastAsia="仿宋_GB2312"/>
          <w:sz w:val="28"/>
          <w:szCs w:val="28"/>
        </w:rPr>
        <w:t>%；</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39.44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6.51</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rPr>
        <w:t>支出</w:t>
      </w:r>
      <w:r>
        <w:rPr>
          <w:rFonts w:hint="eastAsia" w:ascii="仿宋_GB2312" w:eastAsia="仿宋_GB2312"/>
          <w:sz w:val="28"/>
          <w:szCs w:val="28"/>
          <w:lang w:val="en-US" w:eastAsia="zh-CN"/>
        </w:rPr>
        <w:t>21.04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3.47</w:t>
      </w:r>
      <w:r>
        <w:rPr>
          <w:rFonts w:hint="eastAsia" w:ascii="仿宋_GB2312" w:eastAsia="仿宋_GB2312"/>
          <w:sz w:val="28"/>
          <w:szCs w:val="28"/>
        </w:rPr>
        <w:t>%；</w:t>
      </w:r>
      <w:r>
        <w:rPr>
          <w:rFonts w:hint="eastAsia" w:ascii="仿宋_GB2312" w:eastAsia="仿宋_GB2312"/>
          <w:sz w:val="28"/>
          <w:szCs w:val="28"/>
          <w:lang w:eastAsia="zh-CN"/>
        </w:rPr>
        <w:t>交通运输</w:t>
      </w:r>
      <w:r>
        <w:rPr>
          <w:rFonts w:hint="eastAsia" w:ascii="仿宋_GB2312" w:eastAsia="仿宋_GB2312"/>
          <w:sz w:val="28"/>
          <w:szCs w:val="28"/>
        </w:rPr>
        <w:t>支出</w:t>
      </w:r>
      <w:r>
        <w:rPr>
          <w:rFonts w:hint="eastAsia" w:ascii="仿宋_GB2312" w:eastAsia="仿宋_GB2312"/>
          <w:sz w:val="28"/>
          <w:szCs w:val="28"/>
          <w:lang w:val="en-US" w:eastAsia="zh-CN"/>
        </w:rPr>
        <w:t>544.18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89.82</w:t>
      </w:r>
      <w:r>
        <w:rPr>
          <w:rFonts w:hint="eastAsia" w:ascii="仿宋_GB2312" w:eastAsia="仿宋_GB2312"/>
          <w:sz w:val="28"/>
          <w:szCs w:val="28"/>
        </w:rPr>
        <w:t>%</w:t>
      </w:r>
      <w:r>
        <w:rPr>
          <w:rFonts w:hint="eastAsia" w:ascii="仿宋_GB2312" w:eastAsia="仿宋_GB2312"/>
          <w:sz w:val="28"/>
          <w:szCs w:val="28"/>
          <w:lang w:eastAsia="zh-CN"/>
        </w:rPr>
        <w:t>。</w:t>
      </w:r>
    </w:p>
    <w:p w14:paraId="0309207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688A1E9">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。其中：</w:t>
      </w:r>
    </w:p>
    <w:p w14:paraId="6EF05A9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w:t>
      </w:r>
    </w:p>
    <w:p w14:paraId="738AE92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39.44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。其中：</w:t>
      </w:r>
    </w:p>
    <w:p w14:paraId="614B59A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39.44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w:t>
      </w:r>
    </w:p>
    <w:p w14:paraId="108870B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21.04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。其中：</w:t>
      </w:r>
    </w:p>
    <w:p w14:paraId="714552DD">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行政事业单位医疗</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21.04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w:t>
      </w:r>
    </w:p>
    <w:p w14:paraId="6028853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交通运输支出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544.18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减少30.12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下降5.24</w:t>
      </w:r>
      <w:r>
        <w:rPr>
          <w:rFonts w:hint="eastAsia" w:ascii="仿宋_GB2312" w:eastAsia="仿宋_GB2312"/>
          <w:sz w:val="28"/>
          <w:szCs w:val="28"/>
          <w:highlight w:val="none"/>
        </w:rPr>
        <w:t>%。其中：</w:t>
      </w:r>
    </w:p>
    <w:p w14:paraId="5801568D">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邮政业支出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544.18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减少30.12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下降5.24</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人员经费和后勤保障经费结余</w:t>
      </w:r>
      <w:r>
        <w:rPr>
          <w:rFonts w:hint="eastAsia" w:ascii="仿宋_GB2312" w:eastAsia="仿宋_GB2312"/>
          <w:color w:val="auto"/>
          <w:sz w:val="28"/>
          <w:szCs w:val="28"/>
          <w:highlight w:val="none"/>
        </w:rPr>
        <w:t>。</w:t>
      </w:r>
    </w:p>
    <w:p w14:paraId="7825878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91134DE">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本单位不涉及该等支出。</w:t>
      </w:r>
    </w:p>
    <w:p w14:paraId="3FEA686F">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78D87F5">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本单位不涉及该等支出。</w:t>
      </w:r>
    </w:p>
    <w:p w14:paraId="115A8CCE">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1D2560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519.29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E61FB5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141B94E9">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21112D7D">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本单位无该等支出。</w:t>
      </w:r>
    </w:p>
    <w:p w14:paraId="07F77723">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1E6900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w:t>
      </w:r>
      <w:r>
        <w:rPr>
          <w:rFonts w:hint="eastAsia" w:ascii="仿宋_GB2312" w:eastAsia="仿宋_GB2312"/>
          <w:sz w:val="28"/>
          <w:szCs w:val="28"/>
          <w:highlight w:val="none"/>
        </w:rPr>
        <w:t>计</w:t>
      </w:r>
      <w:r>
        <w:rPr>
          <w:rFonts w:hint="eastAsia" w:ascii="仿宋_GB2312" w:eastAsia="仿宋_GB2312"/>
          <w:sz w:val="28"/>
          <w:szCs w:val="28"/>
          <w:highlight w:val="none"/>
          <w:lang w:val="en-US" w:eastAsia="zh-CN"/>
        </w:rPr>
        <w:t>65.6</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0.32</w:t>
      </w:r>
      <w:r>
        <w:rPr>
          <w:rFonts w:hint="eastAsia" w:ascii="仿宋_GB2312" w:eastAsia="仿宋_GB2312"/>
          <w:sz w:val="28"/>
          <w:szCs w:val="28"/>
          <w:highlight w:val="none"/>
        </w:rPr>
        <w:t>万</w:t>
      </w:r>
      <w:r>
        <w:rPr>
          <w:rFonts w:hint="eastAsia" w:ascii="仿宋_GB2312" w:eastAsia="仿宋_GB2312"/>
          <w:sz w:val="28"/>
          <w:szCs w:val="28"/>
        </w:rPr>
        <w:t>元，</w:t>
      </w:r>
      <w:r>
        <w:rPr>
          <w:rFonts w:hint="eastAsia" w:ascii="仿宋_GB2312" w:eastAsia="仿宋_GB2312"/>
          <w:sz w:val="28"/>
          <w:szCs w:val="28"/>
          <w:highlight w:val="none"/>
        </w:rPr>
        <w:t>减少原因</w:t>
      </w:r>
      <w:r>
        <w:rPr>
          <w:rFonts w:hint="eastAsia" w:ascii="仿宋_GB2312" w:eastAsia="仿宋_GB2312"/>
          <w:sz w:val="28"/>
          <w:szCs w:val="28"/>
          <w:highlight w:val="none"/>
          <w:lang w:eastAsia="zh-CN"/>
        </w:rPr>
        <w:t>：厉行节约，压减了日常开支</w:t>
      </w:r>
      <w:r>
        <w:rPr>
          <w:rFonts w:hint="eastAsia" w:ascii="仿宋_GB2312" w:eastAsia="仿宋_GB2312"/>
          <w:sz w:val="28"/>
          <w:szCs w:val="28"/>
        </w:rPr>
        <w:t>。</w:t>
      </w:r>
    </w:p>
    <w:p w14:paraId="6E15CFEB">
      <w:pPr>
        <w:ind w:left="540"/>
        <w:rPr>
          <w:rFonts w:ascii="黑体" w:eastAsia="黑体"/>
          <w:sz w:val="28"/>
          <w:szCs w:val="28"/>
        </w:rPr>
      </w:pPr>
      <w:r>
        <w:rPr>
          <w:rFonts w:hint="eastAsia" w:ascii="黑体" w:eastAsia="黑体"/>
          <w:sz w:val="28"/>
          <w:szCs w:val="28"/>
        </w:rPr>
        <w:t>三、政府采购支出情况</w:t>
      </w:r>
    </w:p>
    <w:p w14:paraId="1935C638">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4.4</w:t>
      </w:r>
      <w:r>
        <w:rPr>
          <w:rFonts w:hint="eastAsia" w:ascii="仿宋_GB2312" w:eastAsia="仿宋_GB2312"/>
          <w:sz w:val="28"/>
          <w:szCs w:val="28"/>
        </w:rPr>
        <w:t>万元，其中：政府采购货物支出</w:t>
      </w:r>
      <w:r>
        <w:rPr>
          <w:rFonts w:ascii="仿宋_GB2312" w:eastAsia="仿宋_GB2312"/>
          <w:sz w:val="28"/>
          <w:szCs w:val="28"/>
        </w:rPr>
        <w:t>4.4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3.96</w:t>
      </w:r>
      <w:r>
        <w:rPr>
          <w:rFonts w:hint="eastAsia" w:ascii="仿宋_GB2312" w:eastAsia="仿宋_GB2312"/>
          <w:sz w:val="28"/>
          <w:szCs w:val="28"/>
        </w:rPr>
        <w:t>万元，占政府采购支出总额的</w:t>
      </w:r>
      <w:r>
        <w:rPr>
          <w:rFonts w:hint="eastAsia" w:ascii="仿宋_GB2312" w:eastAsia="仿宋_GB2312"/>
          <w:sz w:val="28"/>
          <w:szCs w:val="28"/>
          <w:lang w:eastAsia="zh-CN"/>
        </w:rPr>
        <w:t>90</w:t>
      </w:r>
      <w:r>
        <w:rPr>
          <w:rFonts w:hint="eastAsia" w:ascii="仿宋_GB2312" w:eastAsia="仿宋_GB2312"/>
          <w:sz w:val="28"/>
          <w:szCs w:val="28"/>
        </w:rPr>
        <w:t>%，其中：授予小微企业合同金额</w:t>
      </w:r>
      <w:r>
        <w:rPr>
          <w:rFonts w:ascii="仿宋_GB2312" w:eastAsia="仿宋_GB2312"/>
          <w:sz w:val="28"/>
          <w:szCs w:val="28"/>
        </w:rPr>
        <w:t>3.96</w:t>
      </w:r>
      <w:r>
        <w:rPr>
          <w:rFonts w:hint="eastAsia" w:ascii="仿宋_GB2312" w:eastAsia="仿宋_GB2312"/>
          <w:sz w:val="28"/>
          <w:szCs w:val="28"/>
        </w:rPr>
        <w:t>万元，占政府采购支出总额的</w:t>
      </w:r>
      <w:r>
        <w:rPr>
          <w:rFonts w:hint="eastAsia" w:ascii="仿宋_GB2312" w:eastAsia="仿宋_GB2312"/>
          <w:sz w:val="28"/>
          <w:szCs w:val="28"/>
          <w:lang w:eastAsia="zh-CN"/>
        </w:rPr>
        <w:t>90</w:t>
      </w:r>
      <w:r>
        <w:rPr>
          <w:rFonts w:hint="eastAsia" w:ascii="仿宋_GB2312" w:eastAsia="仿宋_GB2312"/>
          <w:sz w:val="28"/>
          <w:szCs w:val="28"/>
        </w:rPr>
        <w:t>%。</w:t>
      </w:r>
    </w:p>
    <w:p w14:paraId="6424D26F">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9B37B98">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146ED40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60DCBFA">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14:paraId="1A8DBA4B">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A61B7BA">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0024632">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A777EC9">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EF1CCCA">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01B4106">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5DC9017">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C466C96">
      <w:pPr>
        <w:rPr>
          <w:rFonts w:ascii="仿宋_GB2312" w:eastAsia="仿宋_GB2312"/>
          <w:sz w:val="28"/>
          <w:szCs w:val="28"/>
        </w:rPr>
      </w:pPr>
    </w:p>
    <w:p w14:paraId="270A028B">
      <w:pPr>
        <w:ind w:firstLine="632" w:firstLineChars="200"/>
        <w:rPr>
          <w:rFonts w:ascii="仿宋_GB2312" w:eastAsia="仿宋_GB2312"/>
          <w:b/>
          <w:color w:val="000000"/>
          <w:spacing w:val="-2"/>
          <w:sz w:val="32"/>
          <w:szCs w:val="32"/>
        </w:rPr>
      </w:pPr>
    </w:p>
    <w:p w14:paraId="285A3D83">
      <w:pPr>
        <w:jc w:val="both"/>
        <w:rPr>
          <w:rFonts w:ascii="黑体" w:eastAsia="黑体"/>
          <w:sz w:val="32"/>
          <w:szCs w:val="32"/>
        </w:rPr>
      </w:pPr>
    </w:p>
    <w:p w14:paraId="33628C4B">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159CC6B9">
      <w:pPr>
        <w:ind w:firstLine="560" w:firstLineChars="200"/>
        <w:rPr>
          <w:rFonts w:ascii="黑体" w:eastAsia="黑体"/>
          <w:sz w:val="28"/>
          <w:szCs w:val="28"/>
          <w:highlight w:val="yellow"/>
        </w:rPr>
      </w:pPr>
    </w:p>
    <w:p w14:paraId="6DD7A20B">
      <w:pPr>
        <w:ind w:firstLine="1120" w:firstLineChars="4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655B8B6B">
      <w:pPr>
        <w:pStyle w:val="3"/>
        <w:ind w:firstLine="560"/>
      </w:pPr>
    </w:p>
    <w:p w14:paraId="4CF0B0F4"/>
    <w:p w14:paraId="041C6D81">
      <w:pPr>
        <w:pStyle w:val="3"/>
      </w:pPr>
    </w:p>
    <w:p w14:paraId="089F01D6"/>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C837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BD8EE8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537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A2A362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1640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E8522FE">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mZWU5NzYzM2I1NjUzZTQxNmRhOGNlY2I1NTFjMz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E642BB"/>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6DE02A7"/>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2927</Words>
  <Characters>3269</Characters>
  <Lines>44</Lines>
  <Paragraphs>12</Paragraphs>
  <TotalTime>5</TotalTime>
  <ScaleCrop>false</ScaleCrop>
  <LinksUpToDate>false</LinksUpToDate>
  <CharactersWithSpaces>3287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WPS_1719296187</cp:lastModifiedBy>
  <cp:lastPrinted>2020-08-07T11:39:00Z</cp:lastPrinted>
  <dcterms:modified xsi:type="dcterms:W3CDTF">2024-08-15T08:43:03Z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D83944725FAA48FCA331347B543A6D44_13</vt:lpwstr>
  </property>
</Properties>
</file>