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bookmarkStart w:id="0" w:name="_GoBack"/>
      <w:bookmarkEnd w:id="0"/>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职责（需公开</w:t>
      </w:r>
      <w:r>
        <w:rPr>
          <w:rFonts w:ascii="仿宋_GB2312" w:eastAsia="仿宋_GB2312"/>
          <w:sz w:val="28"/>
          <w:szCs w:val="28"/>
        </w:rPr>
        <w:t>内设机构数量</w:t>
      </w:r>
      <w:r>
        <w:rPr>
          <w:rFonts w:hint="eastAsia" w:ascii="仿宋_GB2312" w:eastAsia="仿宋_GB2312"/>
          <w:sz w:val="28"/>
          <w:szCs w:val="28"/>
        </w:rPr>
        <w:t>和</w:t>
      </w:r>
      <w:r>
        <w:rPr>
          <w:rFonts w:ascii="仿宋_GB2312" w:eastAsia="仿宋_GB2312"/>
          <w:sz w:val="28"/>
          <w:szCs w:val="28"/>
        </w:rPr>
        <w:t>下属单位</w:t>
      </w:r>
      <w:r>
        <w:rPr>
          <w:rFonts w:hint="eastAsia" w:ascii="仿宋_GB2312" w:eastAsia="仿宋_GB2312"/>
          <w:sz w:val="28"/>
          <w:szCs w:val="28"/>
        </w:rPr>
        <w:t>数量</w:t>
      </w:r>
      <w:r>
        <w:rPr>
          <w:rFonts w:ascii="仿宋_GB2312" w:eastAsia="仿宋_GB2312"/>
          <w:sz w:val="28"/>
          <w:szCs w:val="28"/>
        </w:rPr>
        <w:t>及名称）</w:t>
      </w:r>
    </w:p>
    <w:p>
      <w:pPr>
        <w:keepNext w:val="0"/>
        <w:keepLines w:val="0"/>
        <w:widowControl w:val="0"/>
        <w:suppressLineNumbers w:val="0"/>
        <w:spacing w:before="0" w:beforeAutospacing="0" w:after="0" w:afterAutospacing="0" w:line="480" w:lineRule="auto"/>
        <w:ind w:left="0" w:right="0" w:firstLine="560" w:firstLineChars="200"/>
        <w:jc w:val="both"/>
        <w:rPr>
          <w:rFonts w:hint="eastAsia"/>
        </w:rPr>
      </w:pPr>
      <w:r>
        <w:rPr>
          <w:rFonts w:hint="eastAsia" w:ascii="仿宋_GB2312" w:hAnsi="Times New Roman" w:eastAsia="仿宋_GB2312" w:cs="仿宋_GB2312"/>
          <w:kern w:val="2"/>
          <w:sz w:val="28"/>
          <w:szCs w:val="28"/>
          <w:lang w:val="en-US" w:eastAsia="zh-CN" w:bidi="ar"/>
        </w:rPr>
        <w:t>根据《中共北京市委机构编制委员会关于市交通委所属事业单位改革有关事项的批复》（京编委〔2021〕47号），北京市停车管理事务中心更名为北京市交通综合治理事务中心。北京市交通综合治理事务中心为北京市交通委员会直属正处级公益一类事业单位，主要职责为：承担本市交通综合治理、停车管理、互联网租赁自行车管理，以及交通运输领域社会动员、新闻宣传等方面事务性工作。中心内设机构7个，具体为：综合办公室、综合治理一部、综合治理二部、智慧停车部、新闻宣传部、新媒体部、文化宣传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keepNext w:val="0"/>
        <w:keepLines w:val="0"/>
        <w:widowControl w:val="0"/>
        <w:suppressLineNumbers w:val="0"/>
        <w:tabs>
          <w:tab w:val="center" w:pos="6979"/>
        </w:tabs>
        <w:spacing w:before="0" w:beforeAutospacing="0" w:after="0" w:afterAutospacing="0" w:line="580" w:lineRule="exact"/>
        <w:ind w:left="0" w:right="0" w:firstLine="560" w:firstLineChars="200"/>
        <w:jc w:val="both"/>
        <w:rPr>
          <w:rFonts w:ascii="仿宋_GB2312" w:eastAsia="仿宋_GB2312"/>
          <w:kern w:val="0"/>
          <w:sz w:val="28"/>
          <w:szCs w:val="28"/>
        </w:rPr>
      </w:pPr>
      <w:r>
        <w:rPr>
          <w:rFonts w:hint="eastAsia" w:ascii="仿宋_GB2312" w:hAnsi="Times New Roman" w:eastAsia="仿宋_GB2312" w:cs="仿宋_GB2312"/>
          <w:kern w:val="0"/>
          <w:sz w:val="28"/>
          <w:szCs w:val="28"/>
          <w:lang w:val="en-US" w:eastAsia="zh-CN" w:bidi="ar"/>
        </w:rPr>
        <w:t>行政编制0人，实有人数0人；事业编制37人，实有人数3</w:t>
      </w:r>
      <w:r>
        <w:rPr>
          <w:rFonts w:hint="eastAsia" w:ascii="仿宋_GB2312" w:eastAsia="仿宋_GB2312" w:cs="仿宋_GB2312"/>
          <w:kern w:val="0"/>
          <w:sz w:val="28"/>
          <w:szCs w:val="28"/>
          <w:lang w:val="en-US" w:eastAsia="zh-CN" w:bidi="ar"/>
        </w:rPr>
        <w:t>5</w:t>
      </w:r>
      <w:r>
        <w:rPr>
          <w:rFonts w:hint="eastAsia" w:ascii="仿宋_GB2312" w:hAnsi="Times New Roman" w:eastAsia="仿宋_GB2312" w:cs="仿宋_GB2312"/>
          <w:kern w:val="0"/>
          <w:sz w:val="28"/>
          <w:szCs w:val="28"/>
          <w:lang w:val="en-US" w:eastAsia="zh-CN" w:bidi="ar"/>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4215.93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341.49</w:t>
      </w:r>
      <w:r>
        <w:rPr>
          <w:rFonts w:hint="eastAsia" w:ascii="仿宋_GB2312" w:eastAsia="仿宋_GB2312"/>
          <w:sz w:val="28"/>
          <w:szCs w:val="28"/>
        </w:rPr>
        <w:t>万元，下降</w:t>
      </w:r>
      <w:r>
        <w:rPr>
          <w:rFonts w:hint="eastAsia" w:ascii="仿宋_GB2312" w:eastAsia="仿宋_GB2312"/>
          <w:sz w:val="28"/>
          <w:szCs w:val="28"/>
          <w:lang w:val="en-US" w:eastAsia="zh-CN"/>
        </w:rPr>
        <w:t>7.49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4204.29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261.82</w:t>
      </w:r>
      <w:r>
        <w:rPr>
          <w:rFonts w:hint="eastAsia" w:ascii="仿宋_GB2312" w:eastAsia="仿宋_GB2312"/>
          <w:sz w:val="28"/>
          <w:szCs w:val="28"/>
        </w:rPr>
        <w:t>万元，下降</w:t>
      </w:r>
      <w:r>
        <w:rPr>
          <w:rFonts w:hint="eastAsia" w:ascii="仿宋_GB2312" w:eastAsia="仿宋_GB2312"/>
          <w:sz w:val="28"/>
          <w:szCs w:val="28"/>
          <w:lang w:val="en-US" w:eastAsia="zh-CN"/>
        </w:rPr>
        <w:t>5.86</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4204.25</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%。其中：一般公共预算财政拨款收入</w:t>
      </w:r>
      <w:r>
        <w:rPr>
          <w:rFonts w:ascii="仿宋_GB2312" w:eastAsia="仿宋_GB2312"/>
          <w:sz w:val="28"/>
          <w:szCs w:val="28"/>
        </w:rPr>
        <w:t>4204.25</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0.04</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4039.37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460.76</w:t>
      </w:r>
      <w:r>
        <w:rPr>
          <w:rFonts w:hint="eastAsia" w:ascii="仿宋_GB2312" w:eastAsia="仿宋_GB2312"/>
          <w:sz w:val="28"/>
          <w:szCs w:val="28"/>
        </w:rPr>
        <w:t>万元，下降</w:t>
      </w:r>
      <w:r>
        <w:rPr>
          <w:rFonts w:hint="eastAsia" w:ascii="仿宋_GB2312" w:eastAsia="仿宋_GB2312"/>
          <w:sz w:val="28"/>
          <w:szCs w:val="28"/>
          <w:lang w:val="en-US" w:eastAsia="zh-CN"/>
        </w:rPr>
        <w:t>10.24</w:t>
      </w:r>
      <w:r>
        <w:rPr>
          <w:rFonts w:hint="eastAsia" w:ascii="仿宋_GB2312" w:eastAsia="仿宋_GB2312"/>
          <w:sz w:val="28"/>
          <w:szCs w:val="28"/>
        </w:rPr>
        <w:t>%，其中：基本支出</w:t>
      </w:r>
      <w:r>
        <w:rPr>
          <w:rFonts w:ascii="仿宋_GB2312" w:eastAsia="仿宋_GB2312"/>
          <w:sz w:val="28"/>
          <w:szCs w:val="28"/>
        </w:rPr>
        <w:t>1345.39</w:t>
      </w:r>
      <w:r>
        <w:rPr>
          <w:rFonts w:hint="eastAsia" w:ascii="仿宋_GB2312" w:eastAsia="仿宋_GB2312"/>
          <w:sz w:val="28"/>
          <w:szCs w:val="28"/>
        </w:rPr>
        <w:t>万元，占支出合计的</w:t>
      </w:r>
      <w:r>
        <w:rPr>
          <w:rFonts w:ascii="仿宋_GB2312" w:eastAsia="仿宋_GB2312"/>
          <w:sz w:val="28"/>
          <w:szCs w:val="28"/>
        </w:rPr>
        <w:t>33.3</w:t>
      </w:r>
      <w:r>
        <w:rPr>
          <w:rFonts w:hint="eastAsia" w:ascii="仿宋_GB2312" w:eastAsia="仿宋_GB2312"/>
          <w:sz w:val="28"/>
          <w:szCs w:val="28"/>
        </w:rPr>
        <w:t>%；项目支出</w:t>
      </w:r>
      <w:r>
        <w:rPr>
          <w:rFonts w:ascii="仿宋_GB2312" w:eastAsia="仿宋_GB2312"/>
          <w:sz w:val="28"/>
          <w:szCs w:val="28"/>
        </w:rPr>
        <w:t>2693.99</w:t>
      </w:r>
      <w:r>
        <w:rPr>
          <w:rFonts w:hint="eastAsia" w:ascii="仿宋_GB2312" w:eastAsia="仿宋_GB2312"/>
          <w:sz w:val="28"/>
          <w:szCs w:val="28"/>
        </w:rPr>
        <w:t>万元，占支出合计的</w:t>
      </w:r>
      <w:r>
        <w:rPr>
          <w:rFonts w:ascii="仿宋_GB2312" w:eastAsia="仿宋_GB2312"/>
          <w:sz w:val="28"/>
          <w:szCs w:val="28"/>
        </w:rPr>
        <w:t>66.69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4215.64</w:t>
      </w:r>
      <w:r>
        <w:rPr>
          <w:rFonts w:hint="eastAsia" w:ascii="仿宋_GB2312" w:eastAsia="仿宋_GB2312"/>
          <w:sz w:val="28"/>
          <w:szCs w:val="28"/>
        </w:rPr>
        <w:t>万元，比上年减少</w:t>
      </w:r>
      <w:r>
        <w:rPr>
          <w:rFonts w:hint="eastAsia" w:ascii="仿宋_GB2312" w:eastAsia="仿宋_GB2312"/>
          <w:sz w:val="28"/>
          <w:szCs w:val="28"/>
          <w:lang w:val="en-US" w:eastAsia="zh-CN"/>
        </w:rPr>
        <w:t>341.54</w:t>
      </w:r>
      <w:r>
        <w:rPr>
          <w:rFonts w:hint="eastAsia" w:ascii="仿宋_GB2312" w:eastAsia="仿宋_GB2312"/>
          <w:sz w:val="28"/>
          <w:szCs w:val="28"/>
        </w:rPr>
        <w:t>万元，下降</w:t>
      </w:r>
      <w:r>
        <w:rPr>
          <w:rFonts w:hint="eastAsia" w:ascii="仿宋_GB2312" w:eastAsia="仿宋_GB2312"/>
          <w:sz w:val="28"/>
          <w:szCs w:val="28"/>
          <w:lang w:val="en-US" w:eastAsia="zh-CN"/>
        </w:rPr>
        <w:t>7.49</w:t>
      </w:r>
      <w:r>
        <w:rPr>
          <w:rFonts w:hint="eastAsia" w:ascii="仿宋_GB2312" w:eastAsia="仿宋_GB2312"/>
          <w:sz w:val="28"/>
          <w:szCs w:val="28"/>
        </w:rPr>
        <w:t>%。主要原因：</w:t>
      </w:r>
      <w:r>
        <w:rPr>
          <w:rFonts w:hint="eastAsia" w:ascii="仿宋_GB2312" w:eastAsia="仿宋_GB2312"/>
          <w:sz w:val="28"/>
          <w:szCs w:val="28"/>
          <w:lang w:val="en-US" w:eastAsia="zh-CN"/>
        </w:rPr>
        <w:t>P+R停车场补贴款减少，一次性项目经费减少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4039.37</w:t>
      </w:r>
      <w:r>
        <w:rPr>
          <w:rFonts w:hint="eastAsia" w:ascii="仿宋_GB2312" w:eastAsia="仿宋_GB2312"/>
          <w:sz w:val="28"/>
          <w:szCs w:val="28"/>
        </w:rPr>
        <w:t>万元，主要用于以下方面：教育支出</w:t>
      </w:r>
      <w:r>
        <w:rPr>
          <w:rFonts w:hint="eastAsia" w:ascii="仿宋_GB2312" w:eastAsia="仿宋_GB2312"/>
          <w:sz w:val="28"/>
          <w:szCs w:val="28"/>
          <w:lang w:val="en-US" w:eastAsia="zh-CN"/>
        </w:rPr>
        <w:t>0.36</w:t>
      </w:r>
      <w:r>
        <w:rPr>
          <w:rFonts w:hint="eastAsia" w:ascii="仿宋_GB2312" w:eastAsia="仿宋_GB2312"/>
          <w:sz w:val="28"/>
          <w:szCs w:val="28"/>
        </w:rPr>
        <w:t>万元，占本年财政拨款0.01%；社会保障和就业支出136.86 万元，占本年财政拨款3.39%；卫生健康支出100.19 万元，占本年财政拨款支出2.48%</w:t>
      </w:r>
      <w:r>
        <w:rPr>
          <w:rFonts w:hint="eastAsia" w:ascii="仿宋_GB2312" w:eastAsia="仿宋_GB2312"/>
          <w:sz w:val="28"/>
          <w:szCs w:val="28"/>
          <w:lang w:eastAsia="zh-CN"/>
        </w:rPr>
        <w:t>；</w:t>
      </w:r>
      <w:r>
        <w:rPr>
          <w:rFonts w:hint="eastAsia" w:ascii="仿宋_GB2312" w:eastAsia="仿宋_GB2312"/>
          <w:sz w:val="28"/>
          <w:szCs w:val="28"/>
        </w:rPr>
        <w:t>交通运输支出3801.96 万元，占本年财政拨款支出94.12%。</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年度决算0.36万元，比202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0.64万元，</w:t>
      </w:r>
      <w:r>
        <w:rPr>
          <w:rFonts w:hint="eastAsia" w:ascii="仿宋_GB2312" w:eastAsia="仿宋_GB2312"/>
          <w:sz w:val="28"/>
          <w:szCs w:val="28"/>
          <w:lang w:val="en-US" w:eastAsia="zh-CN"/>
        </w:rPr>
        <w:t>下降</w:t>
      </w:r>
      <w:r>
        <w:rPr>
          <w:rFonts w:hint="eastAsia" w:ascii="仿宋_GB2312" w:eastAsia="仿宋_GB2312"/>
          <w:sz w:val="28"/>
          <w:szCs w:val="28"/>
        </w:rPr>
        <w:t>64.00%。其中：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“培训支出”（款，下同）202</w:t>
      </w:r>
      <w:r>
        <w:rPr>
          <w:rFonts w:hint="eastAsia" w:ascii="仿宋_GB2312" w:eastAsia="仿宋_GB2312"/>
          <w:sz w:val="28"/>
          <w:szCs w:val="28"/>
          <w:lang w:val="en-US" w:eastAsia="zh-CN"/>
        </w:rPr>
        <w:t>3</w:t>
      </w:r>
      <w:r>
        <w:rPr>
          <w:rFonts w:hint="eastAsia" w:ascii="仿宋_GB2312" w:eastAsia="仿宋_GB2312"/>
          <w:sz w:val="28"/>
          <w:szCs w:val="28"/>
        </w:rPr>
        <w:t>年度决算0.36万元，比202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0.64万元，</w:t>
      </w:r>
      <w:r>
        <w:rPr>
          <w:rFonts w:hint="eastAsia" w:ascii="仿宋_GB2312" w:eastAsia="仿宋_GB2312"/>
          <w:sz w:val="28"/>
          <w:szCs w:val="28"/>
          <w:lang w:val="en-US" w:eastAsia="zh-CN"/>
        </w:rPr>
        <w:t>下降</w:t>
      </w:r>
      <w:r>
        <w:rPr>
          <w:rFonts w:hint="eastAsia" w:ascii="仿宋_GB2312" w:eastAsia="仿宋_GB2312"/>
          <w:sz w:val="28"/>
          <w:szCs w:val="28"/>
        </w:rPr>
        <w:t>64.00%。主要原因：</w:t>
      </w:r>
      <w:r>
        <w:rPr>
          <w:rFonts w:hint="eastAsia" w:ascii="仿宋_GB2312" w:eastAsia="仿宋_GB2312"/>
          <w:sz w:val="28"/>
          <w:szCs w:val="28"/>
          <w:lang w:val="en-US" w:eastAsia="zh-CN"/>
        </w:rPr>
        <w:t>减少培训费支出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年度决算136.86万元，比202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2.15万元，</w:t>
      </w:r>
      <w:r>
        <w:rPr>
          <w:rFonts w:hint="eastAsia" w:ascii="仿宋_GB2312" w:eastAsia="仿宋_GB2312"/>
          <w:sz w:val="28"/>
          <w:szCs w:val="28"/>
          <w:lang w:val="en-US" w:eastAsia="zh-CN"/>
        </w:rPr>
        <w:t>下降</w:t>
      </w:r>
      <w:r>
        <w:rPr>
          <w:rFonts w:hint="eastAsia" w:ascii="仿宋_GB2312" w:eastAsia="仿宋_GB2312"/>
          <w:sz w:val="28"/>
          <w:szCs w:val="28"/>
        </w:rPr>
        <w:t>1.55%。其中：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年度决算136.86万元，比202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2.15万元，</w:t>
      </w:r>
      <w:r>
        <w:rPr>
          <w:rFonts w:hint="eastAsia" w:ascii="仿宋_GB2312" w:eastAsia="仿宋_GB2312"/>
          <w:sz w:val="28"/>
          <w:szCs w:val="28"/>
          <w:lang w:val="en-US" w:eastAsia="zh-CN"/>
        </w:rPr>
        <w:t>下降</w:t>
      </w:r>
      <w:r>
        <w:rPr>
          <w:rFonts w:hint="eastAsia" w:ascii="仿宋_GB2312" w:eastAsia="仿宋_GB2312"/>
          <w:sz w:val="28"/>
          <w:szCs w:val="28"/>
        </w:rPr>
        <w:t>1.55%。主要原因：</w:t>
      </w:r>
      <w:r>
        <w:rPr>
          <w:rFonts w:hint="eastAsia" w:ascii="仿宋_GB2312" w:eastAsia="仿宋_GB2312"/>
          <w:sz w:val="28"/>
          <w:szCs w:val="28"/>
          <w:lang w:val="en-US" w:eastAsia="zh-CN"/>
        </w:rPr>
        <w:t>执行全市统一养老保险和职业年金缴费政策，在预算执行过程中根据实际人员变动情况安排支出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年度决算100.19万元，比202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0.36万元，</w:t>
      </w:r>
      <w:r>
        <w:rPr>
          <w:rFonts w:hint="eastAsia" w:ascii="仿宋_GB2312" w:eastAsia="仿宋_GB2312"/>
          <w:sz w:val="28"/>
          <w:szCs w:val="28"/>
          <w:lang w:val="en-US" w:eastAsia="zh-CN"/>
        </w:rPr>
        <w:t>下降</w:t>
      </w:r>
      <w:r>
        <w:rPr>
          <w:rFonts w:hint="eastAsia" w:ascii="仿宋_GB2312" w:eastAsia="仿宋_GB2312"/>
          <w:sz w:val="28"/>
          <w:szCs w:val="28"/>
        </w:rPr>
        <w:t>0.36%。其中：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年度决算100.19万元，比202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0.36万元，</w:t>
      </w:r>
      <w:r>
        <w:rPr>
          <w:rFonts w:hint="eastAsia" w:ascii="仿宋_GB2312" w:eastAsia="仿宋_GB2312"/>
          <w:sz w:val="28"/>
          <w:szCs w:val="28"/>
          <w:lang w:val="en-US" w:eastAsia="zh-CN"/>
        </w:rPr>
        <w:t>下降</w:t>
      </w:r>
      <w:r>
        <w:rPr>
          <w:rFonts w:hint="eastAsia" w:ascii="仿宋_GB2312" w:eastAsia="仿宋_GB2312"/>
          <w:sz w:val="28"/>
          <w:szCs w:val="28"/>
        </w:rPr>
        <w:t>0.36%。主要原因：</w:t>
      </w:r>
      <w:r>
        <w:rPr>
          <w:rFonts w:hint="eastAsia" w:ascii="仿宋_GB2312" w:eastAsia="仿宋_GB2312"/>
          <w:sz w:val="28"/>
          <w:szCs w:val="28"/>
          <w:lang w:val="en-US" w:eastAsia="zh-CN"/>
        </w:rPr>
        <w:t>执行全市统一医疗保险缴费标准，在预算执行过程中根据实际人员变动情况安排支出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“交通运输支出”(类)202</w:t>
      </w:r>
      <w:r>
        <w:rPr>
          <w:rFonts w:hint="eastAsia" w:ascii="仿宋_GB2312" w:eastAsia="仿宋_GB2312"/>
          <w:sz w:val="28"/>
          <w:szCs w:val="28"/>
          <w:lang w:val="en-US" w:eastAsia="zh-CN"/>
        </w:rPr>
        <w:t>3</w:t>
      </w:r>
      <w:r>
        <w:rPr>
          <w:rFonts w:hint="eastAsia" w:ascii="仿宋_GB2312" w:eastAsia="仿宋_GB2312"/>
          <w:sz w:val="28"/>
          <w:szCs w:val="28"/>
        </w:rPr>
        <w:t>年度决算3801.96万元，比202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161.76万元，</w:t>
      </w:r>
      <w:r>
        <w:rPr>
          <w:rFonts w:hint="eastAsia" w:ascii="仿宋_GB2312" w:eastAsia="仿宋_GB2312"/>
          <w:sz w:val="28"/>
          <w:szCs w:val="28"/>
          <w:lang w:val="en-US" w:eastAsia="zh-CN"/>
        </w:rPr>
        <w:t>下降</w:t>
      </w:r>
      <w:r>
        <w:rPr>
          <w:rFonts w:hint="eastAsia" w:ascii="仿宋_GB2312" w:eastAsia="仿宋_GB2312"/>
          <w:sz w:val="28"/>
          <w:szCs w:val="28"/>
        </w:rPr>
        <w:t>4.08%。其中：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“公路水路运输”（款）202</w:t>
      </w:r>
      <w:r>
        <w:rPr>
          <w:rFonts w:hint="eastAsia" w:ascii="仿宋_GB2312" w:eastAsia="仿宋_GB2312"/>
          <w:sz w:val="28"/>
          <w:szCs w:val="28"/>
          <w:lang w:val="en-US" w:eastAsia="zh-CN"/>
        </w:rPr>
        <w:t>3</w:t>
      </w:r>
      <w:r>
        <w:rPr>
          <w:rFonts w:hint="eastAsia" w:ascii="仿宋_GB2312" w:eastAsia="仿宋_GB2312"/>
          <w:sz w:val="28"/>
          <w:szCs w:val="28"/>
        </w:rPr>
        <w:t>年度决算2722.95万元，比202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52.00万元，</w:t>
      </w:r>
      <w:r>
        <w:rPr>
          <w:rFonts w:hint="eastAsia" w:ascii="仿宋_GB2312" w:eastAsia="仿宋_GB2312"/>
          <w:sz w:val="28"/>
          <w:szCs w:val="28"/>
          <w:lang w:val="en-US" w:eastAsia="zh-CN"/>
        </w:rPr>
        <w:t>下降</w:t>
      </w:r>
      <w:r>
        <w:rPr>
          <w:rFonts w:hint="eastAsia" w:ascii="仿宋_GB2312" w:eastAsia="仿宋_GB2312"/>
          <w:sz w:val="28"/>
          <w:szCs w:val="28"/>
        </w:rPr>
        <w:t>1.87%。主要原因：</w:t>
      </w:r>
      <w:r>
        <w:rPr>
          <w:rFonts w:hint="eastAsia" w:ascii="仿宋_GB2312" w:eastAsia="仿宋_GB2312"/>
          <w:sz w:val="28"/>
          <w:szCs w:val="28"/>
          <w:lang w:val="en-US" w:eastAsia="zh-CN"/>
        </w:rPr>
        <w:t>年中调减项目政府采购结余经费</w:t>
      </w:r>
      <w:r>
        <w:rPr>
          <w:rFonts w:hint="eastAsia" w:ascii="仿宋_GB2312" w:eastAsia="仿宋_GB2312"/>
          <w:sz w:val="28"/>
          <w:szCs w:val="28"/>
          <w:lang w:eastAsia="zh-CN"/>
        </w:rPr>
        <w:t>；</w:t>
      </w:r>
    </w:p>
    <w:p>
      <w:pPr>
        <w:spacing w:line="580" w:lineRule="exact"/>
        <w:ind w:firstLine="560" w:firstLineChars="200"/>
      </w:pPr>
      <w:r>
        <w:rPr>
          <w:rFonts w:hint="eastAsia" w:ascii="仿宋_GB2312" w:eastAsia="仿宋_GB2312"/>
          <w:sz w:val="28"/>
          <w:szCs w:val="28"/>
        </w:rPr>
        <w:t>“其他交通运输支出”（款）202</w:t>
      </w:r>
      <w:r>
        <w:rPr>
          <w:rFonts w:hint="eastAsia" w:ascii="仿宋_GB2312" w:eastAsia="仿宋_GB2312"/>
          <w:sz w:val="28"/>
          <w:szCs w:val="28"/>
          <w:lang w:val="en-US" w:eastAsia="zh-CN"/>
        </w:rPr>
        <w:t>3</w:t>
      </w:r>
      <w:r>
        <w:rPr>
          <w:rFonts w:hint="eastAsia" w:ascii="仿宋_GB2312" w:eastAsia="仿宋_GB2312"/>
          <w:sz w:val="28"/>
          <w:szCs w:val="28"/>
        </w:rPr>
        <w:t>年度决算1079.01万元，比202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w:t>
      </w:r>
      <w:r>
        <w:rPr>
          <w:rFonts w:hint="eastAsia" w:ascii="仿宋_GB2312" w:eastAsia="仿宋_GB2312"/>
          <w:sz w:val="28"/>
          <w:szCs w:val="28"/>
        </w:rPr>
        <w:t>109.76万元，下降9.23%。主要原因：</w:t>
      </w:r>
      <w:r>
        <w:rPr>
          <w:rFonts w:hint="eastAsia" w:ascii="仿宋_GB2312" w:eastAsia="仿宋_GB2312"/>
          <w:sz w:val="28"/>
          <w:szCs w:val="28"/>
          <w:lang w:val="en-US" w:eastAsia="zh-CN"/>
        </w:rPr>
        <w:t>部分P+R停车场关停减少补贴款</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widowControl w:val="0"/>
        <w:suppressLineNumbers w:val="0"/>
        <w:spacing w:before="0" w:beforeAutospacing="0" w:after="0" w:afterAutospacing="0" w:line="580" w:lineRule="exact"/>
        <w:ind w:left="0" w:right="0" w:firstLine="560" w:firstLineChars="200"/>
        <w:jc w:val="both"/>
        <w:rPr>
          <w:rFonts w:hint="eastAsia" w:ascii="仿宋_GB2312" w:eastAsia="仿宋_GB2312" w:cs="仿宋_GB2312"/>
          <w:bCs/>
          <w:sz w:val="28"/>
          <w:szCs w:val="28"/>
          <w:lang w:val="en-US"/>
        </w:rPr>
      </w:pPr>
      <w:r>
        <w:rPr>
          <w:rFonts w:hint="eastAsia" w:ascii="仿宋_GB2312" w:hAnsi="Times New Roman" w:eastAsia="仿宋_GB2312" w:cs="仿宋_GB2312"/>
          <w:bCs/>
          <w:kern w:val="2"/>
          <w:sz w:val="28"/>
          <w:szCs w:val="28"/>
          <w:lang w:val="en-US" w:eastAsia="zh-CN" w:bidi="ar"/>
        </w:rPr>
        <w:t>本年度无此项经费。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1345.39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keepNext w:val="0"/>
        <w:keepLines w:val="0"/>
        <w:widowControl w:val="0"/>
        <w:suppressLineNumbers w:val="0"/>
        <w:tabs>
          <w:tab w:val="center" w:pos="6979"/>
        </w:tabs>
        <w:spacing w:before="0" w:beforeAutospacing="0" w:after="0" w:afterAutospacing="0"/>
        <w:ind w:left="0" w:right="0" w:firstLine="554" w:firstLineChars="198"/>
        <w:jc w:val="both"/>
        <w:rPr>
          <w:rFonts w:hint="eastAsia" w:ascii="仿宋_GB2312" w:eastAsia="仿宋_GB2312"/>
          <w:sz w:val="28"/>
          <w:szCs w:val="28"/>
        </w:rPr>
      </w:pPr>
      <w:r>
        <w:rPr>
          <w:rFonts w:hint="eastAsia" w:ascii="仿宋_GB2312" w:hAnsi="Times New Roman" w:eastAsia="仿宋_GB2312" w:cs="仿宋_GB2312"/>
          <w:bCs/>
          <w:kern w:val="2"/>
          <w:sz w:val="28"/>
          <w:szCs w:val="28"/>
          <w:lang w:val="en-US" w:eastAsia="zh-CN" w:bidi="ar"/>
        </w:rPr>
        <w:t>本年度无此项经费。</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keepNext w:val="0"/>
        <w:keepLines w:val="0"/>
        <w:widowControl w:val="0"/>
        <w:suppressLineNumbers w:val="0"/>
        <w:tabs>
          <w:tab w:val="center" w:pos="6979"/>
        </w:tabs>
        <w:spacing w:before="0" w:beforeAutospacing="0" w:after="0" w:afterAutospacing="0"/>
        <w:ind w:left="0" w:right="0" w:firstLine="554" w:firstLineChars="198"/>
        <w:jc w:val="both"/>
        <w:rPr>
          <w:rFonts w:hint="eastAsia" w:ascii="仿宋_GB2312" w:eastAsia="仿宋_GB2312" w:cs="仿宋_GB2312"/>
          <w:bCs/>
          <w:sz w:val="28"/>
          <w:szCs w:val="28"/>
          <w:lang w:val="en-US"/>
        </w:rPr>
      </w:pPr>
      <w:r>
        <w:rPr>
          <w:rFonts w:hint="eastAsia" w:ascii="仿宋_GB2312" w:hAnsi="Times New Roman" w:eastAsia="仿宋_GB2312" w:cs="仿宋_GB2312"/>
          <w:bCs/>
          <w:kern w:val="2"/>
          <w:sz w:val="28"/>
          <w:szCs w:val="28"/>
          <w:lang w:val="en-US" w:eastAsia="zh-CN" w:bidi="ar"/>
        </w:rPr>
        <w:t>本年度无此项经费。</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1209.47</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1209.47</w:t>
      </w:r>
      <w:r>
        <w:rPr>
          <w:rFonts w:hint="eastAsia" w:ascii="仿宋_GB2312" w:eastAsia="仿宋_GB2312"/>
          <w:sz w:val="28"/>
          <w:szCs w:val="28"/>
        </w:rPr>
        <w:t>万元。授予中小企业合同金额</w:t>
      </w:r>
      <w:r>
        <w:rPr>
          <w:rFonts w:ascii="仿宋_GB2312" w:eastAsia="仿宋_GB2312"/>
          <w:sz w:val="28"/>
          <w:szCs w:val="28"/>
          <w:highlight w:val="none"/>
        </w:rPr>
        <w:t>939.47</w:t>
      </w:r>
      <w:r>
        <w:rPr>
          <w:rFonts w:hint="eastAsia" w:ascii="仿宋_GB2312" w:eastAsia="仿宋_GB2312"/>
          <w:sz w:val="28"/>
          <w:szCs w:val="28"/>
        </w:rPr>
        <w:t>万元，占政府采购支出总额的</w:t>
      </w:r>
      <w:r>
        <w:rPr>
          <w:rFonts w:ascii="仿宋_GB2312" w:eastAsia="仿宋_GB2312"/>
          <w:sz w:val="28"/>
          <w:szCs w:val="28"/>
          <w:highlight w:val="none"/>
        </w:rPr>
        <w:t>77.67</w:t>
      </w:r>
      <w:r>
        <w:rPr>
          <w:rFonts w:hint="eastAsia" w:ascii="仿宋_GB2312" w:eastAsia="仿宋_GB2312"/>
          <w:sz w:val="28"/>
          <w:szCs w:val="28"/>
        </w:rPr>
        <w:t>%，其中：授予小微企业合同金额</w:t>
      </w:r>
      <w:r>
        <w:rPr>
          <w:rFonts w:ascii="仿宋_GB2312" w:eastAsia="仿宋_GB2312"/>
          <w:sz w:val="28"/>
          <w:szCs w:val="28"/>
          <w:highlight w:val="none"/>
        </w:rPr>
        <w:t>939.47</w:t>
      </w:r>
      <w:r>
        <w:rPr>
          <w:rFonts w:hint="eastAsia" w:ascii="仿宋_GB2312" w:eastAsia="仿宋_GB2312"/>
          <w:sz w:val="28"/>
          <w:szCs w:val="28"/>
        </w:rPr>
        <w:t>万元，占政府采购支出总额的</w:t>
      </w:r>
      <w:r>
        <w:rPr>
          <w:rFonts w:ascii="仿宋_GB2312" w:eastAsia="仿宋_GB2312"/>
          <w:sz w:val="28"/>
          <w:szCs w:val="28"/>
          <w:highlight w:val="none"/>
        </w:rPr>
        <w:t>77.67</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12月31日，我单位无</w:t>
      </w:r>
      <w:r>
        <w:rPr>
          <w:rFonts w:hint="eastAsia" w:ascii="仿宋_GB2312" w:eastAsia="仿宋_GB2312"/>
          <w:sz w:val="28"/>
          <w:szCs w:val="28"/>
        </w:rPr>
        <w:t>车辆单位</w:t>
      </w:r>
      <w:r>
        <w:rPr>
          <w:rFonts w:hint="eastAsia" w:ascii="仿宋_GB2312" w:eastAsia="仿宋_GB2312"/>
          <w:sz w:val="28"/>
          <w:szCs w:val="28"/>
          <w:lang w:val="en-US" w:eastAsia="zh-CN"/>
        </w:rPr>
        <w:t>及</w:t>
      </w:r>
      <w:r>
        <w:rPr>
          <w:rFonts w:hint="eastAsia" w:ascii="仿宋_GB2312" w:eastAsia="仿宋_GB2312"/>
          <w:sz w:val="28"/>
          <w:szCs w:val="28"/>
        </w:rPr>
        <w:t>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7.教育支出（类）进修及培训（款）培训支出（项）：反映各部门安排用于培训的支出。教育部门的师资培训，党校、行政学院等专业干部教育机构的支出，以及退役士兵、转业士官的培训支出，不在本科目反映。</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社会保障和就业支出（类）行政事业单位养老支出（款）机关事业单位基本养老保险缴费支出（项）：反映机关事业单位实施养老保险制度由单位实际缴纳的基本养老保险支出。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社会保障和就业支出（类）行政事业单位养老支出（款）机关事业单位职业年金缴费支出（项）：反映机关事业单位实施养老保险制度由单位实际缴纳的职业年金支出。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卫生健康支出（类）行政事业单位医疗（款）事业单位医疗（项）：反映财政部门安排的事业单位基本医疗保险缴费经费，未参加医疗保险的事业单位的公费医疗经费，按照国际规定享受离休人员待遇的医疗经费。</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交通运输支出（类）公路水路运输（款）公路运输管理（项）：反映公路运输管理支出和公路路政管理支出。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交通运输支出（类）公路水路运输（款）其他公路水路运输支出（项）：反映出上述项目以外其他用于公路水路运输方面的支出。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交通运输支出（类）其他交通运输支出（款）公共交通运营补助（项）：反映对公共交通运输企业的补助支出。</w:t>
      </w:r>
    </w:p>
    <w:p>
      <w:pPr>
        <w:pStyle w:val="2"/>
        <w:rPr>
          <w:rFonts w:hint="eastAsia" w:ascii="仿宋_GB2312" w:hAnsi="Times New Roman" w:eastAsia="仿宋_GB2312" w:cs="仿宋_GB2312"/>
          <w:kern w:val="2"/>
          <w:sz w:val="28"/>
          <w:szCs w:val="28"/>
          <w:lang w:val="en-US" w:eastAsia="zh-CN" w:bidi="ar"/>
        </w:rPr>
      </w:pPr>
    </w:p>
    <w:p>
      <w:pPr>
        <w:numPr>
          <w:ilvl w:val="0"/>
          <w:numId w:val="0"/>
        </w:numPr>
        <w:ind w:firstLine="560" w:firstLineChars="200"/>
        <w:rPr>
          <w:rFonts w:hint="eastAsia" w:ascii="仿宋_GB2312" w:eastAsia="仿宋_GB2312"/>
          <w:sz w:val="28"/>
          <w:szCs w:val="28"/>
          <w:lang w:val="en-US" w:eastAsia="zh-CN"/>
        </w:rPr>
      </w:pP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lang w:eastAsia="zh-CN"/>
        </w:rPr>
        <w:t>详见附件</w:t>
      </w:r>
    </w:p>
    <w:p>
      <w:pPr>
        <w:pStyle w:val="3"/>
        <w:ind w:firstLine="560"/>
        <w:rPr>
          <w:rFonts w:hint="eastAsia"/>
        </w:rPr>
      </w:pP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jZmOTU2YjAxZDQzYjkyZTNmOGU2MmExNzcxOT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FA47FF"/>
    <w:rsid w:val="079004AC"/>
    <w:rsid w:val="0A886E75"/>
    <w:rsid w:val="0F8E2C57"/>
    <w:rsid w:val="1059665E"/>
    <w:rsid w:val="10AC13BA"/>
    <w:rsid w:val="1AEC0734"/>
    <w:rsid w:val="1DEF20B0"/>
    <w:rsid w:val="214243FA"/>
    <w:rsid w:val="21853C5D"/>
    <w:rsid w:val="257A14F5"/>
    <w:rsid w:val="27196C26"/>
    <w:rsid w:val="29EF086F"/>
    <w:rsid w:val="2EFFE297"/>
    <w:rsid w:val="301437CA"/>
    <w:rsid w:val="3AF91D69"/>
    <w:rsid w:val="433E495C"/>
    <w:rsid w:val="4AC27CB3"/>
    <w:rsid w:val="4BF72BEF"/>
    <w:rsid w:val="4EEA026C"/>
    <w:rsid w:val="51DB3C59"/>
    <w:rsid w:val="5543118E"/>
    <w:rsid w:val="55762E42"/>
    <w:rsid w:val="57A7B272"/>
    <w:rsid w:val="58470068"/>
    <w:rsid w:val="5A1720F9"/>
    <w:rsid w:val="5B9C37C2"/>
    <w:rsid w:val="5BA7C654"/>
    <w:rsid w:val="5DF87E39"/>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4204.25</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1345.39</c:v>
                </c:pt>
                <c:pt idx="1">
                  <c:v>2693.99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3815</Words>
  <Characters>6095</Characters>
  <Lines>77</Lines>
  <Paragraphs>21</Paragraphs>
  <TotalTime>46</TotalTime>
  <ScaleCrop>false</ScaleCrop>
  <LinksUpToDate>false</LinksUpToDate>
  <CharactersWithSpaces>6114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美慧QwQ</cp:lastModifiedBy>
  <cp:lastPrinted>2020-08-07T11:39:00Z</cp:lastPrinted>
  <dcterms:modified xsi:type="dcterms:W3CDTF">2024-08-15T11:47:19Z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C53E0049DD7D4F56A956C4A3BA3D12CC_13</vt:lpwstr>
  </property>
</Properties>
</file>