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北京市交通委员会安全应急事务中心</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（一）机构设置、职责</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北京市交通委员会安全应急事务中心（以下简称应急中心）是正处级全额拨款事业单位。</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1.机构情况。内设8个部室，分别为综合办公室、政工人事部、规划研究部、风险防控部、数据信息部、平安建设部、应急值守部、综合业务部。</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主要职责。根据《中共北京市委机构编制委员会关于市交通委所属事业单位改革有关事项的批复》（京编委〔2021〕47号），主要职责为：承担本市交通运输行业安全生产、应急值守等方面事务性工作。具体工作职责为：</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1）承担交通运输行业安全应急政策、战略、规划、标准规范等调查研究工作。承担应急预案评估、编制、修订的研究工作。承担安全应急管理调研、基础资料收集整理、数据统计分析等工作并提出建议。</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负责开展交通运输行业事故典型案例分析和研究工作。承担交通运输行业安全生产风险清单和隐患台账汇总、整理等具体工作。承担安全风险分级管控与隐患排查治理预防控制体系建设的研究和技术支持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3）承担交通运输行业安全应急管理信息化建设、安全生产标准化建设具体工作。承担安全检查、考核和评价具体工作。承担安全生产、应急管理和生产安全事故数据统计及情况分析等具体工作。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4）承担交通行业国家安全、平安建设的调查研究、规范编制、宣传培训、督导检查、组织演练等具体工作。承担铁路沿线安全环境治理计划方案、督导检查、考核评价等具体工作。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5）负责北京交通安全应急指挥中心应急值守工作，承担突发事件信息管理和统计分析工作。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6）承担交通运输行业安全应急宣传和新技术、新应用、新经验推广。承担交通行业安全应急综合性事务和队伍建设相关工作。承担应急救援队伍、物资装备体系建设、应急演练的研究和技术服务支持等相关工作。</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7）完成市交通委交办的其他任务。</w:t>
      </w:r>
    </w:p>
    <w:p>
      <w:pPr>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截至202</w:t>
      </w:r>
      <w:r>
        <w:rPr>
          <w:rFonts w:ascii="仿宋_GB2312" w:eastAsia="仿宋_GB2312"/>
          <w:sz w:val="28"/>
          <w:szCs w:val="28"/>
        </w:rPr>
        <w:t>3</w:t>
      </w:r>
      <w:r>
        <w:rPr>
          <w:rFonts w:hint="eastAsia" w:ascii="仿宋_GB2312" w:eastAsia="仿宋_GB2312"/>
          <w:sz w:val="28"/>
          <w:szCs w:val="28"/>
        </w:rPr>
        <w:t>年12月31日，北京市交通委员会安全应急事务中心事业编制43人。实有在职人员4</w:t>
      </w:r>
      <w:r>
        <w:rPr>
          <w:rFonts w:ascii="仿宋_GB2312" w:eastAsia="仿宋_GB2312"/>
          <w:sz w:val="28"/>
          <w:szCs w:val="28"/>
        </w:rPr>
        <w:t>2</w:t>
      </w:r>
      <w:r>
        <w:rPr>
          <w:rFonts w:hint="eastAsia" w:ascii="仿宋_GB2312" w:eastAsia="仿宋_GB2312"/>
          <w:sz w:val="28"/>
          <w:szCs w:val="28"/>
        </w:rPr>
        <w:t>人，离退休人员16人，其中离休0人，退休16人。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spacing w:line="580" w:lineRule="exact"/>
        <w:ind w:firstLine="570"/>
        <w:rPr>
          <w:rFonts w:ascii="仿宋_GB2312" w:eastAsia="仿宋_GB2312"/>
          <w:sz w:val="28"/>
          <w:szCs w:val="28"/>
        </w:rPr>
      </w:pPr>
      <w:r>
        <w:rPr>
          <w:rFonts w:hint="eastAsia" w:ascii="仿宋_GB2312" w:eastAsia="仿宋_GB2312"/>
          <w:sz w:val="28"/>
          <w:szCs w:val="28"/>
        </w:rPr>
        <w:t>2023年度收、支总计2091.16万元，比上年增加193.68万元，增长</w:t>
      </w:r>
      <w:r>
        <w:rPr>
          <w:rFonts w:ascii="仿宋_GB2312" w:eastAsia="仿宋_GB2312"/>
          <w:sz w:val="28"/>
          <w:szCs w:val="28"/>
        </w:rPr>
        <w:t>10.21%</w:t>
      </w:r>
      <w:r>
        <w:rPr>
          <w:rFonts w:hint="eastAsia" w:ascii="仿宋_GB2312" w:eastAsia="仿宋_GB2312"/>
          <w:sz w:val="28"/>
          <w:szCs w:val="28"/>
        </w:rPr>
        <w:t>。</w:t>
      </w:r>
    </w:p>
    <w:p>
      <w:pPr>
        <w:spacing w:line="580" w:lineRule="exact"/>
        <w:ind w:firstLine="570"/>
        <w:rPr>
          <w:rFonts w:ascii="仿宋_GB2312" w:eastAsia="仿宋_GB2312"/>
          <w:sz w:val="28"/>
          <w:szCs w:val="28"/>
        </w:rPr>
      </w:pPr>
      <w:r>
        <w:rPr>
          <w:rFonts w:hint="eastAsia" w:ascii="仿宋_GB2312" w:eastAsia="仿宋_GB2312"/>
          <w:sz w:val="28"/>
          <w:szCs w:val="28"/>
        </w:rPr>
        <w:t>（一）收入决算说明</w:t>
      </w:r>
    </w:p>
    <w:p>
      <w:pPr>
        <w:spacing w:line="580" w:lineRule="exact"/>
        <w:ind w:firstLine="570"/>
        <w:rPr>
          <w:rFonts w:ascii="仿宋_GB2312" w:eastAsia="仿宋_GB2312"/>
          <w:sz w:val="28"/>
          <w:szCs w:val="28"/>
        </w:rPr>
      </w:pPr>
      <w:r>
        <w:rPr>
          <w:rFonts w:hint="eastAsia" w:ascii="仿宋_GB2312" w:eastAsia="仿宋_GB2312"/>
          <w:sz w:val="28"/>
          <w:szCs w:val="28"/>
        </w:rPr>
        <w:t>2023年度本年收入合计2091.16万元，比上年增加193.68万元，增长</w:t>
      </w:r>
      <w:r>
        <w:rPr>
          <w:rFonts w:ascii="仿宋_GB2312" w:eastAsia="仿宋_GB2312"/>
          <w:sz w:val="28"/>
          <w:szCs w:val="28"/>
        </w:rPr>
        <w:t>10.21</w:t>
      </w:r>
      <w:r>
        <w:rPr>
          <w:rFonts w:hint="eastAsia" w:ascii="仿宋_GB2312" w:eastAsia="仿宋_GB2312"/>
          <w:sz w:val="28"/>
          <w:szCs w:val="28"/>
        </w:rPr>
        <w:t>%。</w:t>
      </w:r>
    </w:p>
    <w:p>
      <w:pPr>
        <w:spacing w:line="580" w:lineRule="exact"/>
        <w:ind w:firstLine="560" w:firstLineChars="200"/>
      </w:pPr>
      <w:r>
        <w:rPr>
          <w:rFonts w:hint="eastAsia" w:ascii="仿宋_GB2312" w:eastAsia="仿宋_GB2312"/>
          <w:sz w:val="28"/>
          <w:szCs w:val="28"/>
        </w:rPr>
        <w:t>1.财政拨款收入2091.16万元，占收入合计的100%。其中：一般公共预算财政拨款收入2091.16万元，占收入合计的100%；政府性基金预算财政拨款收入0万元，占收入合计的0%；国有资本经营预算财政拨款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3.事业收入0万元，占收入合计的0%；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4.经营收入0万元，占收入合计的0%；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5.附属单位上缴收入0万元，占收入合计的0%；</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6.其他收入0万元，占收入合计的0%。</w:t>
      </w:r>
    </w:p>
    <w:p>
      <w:pPr>
        <w:spacing w:line="580" w:lineRule="exact"/>
        <w:ind w:firstLine="570"/>
        <w:rPr>
          <w:rFonts w:ascii="仿宋_GB2312" w:eastAsia="仿宋_GB2312"/>
          <w:sz w:val="28"/>
          <w:szCs w:val="28"/>
        </w:rPr>
      </w:pPr>
      <w:r>
        <w:rPr>
          <w:rFonts w:hint="eastAsia" w:ascii="仿宋_GB2312" w:eastAsia="仿宋_GB2312"/>
          <w:sz w:val="28"/>
          <w:szCs w:val="28"/>
        </w:rPr>
        <w:t>（二）支出决算说明</w:t>
      </w:r>
    </w:p>
    <w:p>
      <w:pPr>
        <w:spacing w:line="580" w:lineRule="exact"/>
        <w:ind w:firstLine="570"/>
        <w:rPr>
          <w:rFonts w:ascii="仿宋_GB2312" w:eastAsia="仿宋_GB2312"/>
          <w:sz w:val="28"/>
          <w:szCs w:val="28"/>
        </w:rPr>
      </w:pPr>
      <w:r>
        <w:rPr>
          <w:rFonts w:hint="eastAsia" w:ascii="仿宋_GB2312" w:eastAsia="仿宋_GB2312"/>
          <w:sz w:val="28"/>
          <w:szCs w:val="28"/>
        </w:rPr>
        <w:t>2023年度本年支出合计2087.78万元，比上年增加</w:t>
      </w:r>
      <w:r>
        <w:rPr>
          <w:rFonts w:ascii="仿宋_GB2312" w:eastAsia="仿宋_GB2312"/>
          <w:sz w:val="28"/>
          <w:szCs w:val="28"/>
        </w:rPr>
        <w:t>241.81</w:t>
      </w:r>
      <w:r>
        <w:rPr>
          <w:rFonts w:hint="eastAsia" w:ascii="仿宋_GB2312" w:eastAsia="仿宋_GB2312"/>
          <w:sz w:val="28"/>
          <w:szCs w:val="28"/>
        </w:rPr>
        <w:t>万元，增长</w:t>
      </w:r>
      <w:r>
        <w:rPr>
          <w:rFonts w:ascii="仿宋_GB2312" w:eastAsia="仿宋_GB2312"/>
          <w:sz w:val="28"/>
          <w:szCs w:val="28"/>
        </w:rPr>
        <w:t>13.1</w:t>
      </w:r>
      <w:r>
        <w:rPr>
          <w:rFonts w:hint="eastAsia" w:ascii="仿宋_GB2312" w:eastAsia="仿宋_GB2312"/>
          <w:sz w:val="28"/>
          <w:szCs w:val="28"/>
        </w:rPr>
        <w:t>%，其中：基本支出1606.19万元，占支出合计的76.93%；项目支出481.59万元，占支出合计的23.0</w:t>
      </w:r>
      <w:r>
        <w:rPr>
          <w:rFonts w:ascii="仿宋_GB2312" w:eastAsia="仿宋_GB2312"/>
          <w:sz w:val="28"/>
          <w:szCs w:val="28"/>
        </w:rPr>
        <w:t>7</w:t>
      </w:r>
      <w:r>
        <w:rPr>
          <w:rFonts w:hint="eastAsia" w:ascii="仿宋_GB2312" w:eastAsia="仿宋_GB2312"/>
          <w:sz w:val="28"/>
          <w:szCs w:val="28"/>
        </w:rPr>
        <w:t>%;上缴上级支出0万元，占支出合计的0%；经营支出0万元，占支出合计的0%；对附属单位补助支出0万元，占支出合计的0%。</w:t>
      </w:r>
    </w:p>
    <w:p>
      <w:pPr>
        <w:pStyle w:val="3"/>
        <w:ind w:firstLine="642"/>
        <w:jc w:val="center"/>
        <w:rPr>
          <w:rFonts w:ascii="仿宋_GB2312" w:eastAsia="仿宋_GB2312"/>
          <w:color w:val="000000"/>
          <w:sz w:val="32"/>
          <w:szCs w:val="32"/>
        </w:rPr>
      </w:pPr>
      <w:r>
        <w:rPr>
          <w:rFonts w:ascii="仿宋_GB2312" w:eastAsia="仿宋_GB2312"/>
          <w:color w:val="000000"/>
          <w:sz w:val="32"/>
          <w:szCs w:val="32"/>
        </w:rPr>
        <w:drawing>
          <wp:inline distT="0" distB="0" distL="0" distR="0">
            <wp:extent cx="4584700" cy="2755900"/>
            <wp:effectExtent l="0" t="0" r="6350" b="635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7">
                      <a:extLst>
                        <a:ext uri="{28A0092B-C50C-407E-A947-70E740481C1C}">
                          <a14:useLocalDpi xmlns:a14="http://schemas.microsoft.com/office/drawing/2010/main" val="false"/>
                        </a:ext>
                      </a:extLst>
                    </a:blip>
                    <a:srcRect/>
                    <a:stretch>
                      <a:fillRect/>
                    </a:stretch>
                  </pic:blipFill>
                  <pic:spPr>
                    <a:xfrm>
                      <a:off x="0" y="0"/>
                      <a:ext cx="4584700" cy="2755900"/>
                    </a:xfrm>
                    <a:prstGeom prst="rect">
                      <a:avLst/>
                    </a:prstGeom>
                    <a:noFill/>
                  </pic:spPr>
                </pic:pic>
              </a:graphicData>
            </a:graphic>
          </wp:inline>
        </w:drawing>
      </w:r>
    </w:p>
    <w:p>
      <w:pPr>
        <w:pStyle w:val="3"/>
        <w:ind w:firstLine="642"/>
        <w:jc w:val="center"/>
        <w:rPr>
          <w:rFonts w:ascii="仿宋_GB2312" w:eastAsia="仿宋_GB2312"/>
          <w:color w:val="000000"/>
          <w:sz w:val="32"/>
          <w:szCs w:val="32"/>
        </w:rPr>
      </w:pPr>
      <w:r>
        <w:rPr>
          <w:rFonts w:hint="eastAsia" w:ascii="仿宋_GB2312" w:eastAsia="仿宋_GB2312"/>
          <w:color w:val="000000"/>
          <w:sz w:val="32"/>
          <w:szCs w:val="32"/>
        </w:rPr>
        <w:t>图</w:t>
      </w:r>
      <w:r>
        <w:rPr>
          <w:rFonts w:ascii="仿宋_GB2312" w:eastAsia="仿宋_GB2312"/>
          <w:color w:val="000000"/>
          <w:sz w:val="32"/>
          <w:szCs w:val="32"/>
        </w:rPr>
        <w:t>1</w:t>
      </w:r>
      <w:r>
        <w:rPr>
          <w:rFonts w:hint="eastAsia" w:ascii="仿宋_GB2312" w:eastAsia="仿宋_GB2312"/>
          <w:color w:val="000000"/>
          <w:sz w:val="32"/>
          <w:szCs w:val="32"/>
        </w:rPr>
        <w:t>：基本支出和项目支出情况</w:t>
      </w:r>
    </w:p>
    <w:p>
      <w:pPr>
        <w:jc w:val="center"/>
        <w:rPr>
          <w:rFonts w:ascii="黑体" w:eastAsia="黑体"/>
          <w:b/>
          <w:sz w:val="28"/>
          <w:szCs w:val="28"/>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pacing w:line="580" w:lineRule="exact"/>
        <w:ind w:firstLine="570"/>
        <w:rPr>
          <w:rFonts w:ascii="仿宋_GB2312" w:eastAsia="仿宋_GB2312"/>
          <w:sz w:val="28"/>
          <w:szCs w:val="28"/>
        </w:rPr>
      </w:pPr>
      <w:r>
        <w:rPr>
          <w:rFonts w:hint="eastAsia" w:ascii="仿宋_GB2312" w:eastAsia="仿宋_GB2312"/>
          <w:sz w:val="28"/>
          <w:szCs w:val="28"/>
        </w:rPr>
        <w:t>2023年度财政拨款收、支总计2091.16万元，比上年增加193.68万元，增长</w:t>
      </w:r>
      <w:r>
        <w:rPr>
          <w:rFonts w:ascii="仿宋_GB2312" w:eastAsia="仿宋_GB2312"/>
          <w:sz w:val="28"/>
          <w:szCs w:val="28"/>
        </w:rPr>
        <w:t>10.21</w:t>
      </w:r>
      <w:r>
        <w:rPr>
          <w:rFonts w:hint="eastAsia" w:ascii="仿宋_GB2312" w:eastAsia="仿宋_GB2312"/>
          <w:sz w:val="28"/>
          <w:szCs w:val="28"/>
        </w:rPr>
        <w:t>%。主要原因：</w:t>
      </w:r>
      <w:r>
        <w:rPr>
          <w:rFonts w:hint="eastAsia" w:eastAsia="仿宋_GB2312"/>
          <w:sz w:val="28"/>
          <w:szCs w:val="28"/>
        </w:rPr>
        <w:t>主要为2022年至2023年“老人”专项绩效、2022年及2023年度新入职2名员工工资绩效及补发、社保支出以及2023年科技项目预算增加。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2023年度一般公共预算财政拨款支出2087.78万元，主要用于以下方面（按大类）：教育</w:t>
      </w:r>
      <w:r>
        <w:rPr>
          <w:rFonts w:ascii="仿宋_GB2312" w:eastAsia="仿宋_GB2312"/>
          <w:sz w:val="28"/>
          <w:szCs w:val="28"/>
        </w:rPr>
        <w:t>支出</w:t>
      </w:r>
      <w:r>
        <w:rPr>
          <w:rFonts w:hint="eastAsia" w:ascii="仿宋_GB2312" w:eastAsia="仿宋_GB2312"/>
          <w:sz w:val="28"/>
          <w:szCs w:val="28"/>
        </w:rPr>
        <w:t>1.29万元</w:t>
      </w:r>
      <w:r>
        <w:rPr>
          <w:rFonts w:ascii="仿宋_GB2312" w:eastAsia="仿宋_GB2312"/>
          <w:sz w:val="28"/>
          <w:szCs w:val="28"/>
        </w:rPr>
        <w:t>，</w:t>
      </w:r>
      <w:r>
        <w:rPr>
          <w:rFonts w:hint="eastAsia" w:ascii="仿宋_GB2312" w:eastAsia="仿宋_GB2312"/>
          <w:sz w:val="28"/>
          <w:szCs w:val="28"/>
        </w:rPr>
        <w:t>占</w:t>
      </w:r>
      <w:r>
        <w:rPr>
          <w:rFonts w:ascii="仿宋_GB2312" w:eastAsia="仿宋_GB2312"/>
          <w:sz w:val="28"/>
          <w:szCs w:val="28"/>
        </w:rPr>
        <w:t>本年财政拨款支出</w:t>
      </w:r>
      <w:r>
        <w:rPr>
          <w:rFonts w:hint="eastAsia" w:ascii="仿宋_GB2312" w:eastAsia="仿宋_GB2312"/>
          <w:sz w:val="28"/>
          <w:szCs w:val="28"/>
        </w:rPr>
        <w:t>0.62%；社会保障和就业支出1</w:t>
      </w:r>
      <w:r>
        <w:rPr>
          <w:rFonts w:ascii="仿宋_GB2312" w:eastAsia="仿宋_GB2312"/>
          <w:sz w:val="28"/>
          <w:szCs w:val="28"/>
        </w:rPr>
        <w:t>65.24</w:t>
      </w:r>
      <w:r>
        <w:rPr>
          <w:rFonts w:hint="eastAsia" w:ascii="仿宋_GB2312" w:eastAsia="仿宋_GB2312"/>
          <w:sz w:val="28"/>
          <w:szCs w:val="28"/>
        </w:rPr>
        <w:t>万元，占本年财政拨款支出</w:t>
      </w:r>
      <w:r>
        <w:rPr>
          <w:rFonts w:ascii="仿宋_GB2312" w:eastAsia="仿宋_GB2312"/>
          <w:sz w:val="28"/>
          <w:szCs w:val="28"/>
        </w:rPr>
        <w:t>7.91</w:t>
      </w:r>
      <w:r>
        <w:rPr>
          <w:rFonts w:hint="eastAsia" w:ascii="仿宋_GB2312" w:eastAsia="仿宋_GB2312"/>
          <w:sz w:val="28"/>
          <w:szCs w:val="28"/>
        </w:rPr>
        <w:t>%；卫生健康支出</w:t>
      </w:r>
      <w:r>
        <w:rPr>
          <w:rFonts w:ascii="仿宋_GB2312" w:eastAsia="仿宋_GB2312"/>
          <w:sz w:val="28"/>
          <w:szCs w:val="28"/>
        </w:rPr>
        <w:t>125.63</w:t>
      </w:r>
      <w:r>
        <w:rPr>
          <w:rFonts w:hint="eastAsia" w:ascii="仿宋_GB2312" w:eastAsia="仿宋_GB2312"/>
          <w:sz w:val="28"/>
          <w:szCs w:val="28"/>
        </w:rPr>
        <w:t>万元，占本年财政拨款支出</w:t>
      </w:r>
      <w:r>
        <w:rPr>
          <w:rFonts w:ascii="仿宋_GB2312" w:eastAsia="仿宋_GB2312"/>
          <w:sz w:val="28"/>
          <w:szCs w:val="28"/>
        </w:rPr>
        <w:t>6.02</w:t>
      </w:r>
      <w:r>
        <w:rPr>
          <w:rFonts w:hint="eastAsia" w:ascii="仿宋_GB2312" w:eastAsia="仿宋_GB2312"/>
          <w:sz w:val="28"/>
          <w:szCs w:val="28"/>
        </w:rPr>
        <w:t>%；交通运输支出1</w:t>
      </w:r>
      <w:r>
        <w:rPr>
          <w:rFonts w:ascii="仿宋_GB2312" w:eastAsia="仿宋_GB2312"/>
          <w:sz w:val="28"/>
          <w:szCs w:val="28"/>
        </w:rPr>
        <w:t>795.62</w:t>
      </w:r>
      <w:r>
        <w:rPr>
          <w:rFonts w:hint="eastAsia" w:ascii="仿宋_GB2312" w:eastAsia="仿宋_GB2312"/>
          <w:sz w:val="28"/>
          <w:szCs w:val="28"/>
        </w:rPr>
        <w:t>万元，占本年财政拨款支出</w:t>
      </w:r>
      <w:r>
        <w:rPr>
          <w:rFonts w:ascii="仿宋_GB2312" w:eastAsia="仿宋_GB2312"/>
          <w:sz w:val="28"/>
          <w:szCs w:val="28"/>
        </w:rPr>
        <w:t>86.01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1.29</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年度年初预算减少</w:t>
      </w:r>
      <w:r>
        <w:rPr>
          <w:rFonts w:ascii="仿宋_GB2312" w:eastAsia="仿宋_GB2312"/>
          <w:sz w:val="28"/>
          <w:szCs w:val="28"/>
        </w:rPr>
        <w:t>0.21</w:t>
      </w:r>
      <w:r>
        <w:rPr>
          <w:rFonts w:hint="eastAsia" w:ascii="仿宋_GB2312" w:eastAsia="仿宋_GB2312"/>
          <w:sz w:val="28"/>
          <w:szCs w:val="28"/>
        </w:rPr>
        <w:t>万元，下降</w:t>
      </w:r>
      <w:r>
        <w:rPr>
          <w:rFonts w:ascii="仿宋_GB2312" w:eastAsia="仿宋_GB2312"/>
          <w:sz w:val="28"/>
          <w:szCs w:val="28"/>
        </w:rPr>
        <w:t>16.28</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1.29</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年年初预算减少</w:t>
      </w:r>
      <w:r>
        <w:rPr>
          <w:rFonts w:ascii="仿宋_GB2312" w:eastAsia="仿宋_GB2312"/>
          <w:sz w:val="28"/>
          <w:szCs w:val="28"/>
        </w:rPr>
        <w:t>0.21</w:t>
      </w:r>
      <w:r>
        <w:rPr>
          <w:rFonts w:hint="eastAsia" w:ascii="仿宋_GB2312" w:eastAsia="仿宋_GB2312"/>
          <w:sz w:val="28"/>
          <w:szCs w:val="28"/>
        </w:rPr>
        <w:t>万元，下降</w:t>
      </w:r>
      <w:r>
        <w:rPr>
          <w:rFonts w:ascii="仿宋_GB2312" w:eastAsia="仿宋_GB2312"/>
          <w:sz w:val="28"/>
          <w:szCs w:val="28"/>
        </w:rPr>
        <w:t>16</w:t>
      </w:r>
      <w:r>
        <w:rPr>
          <w:rFonts w:hint="eastAsia" w:ascii="仿宋_GB2312" w:eastAsia="仿宋_GB2312"/>
          <w:sz w:val="28"/>
          <w:szCs w:val="28"/>
        </w:rPr>
        <w:t>.28%。主要原因：培训</w:t>
      </w:r>
      <w:r>
        <w:rPr>
          <w:rFonts w:ascii="仿宋_GB2312" w:eastAsia="仿宋_GB2312"/>
          <w:sz w:val="28"/>
          <w:szCs w:val="28"/>
        </w:rPr>
        <w:t>老师调整后，培训费支出降低</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 202</w:t>
      </w:r>
      <w:r>
        <w:rPr>
          <w:rFonts w:ascii="仿宋_GB2312" w:eastAsia="仿宋_GB2312"/>
          <w:sz w:val="28"/>
          <w:szCs w:val="28"/>
        </w:rPr>
        <w:t>3</w:t>
      </w:r>
      <w:r>
        <w:rPr>
          <w:rFonts w:hint="eastAsia" w:ascii="仿宋_GB2312" w:eastAsia="仿宋_GB2312"/>
          <w:sz w:val="28"/>
          <w:szCs w:val="28"/>
        </w:rPr>
        <w:t>年度决算16</w:t>
      </w:r>
      <w:r>
        <w:rPr>
          <w:rFonts w:ascii="仿宋_GB2312" w:eastAsia="仿宋_GB2312"/>
          <w:sz w:val="28"/>
          <w:szCs w:val="28"/>
        </w:rPr>
        <w:t>5.24</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年度年初预算减少</w:t>
      </w:r>
      <w:r>
        <w:rPr>
          <w:rFonts w:ascii="仿宋_GB2312" w:eastAsia="仿宋_GB2312"/>
          <w:sz w:val="28"/>
          <w:szCs w:val="28"/>
        </w:rPr>
        <w:t>0.11</w:t>
      </w:r>
      <w:r>
        <w:rPr>
          <w:rFonts w:hint="eastAsia" w:ascii="仿宋_GB2312" w:eastAsia="仿宋_GB2312"/>
          <w:sz w:val="28"/>
          <w:szCs w:val="28"/>
        </w:rPr>
        <w:t>万元，下降</w:t>
      </w:r>
      <w:r>
        <w:rPr>
          <w:rFonts w:ascii="仿宋_GB2312" w:eastAsia="仿宋_GB2312"/>
          <w:sz w:val="28"/>
          <w:szCs w:val="28"/>
        </w:rPr>
        <w:t>0.0</w:t>
      </w:r>
      <w:r>
        <w:rPr>
          <w:rFonts w:hint="eastAsia" w:ascii="仿宋_GB2312" w:eastAsia="仿宋_GB2312"/>
          <w:sz w:val="28"/>
          <w:szCs w:val="28"/>
        </w:rPr>
        <w:t>7%。其中：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w:t>
      </w:r>
      <w:r>
        <w:rPr>
          <w:rFonts w:ascii="仿宋_GB2312" w:eastAsia="仿宋_GB2312"/>
          <w:sz w:val="28"/>
          <w:szCs w:val="28"/>
        </w:rPr>
        <w:t>3</w:t>
      </w:r>
      <w:r>
        <w:rPr>
          <w:rFonts w:hint="eastAsia" w:ascii="仿宋_GB2312" w:eastAsia="仿宋_GB2312"/>
          <w:sz w:val="28"/>
          <w:szCs w:val="28"/>
        </w:rPr>
        <w:t>年度决算1</w:t>
      </w:r>
      <w:r>
        <w:rPr>
          <w:rFonts w:ascii="仿宋_GB2312" w:eastAsia="仿宋_GB2312"/>
          <w:sz w:val="28"/>
          <w:szCs w:val="28"/>
        </w:rPr>
        <w:t>65.24</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年年初预算减少</w:t>
      </w:r>
      <w:r>
        <w:rPr>
          <w:rFonts w:ascii="仿宋_GB2312" w:eastAsia="仿宋_GB2312"/>
          <w:sz w:val="28"/>
          <w:szCs w:val="28"/>
        </w:rPr>
        <w:t>0.11</w:t>
      </w:r>
      <w:r>
        <w:rPr>
          <w:rFonts w:hint="eastAsia" w:ascii="仿宋_GB2312" w:eastAsia="仿宋_GB2312"/>
          <w:sz w:val="28"/>
          <w:szCs w:val="28"/>
        </w:rPr>
        <w:t>万元，下降</w:t>
      </w:r>
      <w:r>
        <w:rPr>
          <w:rFonts w:ascii="仿宋_GB2312" w:eastAsia="仿宋_GB2312"/>
          <w:sz w:val="28"/>
          <w:szCs w:val="28"/>
        </w:rPr>
        <w:t>0.07</w:t>
      </w:r>
      <w:r>
        <w:rPr>
          <w:rFonts w:hint="eastAsia" w:ascii="仿宋_GB2312" w:eastAsia="仿宋_GB2312"/>
          <w:sz w:val="28"/>
          <w:szCs w:val="28"/>
        </w:rPr>
        <w:t>%。主要原因：在预算执行过程中根据实际人员变动情况安排支出。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3、“卫生健康支出”202</w:t>
      </w:r>
      <w:r>
        <w:rPr>
          <w:rFonts w:ascii="仿宋_GB2312" w:eastAsia="仿宋_GB2312"/>
          <w:sz w:val="28"/>
          <w:szCs w:val="28"/>
        </w:rPr>
        <w:t>3</w:t>
      </w:r>
      <w:r>
        <w:rPr>
          <w:rFonts w:hint="eastAsia" w:ascii="仿宋_GB2312" w:eastAsia="仿宋_GB2312"/>
          <w:sz w:val="28"/>
          <w:szCs w:val="28"/>
        </w:rPr>
        <w:t>年度决算1</w:t>
      </w:r>
      <w:r>
        <w:rPr>
          <w:rFonts w:ascii="仿宋_GB2312" w:eastAsia="仿宋_GB2312"/>
          <w:sz w:val="28"/>
          <w:szCs w:val="28"/>
        </w:rPr>
        <w:t>25.63</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年度年初预算减少</w:t>
      </w:r>
      <w:r>
        <w:rPr>
          <w:rFonts w:ascii="仿宋_GB2312" w:eastAsia="仿宋_GB2312"/>
          <w:sz w:val="28"/>
          <w:szCs w:val="28"/>
        </w:rPr>
        <w:t>0.25</w:t>
      </w:r>
      <w:r>
        <w:rPr>
          <w:rFonts w:hint="eastAsia" w:ascii="仿宋_GB2312" w:eastAsia="仿宋_GB2312"/>
          <w:sz w:val="28"/>
          <w:szCs w:val="28"/>
        </w:rPr>
        <w:t>万元，下降</w:t>
      </w:r>
      <w:r>
        <w:rPr>
          <w:rFonts w:ascii="仿宋_GB2312" w:eastAsia="仿宋_GB2312"/>
          <w:sz w:val="28"/>
          <w:szCs w:val="28"/>
        </w:rPr>
        <w:t>0.2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w:t>
      </w:r>
      <w:r>
        <w:rPr>
          <w:rFonts w:ascii="仿宋_GB2312" w:eastAsia="仿宋_GB2312"/>
          <w:sz w:val="28"/>
          <w:szCs w:val="28"/>
        </w:rPr>
        <w:t>3</w:t>
      </w:r>
      <w:r>
        <w:rPr>
          <w:rFonts w:hint="eastAsia" w:ascii="仿宋_GB2312" w:eastAsia="仿宋_GB2312"/>
          <w:sz w:val="28"/>
          <w:szCs w:val="28"/>
        </w:rPr>
        <w:t>年度决算1</w:t>
      </w:r>
      <w:r>
        <w:rPr>
          <w:rFonts w:ascii="仿宋_GB2312" w:eastAsia="仿宋_GB2312"/>
          <w:sz w:val="28"/>
          <w:szCs w:val="28"/>
        </w:rPr>
        <w:t>25.63</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年年初预算减少</w:t>
      </w:r>
      <w:r>
        <w:rPr>
          <w:rFonts w:ascii="仿宋_GB2312" w:eastAsia="仿宋_GB2312"/>
          <w:sz w:val="28"/>
          <w:szCs w:val="28"/>
        </w:rPr>
        <w:t>0.25</w:t>
      </w:r>
      <w:r>
        <w:rPr>
          <w:rFonts w:hint="eastAsia" w:ascii="仿宋_GB2312" w:eastAsia="仿宋_GB2312"/>
          <w:sz w:val="28"/>
          <w:szCs w:val="28"/>
        </w:rPr>
        <w:t>万元，下降</w:t>
      </w:r>
      <w:r>
        <w:rPr>
          <w:rFonts w:ascii="仿宋_GB2312" w:eastAsia="仿宋_GB2312"/>
          <w:sz w:val="28"/>
          <w:szCs w:val="28"/>
        </w:rPr>
        <w:t>0.2</w:t>
      </w:r>
      <w:r>
        <w:rPr>
          <w:rFonts w:hint="eastAsia" w:ascii="仿宋_GB2312" w:eastAsia="仿宋_GB2312"/>
          <w:sz w:val="28"/>
          <w:szCs w:val="28"/>
        </w:rPr>
        <w:t>%。主要原因：在预算执行过程中根据实际人员变动情况安排支出。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4、“交通运输支出”202</w:t>
      </w:r>
      <w:r>
        <w:rPr>
          <w:rFonts w:ascii="仿宋_GB2312" w:eastAsia="仿宋_GB2312"/>
          <w:sz w:val="28"/>
          <w:szCs w:val="28"/>
        </w:rPr>
        <w:t>3</w:t>
      </w:r>
      <w:r>
        <w:rPr>
          <w:rFonts w:hint="eastAsia" w:ascii="仿宋_GB2312" w:eastAsia="仿宋_GB2312"/>
          <w:sz w:val="28"/>
          <w:szCs w:val="28"/>
        </w:rPr>
        <w:t>年度决算1</w:t>
      </w:r>
      <w:r>
        <w:rPr>
          <w:rFonts w:ascii="仿宋_GB2312" w:eastAsia="仿宋_GB2312"/>
          <w:sz w:val="28"/>
          <w:szCs w:val="28"/>
        </w:rPr>
        <w:t>795.62</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年度年初预算减少</w:t>
      </w:r>
      <w:r>
        <w:rPr>
          <w:rFonts w:ascii="仿宋_GB2312" w:eastAsia="仿宋_GB2312"/>
          <w:sz w:val="28"/>
          <w:szCs w:val="28"/>
        </w:rPr>
        <w:t>2.8</w:t>
      </w:r>
      <w:r>
        <w:rPr>
          <w:rFonts w:hint="eastAsia" w:ascii="仿宋_GB2312" w:eastAsia="仿宋_GB2312"/>
          <w:sz w:val="28"/>
          <w:szCs w:val="28"/>
        </w:rPr>
        <w:t>万元，减少</w:t>
      </w:r>
      <w:r>
        <w:rPr>
          <w:rFonts w:ascii="仿宋_GB2312" w:eastAsia="仿宋_GB2312"/>
          <w:sz w:val="28"/>
          <w:szCs w:val="28"/>
        </w:rPr>
        <w:t>0.16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w:t>
      </w:r>
      <w:r>
        <w:rPr>
          <w:rFonts w:ascii="仿宋_GB2312" w:eastAsia="仿宋_GB2312"/>
          <w:sz w:val="28"/>
          <w:szCs w:val="28"/>
        </w:rPr>
        <w:t>3</w:t>
      </w:r>
      <w:r>
        <w:rPr>
          <w:rFonts w:hint="eastAsia" w:ascii="仿宋_GB2312" w:eastAsia="仿宋_GB2312"/>
          <w:sz w:val="28"/>
          <w:szCs w:val="28"/>
        </w:rPr>
        <w:t>年度决算1</w:t>
      </w:r>
      <w:r>
        <w:rPr>
          <w:rFonts w:ascii="仿宋_GB2312" w:eastAsia="仿宋_GB2312"/>
          <w:sz w:val="28"/>
          <w:szCs w:val="28"/>
        </w:rPr>
        <w:t>795.62</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年年初预算减少</w:t>
      </w:r>
      <w:r>
        <w:rPr>
          <w:rFonts w:ascii="仿宋_GB2312" w:eastAsia="仿宋_GB2312"/>
          <w:sz w:val="28"/>
          <w:szCs w:val="28"/>
        </w:rPr>
        <w:t>2.8</w:t>
      </w:r>
      <w:r>
        <w:rPr>
          <w:rFonts w:hint="eastAsia" w:ascii="仿宋_GB2312" w:eastAsia="仿宋_GB2312"/>
          <w:sz w:val="28"/>
          <w:szCs w:val="28"/>
        </w:rPr>
        <w:t>万元，减少</w:t>
      </w:r>
      <w:r>
        <w:rPr>
          <w:rFonts w:ascii="仿宋_GB2312" w:eastAsia="仿宋_GB2312"/>
          <w:sz w:val="28"/>
          <w:szCs w:val="28"/>
        </w:rPr>
        <w:t>0.16</w:t>
      </w:r>
      <w:r>
        <w:rPr>
          <w:rFonts w:hint="eastAsia" w:ascii="仿宋_GB2312" w:eastAsia="仿宋_GB2312"/>
          <w:sz w:val="28"/>
          <w:szCs w:val="28"/>
        </w:rPr>
        <w:t>%。主要原因：主要为公用支出的部分结余。</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2023年度国有资本经营预算财政拨款收入总计0万元，国有资本经营预算财政拨款支出总计0万元。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autoSpaceDE w:val="0"/>
        <w:autoSpaceDN w:val="0"/>
        <w:adjustRightInd w:val="0"/>
        <w:spacing w:line="580" w:lineRule="exact"/>
        <w:jc w:val="center"/>
        <w:rPr>
          <w:rFonts w:ascii="宋体" w:hAnsi="宋体" w:cs="宋体"/>
          <w:b/>
          <w:spacing w:val="40"/>
          <w:kern w:val="0"/>
          <w:sz w:val="32"/>
          <w:szCs w:val="32"/>
        </w:rPr>
      </w:pPr>
      <w:r>
        <w:rPr>
          <w:rFonts w:hint="eastAsia" w:ascii="仿宋_GB2312" w:eastAsia="仿宋_GB2312"/>
          <w:sz w:val="28"/>
          <w:szCs w:val="28"/>
        </w:rPr>
        <w:t>2023年度使用一般公共预算财政拨款安排基本支出1606.19万元，使用政府性基金财政拨款安排基本支出0万元，其中：（1）工资福利支出包括基本工资、津贴补贴、奖金、绩效工资、其他社会保障缴费、其他工资福利等支出；（2）商品和服务支出包括办公费、印刷费、咨询费、手续费、水费、电费、邮电费、取暖费、物业管理费、差旅费、维修（护）费、培训费、劳务费、工会经费、福利费、其他商品和服务等支出；（3）对个人和家庭补助支出包括退休费、抚恤金、生活补助、奖励金、其他对个人和家庭的补助等支出。（4）其他资本性支出包括办公设备购置、专用设备购置等。</w:t>
      </w: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439.86万元，其中：政府采购货物支出1.07万元，政府采购工程支出0万元，政府采购服务支出438.79万元。授予中小企业合同金额251.76万元，占政府采购支出总额的57.23%，其中：授予小微企业合同金额251.76万元，占政府采购支出总额的57.23%。</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37" w:firstLineChars="192"/>
        <w:rPr>
          <w:rFonts w:ascii="仿宋_GB2312" w:eastAsia="仿宋_GB2312"/>
          <w:sz w:val="28"/>
          <w:szCs w:val="28"/>
        </w:rPr>
      </w:pPr>
      <w:r>
        <w:rPr>
          <w:rFonts w:hint="eastAsia" w:ascii="仿宋_GB2312" w:eastAsia="仿宋_GB2312"/>
          <w:sz w:val="28"/>
          <w:szCs w:val="28"/>
        </w:rPr>
        <w:t>本单位无国有资产占用情况。</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2023年度政府购买服务决算0万元。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 当年使用的所有支出功能分类名词解释：</w:t>
      </w:r>
    </w:p>
    <w:p>
      <w:pPr>
        <w:ind w:firstLine="420" w:firstLineChars="150"/>
        <w:rPr>
          <w:rFonts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ind w:firstLine="420" w:firstLineChars="150"/>
        <w:rPr>
          <w:rFonts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rPr>
      </w:pP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 xml:space="preserve">交通运输支出（类）公路水路运输（款）其他公路水路运输支出（项）：反映出上述项目以外其他用于公路水路运输方面的支出。 </w:t>
      </w:r>
    </w:p>
    <w:p>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 xml:space="preserve"> </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bookmarkStart w:id="0" w:name="_GoBack"/>
      <w:bookmarkEnd w:id="0"/>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pPr>
      <w:r>
        <w:rPr>
          <w:rFonts w:hint="eastAsia" w:ascii="仿宋_GB2312" w:eastAsia="仿宋_GB2312"/>
          <w:sz w:val="28"/>
          <w:szCs w:val="28"/>
        </w:rPr>
        <w:t>项目支出绩效自评表（详见附件）。</w:t>
      </w: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EFFDA49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1</TotalTime>
  <ScaleCrop>false</ScaleCrop>
  <LinksUpToDate>false</LinksUpToDate>
  <CharactersWithSpaces>6143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bmct-aktd</cp:lastModifiedBy>
  <cp:lastPrinted>2020-08-07T19:39:00Z</cp:lastPrinted>
  <dcterms:modified xsi:type="dcterms:W3CDTF">2024-08-15T15:33:49Z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EF7A3950445E47D39D0A6FA1540AF246_13</vt:lpwstr>
  </property>
</Properties>
</file>