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lang w:eastAsia="zh-CN"/>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rPr>
        <w:t>2023年度部门决算</w:t>
      </w:r>
      <w:r>
        <w:rPr>
          <w:rFonts w:hint="eastAsia" w:ascii="黑体" w:eastAsia="黑体"/>
          <w:sz w:val="72"/>
          <w:szCs w:val="72"/>
          <w:lang w:eastAsia="zh-CN"/>
        </w:rPr>
        <w:t>公开</w:t>
      </w:r>
    </w:p>
    <w:p>
      <w:pPr>
        <w:pStyle w:val="2"/>
        <w:rPr>
          <w:rFonts w:hint="eastAsia" w:ascii="黑体" w:hAnsi="Times New Roman" w:eastAsia="黑体" w:cs="Times New Roman"/>
          <w:kern w:val="2"/>
          <w:sz w:val="72"/>
          <w:szCs w:val="72"/>
          <w:lang w:val="en-US" w:eastAsia="zh-CN" w:bidi="ar-SA"/>
        </w:rPr>
      </w:pPr>
    </w:p>
    <w:p>
      <w:pPr>
        <w:jc w:val="center"/>
        <w:rPr>
          <w:rFonts w:hint="default" w:ascii="宋体" w:hAnsi="宋体" w:eastAsia="宋体"/>
          <w:sz w:val="36"/>
          <w:szCs w:val="36"/>
          <w:lang w:val="en-US" w:eastAsia="zh-CN"/>
        </w:rPr>
      </w:pPr>
      <w:r>
        <w:rPr>
          <w:rFonts w:hint="eastAsia" w:ascii="宋体" w:hAnsi="宋体"/>
          <w:sz w:val="36"/>
          <w:szCs w:val="36"/>
        </w:rPr>
        <w:t>单位名称：</w:t>
      </w:r>
      <w:r>
        <w:rPr>
          <w:rFonts w:hint="eastAsia" w:ascii="宋体" w:hAnsi="宋体"/>
          <w:sz w:val="36"/>
          <w:szCs w:val="36"/>
          <w:lang w:val="en-US" w:eastAsia="zh-CN"/>
        </w:rPr>
        <w:t>北京市交通运行监测调度中心</w:t>
      </w:r>
    </w:p>
    <w:p>
      <w:pPr>
        <w:pStyle w:val="2"/>
        <w:jc w:val="cente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一、部门/单位基本情况</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根据《关于同意设立北京市交通运行监测调度中心的函》（京编办事〔2011〕53号），设立北京市交通运行监测调度中心。北京市交通运行监测调度中心是北京市交通委员会所属相当正处级公益一类事业单位。</w:t>
      </w:r>
      <w:r>
        <w:rPr>
          <w:rFonts w:hint="eastAsia" w:ascii="仿宋_GB2312" w:eastAsia="仿宋_GB2312"/>
          <w:sz w:val="28"/>
          <w:szCs w:val="28"/>
        </w:rPr>
        <w:t>根据《中共北京市委机构编制委员会关于市交通委所属事业单位改革有关事项的批复》（京编委〔2021〕47号）北京市交通运行监测调度中心下设4个部门</w:t>
      </w:r>
      <w:r>
        <w:rPr>
          <w:rFonts w:hint="eastAsia" w:ascii="仿宋_GB2312" w:eastAsia="仿宋_GB2312"/>
          <w:sz w:val="28"/>
          <w:szCs w:val="28"/>
          <w:lang w:eastAsia="zh-CN"/>
        </w:rPr>
        <w:t>，具体是：</w:t>
      </w:r>
      <w:r>
        <w:rPr>
          <w:rFonts w:hint="eastAsia" w:ascii="仿宋_GB2312" w:eastAsia="仿宋_GB2312"/>
          <w:sz w:val="28"/>
          <w:szCs w:val="28"/>
          <w:lang w:val="en-US" w:eastAsia="zh-CN"/>
        </w:rPr>
        <w:t>综合保障部、指挥调度部、运行监测部、科技应用部。单位主要职责是：承担本市交通运行状况的监测、预测和预警工作。承担日常交通行政管理、交通运行组织协调和交通应急处置的信息保障工作。承担交通运行调度的事务性工作。</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lang w:eastAsia="zh-CN"/>
        </w:rPr>
        <w:t>本单位</w:t>
      </w:r>
      <w:r>
        <w:rPr>
          <w:rFonts w:hint="eastAsia" w:ascii="仿宋_GB2312" w:eastAsia="仿宋_GB2312"/>
          <w:kern w:val="0"/>
          <w:sz w:val="28"/>
          <w:szCs w:val="28"/>
        </w:rPr>
        <w:t>行政编制</w:t>
      </w:r>
      <w:r>
        <w:rPr>
          <w:rFonts w:hint="default" w:ascii="仿宋_GB2312" w:eastAsia="仿宋_GB2312"/>
          <w:kern w:val="0"/>
          <w:sz w:val="28"/>
          <w:szCs w:val="28"/>
          <w:lang w:val="en"/>
        </w:rPr>
        <w:t>0</w:t>
      </w:r>
      <w:r>
        <w:rPr>
          <w:rFonts w:hint="eastAsia" w:ascii="仿宋_GB2312" w:eastAsia="仿宋_GB2312"/>
          <w:kern w:val="0"/>
          <w:sz w:val="28"/>
          <w:szCs w:val="28"/>
        </w:rPr>
        <w:t>人，实有人数</w:t>
      </w:r>
      <w:r>
        <w:rPr>
          <w:rFonts w:hint="default" w:ascii="仿宋_GB2312" w:eastAsia="仿宋_GB2312"/>
          <w:kern w:val="0"/>
          <w:sz w:val="28"/>
          <w:szCs w:val="28"/>
          <w:lang w:val="en"/>
        </w:rPr>
        <w:t>0</w:t>
      </w:r>
      <w:r>
        <w:rPr>
          <w:rFonts w:hint="eastAsia" w:ascii="仿宋_GB2312" w:eastAsia="仿宋_GB2312"/>
          <w:kern w:val="0"/>
          <w:sz w:val="28"/>
          <w:szCs w:val="28"/>
        </w:rPr>
        <w:t>人；事业编制</w:t>
      </w:r>
      <w:r>
        <w:rPr>
          <w:rFonts w:hint="default" w:ascii="仿宋_GB2312" w:eastAsia="仿宋_GB2312"/>
          <w:kern w:val="0"/>
          <w:sz w:val="28"/>
          <w:szCs w:val="28"/>
          <w:lang w:val="en"/>
        </w:rPr>
        <w:t>28</w:t>
      </w:r>
      <w:r>
        <w:rPr>
          <w:rFonts w:hint="eastAsia" w:ascii="仿宋_GB2312" w:eastAsia="仿宋_GB2312"/>
          <w:kern w:val="0"/>
          <w:sz w:val="28"/>
          <w:szCs w:val="28"/>
        </w:rPr>
        <w:t>人，实有人数</w:t>
      </w:r>
      <w:r>
        <w:rPr>
          <w:rFonts w:hint="default" w:ascii="仿宋_GB2312" w:eastAsia="仿宋_GB2312"/>
          <w:kern w:val="0"/>
          <w:sz w:val="28"/>
          <w:szCs w:val="28"/>
          <w:lang w:val="en"/>
        </w:rPr>
        <w:t>24</w:t>
      </w:r>
      <w:r>
        <w:rPr>
          <w:rFonts w:hint="eastAsia" w:ascii="仿宋_GB2312" w:eastAsia="仿宋_GB2312"/>
          <w:kern w:val="0"/>
          <w:sz w:val="28"/>
          <w:szCs w:val="28"/>
        </w:rPr>
        <w:t>人。离退休人员1人，其中：离休0人，退休1人。</w:t>
      </w: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4507.32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159.06</w:t>
      </w:r>
      <w:r>
        <w:rPr>
          <w:rFonts w:hint="eastAsia" w:ascii="仿宋_GB2312" w:eastAsia="仿宋_GB2312"/>
          <w:sz w:val="28"/>
          <w:szCs w:val="28"/>
        </w:rPr>
        <w:t>万元，下降</w:t>
      </w:r>
      <w:r>
        <w:rPr>
          <w:rFonts w:hint="eastAsia" w:ascii="仿宋_GB2312" w:eastAsia="仿宋_GB2312"/>
          <w:sz w:val="28"/>
          <w:szCs w:val="28"/>
          <w:lang w:val="en-US" w:eastAsia="zh-CN"/>
        </w:rPr>
        <w:t>3.41</w:t>
      </w:r>
      <w:r>
        <w:rPr>
          <w:rFonts w:hint="eastAsia" w:ascii="仿宋_GB2312" w:eastAsia="仿宋_GB2312"/>
          <w:sz w:val="28"/>
          <w:szCs w:val="28"/>
        </w:rPr>
        <w:t>%。</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2023年度本年收入合计</w:t>
      </w:r>
      <w:r>
        <w:rPr>
          <w:rFonts w:ascii="仿宋_GB2312" w:eastAsia="仿宋_GB2312"/>
          <w:sz w:val="28"/>
          <w:szCs w:val="28"/>
        </w:rPr>
        <w:t>3152.45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750.52</w:t>
      </w:r>
      <w:r>
        <w:rPr>
          <w:rFonts w:hint="eastAsia" w:ascii="仿宋_GB2312" w:eastAsia="仿宋_GB2312"/>
          <w:sz w:val="28"/>
          <w:szCs w:val="28"/>
        </w:rPr>
        <w:t>万元，下降</w:t>
      </w:r>
      <w:r>
        <w:rPr>
          <w:rFonts w:hint="eastAsia" w:ascii="仿宋_GB2312" w:eastAsia="仿宋_GB2312"/>
          <w:sz w:val="28"/>
          <w:szCs w:val="28"/>
          <w:lang w:val="en-US" w:eastAsia="zh-CN"/>
        </w:rPr>
        <w:t>19.23</w:t>
      </w:r>
      <w:r>
        <w:rPr>
          <w:rFonts w:hint="eastAsia" w:ascii="仿宋_GB2312" w:eastAsia="仿宋_GB2312"/>
          <w:sz w:val="28"/>
          <w:szCs w:val="28"/>
        </w:rPr>
        <w:t>%</w:t>
      </w:r>
      <w:r>
        <w:rPr>
          <w:rFonts w:hint="eastAsia" w:ascii="仿宋_GB2312" w:eastAsia="仿宋_GB2312"/>
          <w:sz w:val="28"/>
          <w:szCs w:val="28"/>
          <w:lang w:eastAsia="zh-CN"/>
        </w:rPr>
        <w:t>。</w:t>
      </w:r>
      <w:bookmarkStart w:id="0" w:name="_GoBack"/>
      <w:bookmarkEnd w:id="0"/>
    </w:p>
    <w:p>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3152.3</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%。其中：一般公共预算财政拨款收入</w:t>
      </w:r>
      <w:r>
        <w:rPr>
          <w:rFonts w:ascii="仿宋_GB2312" w:eastAsia="仿宋_GB2312"/>
          <w:sz w:val="28"/>
          <w:szCs w:val="28"/>
        </w:rPr>
        <w:t>3152.3</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2.其他收入</w:t>
      </w:r>
      <w:r>
        <w:rPr>
          <w:rFonts w:ascii="仿宋_GB2312" w:eastAsia="仿宋_GB2312"/>
          <w:sz w:val="28"/>
          <w:szCs w:val="28"/>
        </w:rPr>
        <w:t>0.15</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pStyle w:val="3"/>
        <w:jc w:val="center"/>
        <w:rPr>
          <w:rFonts w:hint="eastAsia"/>
        </w:rPr>
      </w:pPr>
      <w:r>
        <w:rPr>
          <w:rFonts w:hint="eastAsia" w:ascii="仿宋_GB2312" w:eastAsia="仿宋_GB2312"/>
          <w:color w:val="000000"/>
          <w:sz w:val="32"/>
        </w:rPr>
        <w:t>图1：收入决算</w:t>
      </w:r>
    </w:p>
    <w:p>
      <w:pPr>
        <w:pStyle w:val="2"/>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2023年度本年支出合计</w:t>
      </w:r>
      <w:r>
        <w:rPr>
          <w:rFonts w:ascii="仿宋_GB2312" w:eastAsia="仿宋_GB2312"/>
          <w:sz w:val="28"/>
          <w:szCs w:val="28"/>
        </w:rPr>
        <w:t>4286.17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338.25</w:t>
      </w:r>
      <w:r>
        <w:rPr>
          <w:rFonts w:hint="eastAsia" w:ascii="仿宋_GB2312" w:eastAsia="仿宋_GB2312"/>
          <w:sz w:val="28"/>
          <w:szCs w:val="28"/>
        </w:rPr>
        <w:t>万元，下降</w:t>
      </w:r>
      <w:r>
        <w:rPr>
          <w:rFonts w:hint="eastAsia" w:ascii="仿宋_GB2312" w:eastAsia="仿宋_GB2312"/>
          <w:sz w:val="28"/>
          <w:szCs w:val="28"/>
          <w:lang w:val="en-US" w:eastAsia="zh-CN"/>
        </w:rPr>
        <w:t>7.31</w:t>
      </w:r>
      <w:r>
        <w:rPr>
          <w:rFonts w:hint="eastAsia" w:ascii="仿宋_GB2312" w:eastAsia="仿宋_GB2312"/>
          <w:sz w:val="28"/>
          <w:szCs w:val="28"/>
        </w:rPr>
        <w:t>%，其中：基本支出</w:t>
      </w:r>
      <w:r>
        <w:rPr>
          <w:rFonts w:ascii="仿宋_GB2312" w:eastAsia="仿宋_GB2312"/>
          <w:sz w:val="28"/>
          <w:szCs w:val="28"/>
        </w:rPr>
        <w:t>1094.14</w:t>
      </w:r>
      <w:r>
        <w:rPr>
          <w:rFonts w:hint="eastAsia" w:ascii="仿宋_GB2312" w:eastAsia="仿宋_GB2312"/>
          <w:sz w:val="28"/>
          <w:szCs w:val="28"/>
        </w:rPr>
        <w:t>万元，占支出合计的</w:t>
      </w:r>
      <w:r>
        <w:rPr>
          <w:rFonts w:hint="eastAsia" w:ascii="仿宋_GB2312" w:eastAsia="仿宋_GB2312"/>
          <w:sz w:val="28"/>
          <w:szCs w:val="28"/>
          <w:lang w:eastAsia="zh-CN"/>
        </w:rPr>
        <w:t>26</w:t>
      </w:r>
      <w:r>
        <w:rPr>
          <w:rFonts w:hint="eastAsia" w:ascii="仿宋_GB2312" w:eastAsia="仿宋_GB2312"/>
          <w:sz w:val="28"/>
          <w:szCs w:val="28"/>
        </w:rPr>
        <w:t>%；项目支出</w:t>
      </w:r>
      <w:r>
        <w:rPr>
          <w:rFonts w:ascii="仿宋_GB2312" w:eastAsia="仿宋_GB2312"/>
          <w:sz w:val="28"/>
          <w:szCs w:val="28"/>
        </w:rPr>
        <w:t>3192.03</w:t>
      </w:r>
      <w:r>
        <w:rPr>
          <w:rFonts w:hint="eastAsia" w:ascii="仿宋_GB2312" w:eastAsia="仿宋_GB2312"/>
          <w:sz w:val="28"/>
          <w:szCs w:val="28"/>
        </w:rPr>
        <w:t>万元，占支出合计的</w:t>
      </w:r>
      <w:r>
        <w:rPr>
          <w:rFonts w:hint="eastAsia" w:ascii="仿宋_GB2312" w:eastAsia="仿宋_GB2312"/>
          <w:sz w:val="28"/>
          <w:szCs w:val="28"/>
          <w:lang w:eastAsia="zh-CN"/>
        </w:rPr>
        <w:t>74</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true"/>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2023年度财政拨款收、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3152.3</w:t>
      </w:r>
      <w:r>
        <w:rPr>
          <w:rFonts w:hint="eastAsia" w:ascii="仿宋_GB2312" w:eastAsia="仿宋_GB2312"/>
          <w:sz w:val="28"/>
          <w:szCs w:val="28"/>
        </w:rPr>
        <w:t>万元，比上年减少</w:t>
      </w:r>
      <w:r>
        <w:rPr>
          <w:rFonts w:hint="eastAsia" w:ascii="仿宋_GB2312" w:eastAsia="仿宋_GB2312"/>
          <w:sz w:val="28"/>
          <w:szCs w:val="28"/>
          <w:lang w:val="en-US" w:eastAsia="zh-CN"/>
        </w:rPr>
        <w:t>1490.10</w:t>
      </w:r>
      <w:r>
        <w:rPr>
          <w:rFonts w:hint="eastAsia" w:ascii="仿宋_GB2312" w:eastAsia="仿宋_GB2312"/>
          <w:sz w:val="28"/>
          <w:szCs w:val="28"/>
        </w:rPr>
        <w:t>万元，下降</w:t>
      </w:r>
      <w:r>
        <w:rPr>
          <w:rFonts w:hint="eastAsia" w:ascii="仿宋_GB2312" w:eastAsia="仿宋_GB2312"/>
          <w:sz w:val="28"/>
          <w:szCs w:val="28"/>
          <w:lang w:val="en-US" w:eastAsia="zh-CN"/>
        </w:rPr>
        <w:t>32.10</w:t>
      </w:r>
      <w:r>
        <w:rPr>
          <w:rFonts w:hint="eastAsia" w:ascii="仿宋_GB2312" w:eastAsia="仿宋_GB2312"/>
          <w:sz w:val="28"/>
          <w:szCs w:val="28"/>
        </w:rPr>
        <w:t>%。主要原因：</w:t>
      </w:r>
      <w:r>
        <w:rPr>
          <w:rFonts w:hint="eastAsia" w:ascii="仿宋_GB2312" w:eastAsia="仿宋_GB2312"/>
          <w:sz w:val="28"/>
          <w:szCs w:val="28"/>
          <w:lang w:val="en-US" w:eastAsia="zh-CN"/>
        </w:rPr>
        <w:t>2023年减少智慧交通示范应用项目等一次性项目支出。</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2023年度一般公共预算财政拨款支出</w:t>
      </w:r>
      <w:r>
        <w:rPr>
          <w:rFonts w:ascii="仿宋_GB2312" w:eastAsia="仿宋_GB2312"/>
          <w:sz w:val="28"/>
          <w:szCs w:val="28"/>
        </w:rPr>
        <w:t>3117.33</w:t>
      </w:r>
      <w:r>
        <w:rPr>
          <w:rFonts w:hint="eastAsia" w:ascii="仿宋_GB2312" w:eastAsia="仿宋_GB2312"/>
          <w:sz w:val="28"/>
          <w:szCs w:val="28"/>
        </w:rPr>
        <w:t>万元，主要用于以下方面：社会保障和就业支出</w:t>
      </w:r>
      <w:r>
        <w:rPr>
          <w:rFonts w:hint="eastAsia" w:ascii="仿宋_GB2312" w:eastAsia="仿宋_GB2312"/>
          <w:sz w:val="28"/>
          <w:szCs w:val="28"/>
          <w:lang w:val="en-US" w:eastAsia="zh-CN"/>
        </w:rPr>
        <w:t>121.63</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3.90</w:t>
      </w:r>
      <w:r>
        <w:rPr>
          <w:rFonts w:hint="eastAsia" w:ascii="仿宋_GB2312" w:eastAsia="仿宋_GB2312"/>
          <w:sz w:val="28"/>
          <w:szCs w:val="28"/>
        </w:rPr>
        <w:t>%；卫生健康支出</w:t>
      </w:r>
      <w:r>
        <w:rPr>
          <w:rFonts w:hint="eastAsia" w:ascii="仿宋_GB2312" w:eastAsia="仿宋_GB2312"/>
          <w:sz w:val="28"/>
          <w:szCs w:val="28"/>
          <w:lang w:val="en-US" w:eastAsia="zh-CN"/>
        </w:rPr>
        <w:t>70.61</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2.27</w:t>
      </w:r>
      <w:r>
        <w:rPr>
          <w:rFonts w:hint="eastAsia" w:ascii="仿宋_GB2312" w:eastAsia="仿宋_GB2312"/>
          <w:sz w:val="28"/>
          <w:szCs w:val="28"/>
        </w:rPr>
        <w:t>%；交通运输支出</w:t>
      </w:r>
      <w:r>
        <w:rPr>
          <w:rFonts w:hint="eastAsia" w:ascii="仿宋_GB2312" w:eastAsia="仿宋_GB2312"/>
          <w:sz w:val="28"/>
          <w:szCs w:val="28"/>
          <w:lang w:val="en-US" w:eastAsia="zh-CN"/>
        </w:rPr>
        <w:t>2925.10</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93.83</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1、“交通运输支出”202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2925.10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52.53</w:t>
      </w:r>
      <w:r>
        <w:rPr>
          <w:rFonts w:hint="eastAsia" w:ascii="仿宋_GB2312" w:eastAsia="仿宋_GB2312"/>
          <w:sz w:val="28"/>
          <w:szCs w:val="28"/>
        </w:rPr>
        <w:t>万元，增长</w:t>
      </w:r>
      <w:r>
        <w:rPr>
          <w:rFonts w:hint="eastAsia" w:ascii="仿宋_GB2312" w:eastAsia="仿宋_GB2312"/>
          <w:sz w:val="28"/>
          <w:szCs w:val="28"/>
          <w:lang w:val="en-US" w:eastAsia="zh-CN"/>
        </w:rPr>
        <w:t>1.83</w:t>
      </w:r>
      <w:r>
        <w:rPr>
          <w:rFonts w:hint="eastAsia" w:ascii="仿宋_GB2312" w:eastAsia="仿宋_GB2312"/>
          <w:sz w:val="28"/>
          <w:szCs w:val="28"/>
        </w:rPr>
        <w:t>%。其中：</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“公路水路运输”202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2925.10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52.53</w:t>
      </w:r>
      <w:r>
        <w:rPr>
          <w:rFonts w:hint="eastAsia" w:ascii="仿宋_GB2312" w:eastAsia="仿宋_GB2312"/>
          <w:sz w:val="28"/>
          <w:szCs w:val="28"/>
        </w:rPr>
        <w:t>万元，增长</w:t>
      </w:r>
      <w:r>
        <w:rPr>
          <w:rFonts w:hint="eastAsia" w:ascii="仿宋_GB2312" w:eastAsia="仿宋_GB2312"/>
          <w:sz w:val="28"/>
          <w:szCs w:val="28"/>
          <w:lang w:val="en-US" w:eastAsia="zh-CN"/>
        </w:rPr>
        <w:t>1.83</w:t>
      </w:r>
      <w:r>
        <w:rPr>
          <w:rFonts w:hint="eastAsia" w:ascii="仿宋_GB2312" w:eastAsia="仿宋_GB2312"/>
          <w:sz w:val="28"/>
          <w:szCs w:val="28"/>
        </w:rPr>
        <w:t>%。主要原因：</w:t>
      </w:r>
      <w:r>
        <w:rPr>
          <w:rFonts w:hint="eastAsia" w:ascii="仿宋_GB2312" w:eastAsia="仿宋_GB2312"/>
          <w:sz w:val="28"/>
          <w:szCs w:val="28"/>
          <w:lang w:eastAsia="zh-CN"/>
        </w:rPr>
        <w:t>新增</w:t>
      </w:r>
      <w:r>
        <w:rPr>
          <w:rFonts w:hint="eastAsia" w:ascii="仿宋_GB2312" w:eastAsia="仿宋_GB2312"/>
          <w:sz w:val="28"/>
          <w:szCs w:val="28"/>
        </w:rPr>
        <w:t>北京首都国际机场交通运行监测技术服务</w:t>
      </w:r>
      <w:r>
        <w:rPr>
          <w:rFonts w:hint="eastAsia" w:ascii="仿宋_GB2312" w:eastAsia="仿宋_GB2312"/>
          <w:sz w:val="28"/>
          <w:szCs w:val="28"/>
          <w:lang w:eastAsia="zh-CN"/>
        </w:rPr>
        <w:t>等一次性项目</w:t>
      </w:r>
      <w:r>
        <w:rPr>
          <w:rFonts w:hint="eastAsia" w:ascii="仿宋_GB2312" w:eastAsia="仿宋_GB2312"/>
          <w:sz w:val="28"/>
          <w:szCs w:val="28"/>
        </w:rPr>
        <w:t>。</w:t>
      </w:r>
    </w:p>
    <w:p>
      <w:pPr>
        <w:pStyle w:val="2"/>
        <w:numPr>
          <w:ilvl w:val="0"/>
          <w:numId w:val="1"/>
        </w:numPr>
        <w:ind w:left="630" w:leftChars="0" w:firstLine="0" w:firstLineChars="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“社会保障和就业支出”2023年度决算121.63万元，</w:t>
      </w:r>
      <w:r>
        <w:rPr>
          <w:rFonts w:hint="eastAsia" w:ascii="仿宋_GB2312" w:eastAsia="仿宋_GB2312"/>
          <w:sz w:val="28"/>
          <w:szCs w:val="28"/>
        </w:rPr>
        <w:t>比</w:t>
      </w:r>
      <w:r>
        <w:rPr>
          <w:rFonts w:hint="eastAsia" w:ascii="仿宋_GB2312" w:hAnsi="Times New Roman" w:eastAsia="仿宋_GB2312" w:cs="Times New Roman"/>
          <w:kern w:val="2"/>
          <w:sz w:val="28"/>
          <w:szCs w:val="28"/>
          <w:lang w:val="en-US" w:eastAsia="zh-CN" w:bidi="ar-SA"/>
        </w:rPr>
        <w:t>2023年度年初预算持平。其中：</w:t>
      </w:r>
    </w:p>
    <w:p>
      <w:pPr>
        <w:pStyle w:val="2"/>
        <w:numPr>
          <w:ilvl w:val="0"/>
          <w:numId w:val="0"/>
        </w:numPr>
        <w:ind w:left="630" w:leftChars="0"/>
        <w:rPr>
          <w:rFonts w:hint="default" w:ascii="仿宋_GB2312" w:hAnsi="Times New Roman" w:eastAsia="仿宋_GB2312" w:cs="Times New Roman"/>
          <w:color w:val="0000FF"/>
          <w:sz w:val="28"/>
          <w:szCs w:val="28"/>
          <w:lang w:val="en-US" w:eastAsia="zh-CN"/>
        </w:rPr>
      </w:pPr>
      <w:r>
        <w:rPr>
          <w:rFonts w:hint="eastAsia" w:ascii="仿宋_GB2312" w:hAnsi="Times New Roman" w:eastAsia="仿宋_GB2312" w:cs="Times New Roman"/>
          <w:kern w:val="2"/>
          <w:sz w:val="28"/>
          <w:szCs w:val="28"/>
          <w:lang w:val="en-US" w:eastAsia="zh-CN" w:bidi="ar-SA"/>
        </w:rPr>
        <w:t>“行政事业单位养老支出”202</w:t>
      </w:r>
      <w:r>
        <w:rPr>
          <w:rFonts w:hint="eastAsia" w:ascii="仿宋_GB2312" w:eastAsia="仿宋_GB2312" w:cs="Times New Roman"/>
          <w:kern w:val="2"/>
          <w:sz w:val="28"/>
          <w:szCs w:val="28"/>
          <w:lang w:val="en-US" w:eastAsia="zh-CN" w:bidi="ar-SA"/>
        </w:rPr>
        <w:t>3</w:t>
      </w:r>
      <w:r>
        <w:rPr>
          <w:rFonts w:hint="eastAsia" w:ascii="仿宋_GB2312" w:hAnsi="Times New Roman" w:eastAsia="仿宋_GB2312" w:cs="Times New Roman"/>
          <w:kern w:val="2"/>
          <w:sz w:val="28"/>
          <w:szCs w:val="28"/>
          <w:lang w:val="en-US" w:eastAsia="zh-CN" w:bidi="ar-SA"/>
        </w:rPr>
        <w:t>年度决算121.63万元，</w:t>
      </w:r>
      <w:r>
        <w:rPr>
          <w:rFonts w:hint="eastAsia" w:ascii="仿宋_GB2312" w:eastAsia="仿宋_GB2312"/>
          <w:sz w:val="28"/>
          <w:szCs w:val="28"/>
        </w:rPr>
        <w:t>比</w:t>
      </w:r>
      <w:r>
        <w:rPr>
          <w:rFonts w:hint="eastAsia" w:ascii="仿宋_GB2312" w:hAnsi="Times New Roman" w:eastAsia="仿宋_GB2312" w:cs="Times New Roman"/>
          <w:kern w:val="2"/>
          <w:sz w:val="28"/>
          <w:szCs w:val="28"/>
          <w:lang w:val="en-US" w:eastAsia="zh-CN" w:bidi="ar-SA"/>
        </w:rPr>
        <w:t>2023年度年初预算持平。</w:t>
      </w:r>
    </w:p>
    <w:p>
      <w:pPr>
        <w:numPr>
          <w:ilvl w:val="0"/>
          <w:numId w:val="1"/>
        </w:numPr>
        <w:tabs>
          <w:tab w:val="center" w:pos="6979"/>
        </w:tabs>
        <w:spacing w:line="580" w:lineRule="exact"/>
        <w:ind w:left="630" w:leftChars="0" w:firstLine="0" w:firstLineChars="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“卫生健康支出”2023年度决算70.61万元，</w:t>
      </w:r>
      <w:r>
        <w:rPr>
          <w:rFonts w:hint="eastAsia" w:ascii="仿宋_GB2312" w:eastAsia="仿宋_GB2312"/>
          <w:sz w:val="28"/>
          <w:szCs w:val="28"/>
        </w:rPr>
        <w:t>比</w:t>
      </w:r>
      <w:r>
        <w:rPr>
          <w:rFonts w:hint="eastAsia" w:ascii="仿宋_GB2312" w:hAnsi="Times New Roman" w:eastAsia="仿宋_GB2312" w:cs="Times New Roman"/>
          <w:kern w:val="2"/>
          <w:sz w:val="28"/>
          <w:szCs w:val="28"/>
          <w:lang w:val="en-US" w:eastAsia="zh-CN" w:bidi="ar-SA"/>
        </w:rPr>
        <w:t>2023年度年初预算持平。其中：</w:t>
      </w:r>
    </w:p>
    <w:p>
      <w:pPr>
        <w:pStyle w:val="2"/>
        <w:numPr>
          <w:ilvl w:val="0"/>
          <w:numId w:val="0"/>
        </w:numPr>
        <w:ind w:left="630" w:leftChars="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“事业单位医疗”202</w:t>
      </w:r>
      <w:r>
        <w:rPr>
          <w:rFonts w:hint="eastAsia" w:ascii="仿宋_GB2312" w:eastAsia="仿宋_GB2312" w:cs="Times New Roman"/>
          <w:kern w:val="2"/>
          <w:sz w:val="28"/>
          <w:szCs w:val="28"/>
          <w:lang w:val="en-US" w:eastAsia="zh-CN" w:bidi="ar-SA"/>
        </w:rPr>
        <w:t>3</w:t>
      </w:r>
      <w:r>
        <w:rPr>
          <w:rFonts w:hint="eastAsia" w:ascii="仿宋_GB2312" w:hAnsi="Times New Roman" w:eastAsia="仿宋_GB2312" w:cs="Times New Roman"/>
          <w:kern w:val="2"/>
          <w:sz w:val="28"/>
          <w:szCs w:val="28"/>
          <w:lang w:val="en-US" w:eastAsia="zh-CN" w:bidi="ar-SA"/>
        </w:rPr>
        <w:t>年度决算</w:t>
      </w:r>
      <w:r>
        <w:rPr>
          <w:rFonts w:hint="eastAsia" w:ascii="仿宋_GB2312" w:eastAsia="仿宋_GB2312" w:cs="Times New Roman"/>
          <w:kern w:val="2"/>
          <w:sz w:val="28"/>
          <w:szCs w:val="28"/>
          <w:lang w:val="en-US" w:eastAsia="zh-CN" w:bidi="ar-SA"/>
        </w:rPr>
        <w:t>70.61</w:t>
      </w:r>
      <w:r>
        <w:rPr>
          <w:rFonts w:hint="eastAsia" w:ascii="仿宋_GB2312" w:hAnsi="Times New Roman" w:eastAsia="仿宋_GB2312" w:cs="Times New Roman"/>
          <w:kern w:val="2"/>
          <w:sz w:val="28"/>
          <w:szCs w:val="28"/>
          <w:lang w:val="en-US" w:eastAsia="zh-CN" w:bidi="ar-SA"/>
        </w:rPr>
        <w:t>万元，</w:t>
      </w:r>
      <w:r>
        <w:rPr>
          <w:rFonts w:hint="eastAsia" w:ascii="仿宋_GB2312" w:eastAsia="仿宋_GB2312"/>
          <w:sz w:val="28"/>
          <w:szCs w:val="28"/>
        </w:rPr>
        <w:t>比</w:t>
      </w:r>
      <w:r>
        <w:rPr>
          <w:rFonts w:hint="eastAsia" w:ascii="仿宋_GB2312" w:hAnsi="Times New Roman" w:eastAsia="仿宋_GB2312" w:cs="Times New Roman"/>
          <w:kern w:val="2"/>
          <w:sz w:val="28"/>
          <w:szCs w:val="28"/>
          <w:lang w:val="en-US" w:eastAsia="zh-CN" w:bidi="ar-SA"/>
        </w:rPr>
        <w:t>2023年度年初预算持平。</w:t>
      </w:r>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本年度无此项支出。</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spacing w:line="580" w:lineRule="exact"/>
        <w:ind w:firstLine="548" w:firstLineChars="196"/>
        <w:rPr>
          <w:rFonts w:hint="eastAsia" w:ascii="仿宋_GB2312" w:eastAsia="仿宋_GB2312"/>
          <w:sz w:val="32"/>
          <w:szCs w:val="32"/>
        </w:rPr>
      </w:pPr>
      <w:r>
        <w:rPr>
          <w:rFonts w:hint="eastAsia" w:ascii="仿宋_GB2312" w:hAnsi="Times New Roman" w:eastAsia="仿宋_GB2312" w:cs="Times New Roman"/>
          <w:sz w:val="28"/>
          <w:szCs w:val="28"/>
        </w:rPr>
        <w:t>本年度无此项经费</w:t>
      </w:r>
      <w:r>
        <w:rPr>
          <w:rFonts w:hint="eastAsia" w:ascii="仿宋_GB2312" w:eastAsia="仿宋_GB2312"/>
          <w:sz w:val="32"/>
          <w:szCs w:val="32"/>
        </w:rPr>
        <w:t>。</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2023年度使用一般公共预算财政拨款安排基本支出</w:t>
      </w:r>
      <w:r>
        <w:rPr>
          <w:rFonts w:ascii="仿宋_GB2312" w:eastAsia="仿宋_GB2312"/>
          <w:sz w:val="28"/>
          <w:szCs w:val="28"/>
        </w:rPr>
        <w:t>1094.14</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ind w:firstLine="537" w:firstLineChars="192"/>
        <w:rPr>
          <w:rFonts w:hint="eastAsia" w:ascii="仿宋_GB2312" w:eastAsia="仿宋_GB2312"/>
          <w:sz w:val="28"/>
          <w:szCs w:val="28"/>
          <w:lang w:val="en-US" w:eastAsia="zh-CN"/>
        </w:rPr>
      </w:pPr>
      <w:r>
        <w:rPr>
          <w:rFonts w:hint="eastAsia" w:ascii="仿宋_GB2312" w:eastAsia="仿宋_GB2312"/>
          <w:sz w:val="28"/>
          <w:szCs w:val="28"/>
          <w:lang w:val="en-US" w:eastAsia="zh-CN"/>
        </w:rPr>
        <w:t>本年度无此项支出。</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不属于机关运行经费统计范围。</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2023年度政府采购支出总额</w:t>
      </w:r>
      <w:r>
        <w:rPr>
          <w:rFonts w:ascii="仿宋_GB2312" w:eastAsia="仿宋_GB2312"/>
          <w:sz w:val="28"/>
          <w:szCs w:val="28"/>
        </w:rPr>
        <w:t>2144.66</w:t>
      </w:r>
      <w:r>
        <w:rPr>
          <w:rFonts w:hint="eastAsia" w:ascii="仿宋_GB2312" w:eastAsia="仿宋_GB2312"/>
          <w:sz w:val="28"/>
          <w:szCs w:val="28"/>
        </w:rPr>
        <w:t>万元，其中：政府采购货物支出</w:t>
      </w:r>
      <w:r>
        <w:rPr>
          <w:rFonts w:ascii="仿宋_GB2312" w:eastAsia="仿宋_GB2312"/>
          <w:sz w:val="28"/>
          <w:szCs w:val="28"/>
        </w:rPr>
        <w:t>1303.99</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840.67</w:t>
      </w:r>
      <w:r>
        <w:rPr>
          <w:rFonts w:hint="eastAsia" w:ascii="仿宋_GB2312" w:eastAsia="仿宋_GB2312"/>
          <w:sz w:val="28"/>
          <w:szCs w:val="28"/>
        </w:rPr>
        <w:t>万元。授予中小企业合同金额</w:t>
      </w:r>
      <w:r>
        <w:rPr>
          <w:rFonts w:ascii="仿宋_GB2312" w:eastAsia="仿宋_GB2312"/>
          <w:sz w:val="28"/>
          <w:szCs w:val="28"/>
        </w:rPr>
        <w:t>899.46</w:t>
      </w:r>
      <w:r>
        <w:rPr>
          <w:rFonts w:hint="eastAsia" w:ascii="仿宋_GB2312" w:eastAsia="仿宋_GB2312"/>
          <w:sz w:val="28"/>
          <w:szCs w:val="28"/>
        </w:rPr>
        <w:t>万元，占政府采购支出总额的</w:t>
      </w:r>
      <w:r>
        <w:rPr>
          <w:rFonts w:hint="eastAsia" w:ascii="仿宋_GB2312" w:eastAsia="仿宋_GB2312"/>
          <w:sz w:val="28"/>
          <w:szCs w:val="28"/>
          <w:lang w:eastAsia="zh-CN"/>
        </w:rPr>
        <w:t>42</w:t>
      </w:r>
      <w:r>
        <w:rPr>
          <w:rFonts w:hint="eastAsia" w:ascii="仿宋_GB2312" w:eastAsia="仿宋_GB2312"/>
          <w:sz w:val="28"/>
          <w:szCs w:val="28"/>
        </w:rPr>
        <w:t>%，其中：授予小微企业合同金额</w:t>
      </w:r>
      <w:r>
        <w:rPr>
          <w:rFonts w:ascii="仿宋_GB2312" w:eastAsia="仿宋_GB2312"/>
          <w:sz w:val="28"/>
          <w:szCs w:val="28"/>
        </w:rPr>
        <w:t>423.72</w:t>
      </w:r>
      <w:r>
        <w:rPr>
          <w:rFonts w:hint="eastAsia" w:ascii="仿宋_GB2312" w:eastAsia="仿宋_GB2312"/>
          <w:sz w:val="28"/>
          <w:szCs w:val="28"/>
        </w:rPr>
        <w:t>万元，占政府采购支出总额的</w:t>
      </w:r>
      <w:r>
        <w:rPr>
          <w:rFonts w:hint="eastAsia" w:ascii="仿宋_GB2312" w:eastAsia="仿宋_GB2312"/>
          <w:sz w:val="28"/>
          <w:szCs w:val="28"/>
          <w:lang w:eastAsia="zh-CN"/>
        </w:rPr>
        <w:t>20</w:t>
      </w:r>
      <w:r>
        <w:rPr>
          <w:rFonts w:hint="eastAsia" w:ascii="仿宋_GB2312" w:eastAsia="仿宋_GB2312"/>
          <w:sz w:val="28"/>
          <w:szCs w:val="28"/>
        </w:rPr>
        <w:t>%。</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2023年度新购置车辆</w:t>
      </w:r>
      <w:r>
        <w:rPr>
          <w:rFonts w:hint="default" w:ascii="仿宋_GB2312" w:eastAsia="仿宋_GB2312"/>
          <w:sz w:val="28"/>
          <w:szCs w:val="28"/>
          <w:lang w:val="en"/>
        </w:rPr>
        <w:t>0</w:t>
      </w:r>
      <w:r>
        <w:rPr>
          <w:rFonts w:hint="eastAsia" w:ascii="仿宋_GB2312" w:eastAsia="仿宋_GB2312"/>
          <w:sz w:val="28"/>
          <w:szCs w:val="28"/>
        </w:rPr>
        <w:t>台，共计</w:t>
      </w:r>
      <w:r>
        <w:rPr>
          <w:rFonts w:hint="default" w:ascii="仿宋_GB2312" w:eastAsia="仿宋_GB2312"/>
          <w:sz w:val="28"/>
          <w:szCs w:val="28"/>
          <w:lang w:val="en"/>
        </w:rPr>
        <w:t>0</w:t>
      </w:r>
      <w:r>
        <w:rPr>
          <w:rFonts w:hint="eastAsia" w:ascii="仿宋_GB2312" w:eastAsia="仿宋_GB2312"/>
          <w:sz w:val="28"/>
          <w:szCs w:val="28"/>
        </w:rPr>
        <w:t>万元；新购置单位价值100万元（含）以上的设备</w:t>
      </w:r>
      <w:r>
        <w:rPr>
          <w:rFonts w:hint="default" w:ascii="仿宋_GB2312" w:eastAsia="仿宋_GB2312"/>
          <w:sz w:val="28"/>
          <w:szCs w:val="28"/>
          <w:lang w:val="en"/>
        </w:rPr>
        <w:t>0</w:t>
      </w:r>
      <w:r>
        <w:rPr>
          <w:rFonts w:hint="eastAsia" w:ascii="仿宋_GB2312" w:eastAsia="仿宋_GB2312"/>
          <w:sz w:val="28"/>
          <w:szCs w:val="28"/>
        </w:rPr>
        <w:t>台（套），共计</w:t>
      </w:r>
      <w:r>
        <w:rPr>
          <w:rFonts w:hint="default" w:ascii="仿宋_GB2312" w:eastAsia="仿宋_GB2312"/>
          <w:sz w:val="28"/>
          <w:szCs w:val="28"/>
          <w:lang w:val="en"/>
        </w:rPr>
        <w:t>0</w:t>
      </w:r>
      <w:r>
        <w:rPr>
          <w:rFonts w:hint="eastAsia" w:ascii="仿宋_GB2312" w:eastAsia="仿宋_GB2312"/>
          <w:sz w:val="28"/>
          <w:szCs w:val="28"/>
        </w:rPr>
        <w:t>万元。截至12月31日，</w:t>
      </w:r>
      <w:r>
        <w:rPr>
          <w:rFonts w:hint="eastAsia" w:ascii="仿宋_GB2312" w:hAnsi="Times New Roman" w:eastAsia="仿宋_GB2312" w:cs="Times New Roman"/>
          <w:kern w:val="2"/>
          <w:sz w:val="28"/>
          <w:szCs w:val="28"/>
          <w:lang w:val="en-US" w:eastAsia="zh-CN" w:bidi="ar-SA"/>
        </w:rPr>
        <w:t>北京市交通运行监测调度中心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2023年度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ascii="仿宋_GB2312" w:eastAsia="仿宋_GB2312"/>
          <w:sz w:val="28"/>
          <w:szCs w:val="28"/>
        </w:rPr>
      </w:pPr>
      <w:r>
        <w:rPr>
          <w:rFonts w:hint="eastAsia" w:ascii="仿宋_GB2312" w:eastAsia="仿宋_GB2312"/>
          <w:sz w:val="28"/>
          <w:szCs w:val="28"/>
        </w:rPr>
        <w:t>7.社会保障和就业支出（类）行政事业单位养老支出（款）机关事业单位基本养老保险缴费支出（项）：反映机关事业单位实施养老保险制度由单位实际缴纳的基本养老保险支出。</w:t>
      </w:r>
    </w:p>
    <w:p>
      <w:pPr>
        <w:ind w:firstLine="420" w:firstLineChars="150"/>
        <w:rPr>
          <w:rFonts w:hint="eastAsia" w:ascii="仿宋_GB2312" w:eastAsia="仿宋_GB2312"/>
          <w:sz w:val="28"/>
          <w:szCs w:val="28"/>
        </w:rPr>
      </w:pP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社会保障和就业支出：反映政府在社会保障与就业方面的支出。</w:t>
      </w:r>
    </w:p>
    <w:p>
      <w:pPr>
        <w:ind w:firstLine="420" w:firstLineChars="150"/>
        <w:rPr>
          <w:rFonts w:ascii="仿宋_GB2312" w:eastAsia="仿宋_GB2312"/>
          <w:sz w:val="28"/>
          <w:szCs w:val="28"/>
        </w:rPr>
      </w:pPr>
      <w:r>
        <w:rPr>
          <w:rFonts w:hint="eastAsia" w:ascii="仿宋_GB2312" w:eastAsia="仿宋_GB2312"/>
          <w:sz w:val="28"/>
          <w:szCs w:val="28"/>
        </w:rPr>
        <w:t>8.卫生健康支出（类）行政事业单位医疗（款）事业单位医疗（项）：反映财政部门安排的事业单位基本医疗保险缴费经费，未参加医疗保险的事业单位的公费医疗经费，按照国际规定享受离休人员待遇的医疗经费。</w:t>
      </w:r>
    </w:p>
    <w:p>
      <w:pPr>
        <w:ind w:firstLine="420" w:firstLineChars="150"/>
        <w:rPr>
          <w:rFonts w:ascii="仿宋_GB2312" w:eastAsia="仿宋_GB2312"/>
          <w:sz w:val="28"/>
          <w:szCs w:val="28"/>
        </w:rPr>
      </w:pPr>
      <w:r>
        <w:rPr>
          <w:rFonts w:hint="eastAsia" w:ascii="仿宋_GB2312" w:eastAsia="仿宋_GB2312"/>
          <w:sz w:val="28"/>
          <w:szCs w:val="28"/>
        </w:rPr>
        <w:t>9.交通运输支出（类）公路水路运输（款）其他公路水路运输支出（项）：反映出上述项目以外其他用于公路水路运输方面的支出。</w:t>
      </w:r>
    </w:p>
    <w:p>
      <w:pPr>
        <w:rPr>
          <w:rFonts w:ascii="仿宋_GB2312" w:eastAsia="仿宋_GB2312"/>
          <w:sz w:val="28"/>
          <w:szCs w:val="28"/>
        </w:rPr>
      </w:pPr>
    </w:p>
    <w:p>
      <w:pPr>
        <w:ind w:firstLine="632" w:firstLineChars="200"/>
        <w:rPr>
          <w:rFonts w:ascii="仿宋_GB2312" w:eastAsia="仿宋_GB2312"/>
          <w:b/>
          <w:color w:val="000000"/>
          <w:spacing w:val="-2"/>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r>
        <w:rPr>
          <w:rFonts w:hint="eastAsia" w:ascii="黑体" w:eastAsia="黑体"/>
          <w:sz w:val="32"/>
          <w:szCs w:val="32"/>
        </w:rPr>
        <w:t>第四部分  2023年度部门绩效评价情况</w:t>
      </w:r>
    </w:p>
    <w:p>
      <w:pPr>
        <w:ind w:firstLine="560" w:firstLineChars="200"/>
        <w:rPr>
          <w:rFonts w:ascii="黑体" w:eastAsia="黑体"/>
          <w:sz w:val="28"/>
          <w:szCs w:val="28"/>
          <w:highlight w:val="yellow"/>
        </w:rPr>
      </w:pPr>
    </w:p>
    <w:p>
      <w:p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仿宋">
    <w:panose1 w:val="02010609060101010101"/>
    <w:charset w:val="86"/>
    <w:family w:val="modern"/>
    <w:pitch w:val="default"/>
    <w:sig w:usb0="800002BF" w:usb1="38CF7CFA" w:usb2="00000016" w:usb3="00000000" w:csb0="00040001"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D56DF0"/>
    <w:multiLevelType w:val="singleLevel"/>
    <w:tmpl w:val="F3D56DF0"/>
    <w:lvl w:ilvl="0" w:tentative="0">
      <w:start w:val="2"/>
      <w:numFmt w:val="decimal"/>
      <w:suff w:val="nothing"/>
      <w:lvlText w:val="%1、"/>
      <w:lvlJc w:val="left"/>
      <w:pPr>
        <w:ind w:left="63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wMTNkNzRkOGQ3ZDg5YTBkMDAwNTJiNjc4NWVlMjc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F8E2C57"/>
    <w:rsid w:val="1059665E"/>
    <w:rsid w:val="10AC13BA"/>
    <w:rsid w:val="1AEC0734"/>
    <w:rsid w:val="1DEF20B0"/>
    <w:rsid w:val="214243FA"/>
    <w:rsid w:val="21AD613C"/>
    <w:rsid w:val="257A14F5"/>
    <w:rsid w:val="27196C26"/>
    <w:rsid w:val="29EF086F"/>
    <w:rsid w:val="2EFFE297"/>
    <w:rsid w:val="301437CA"/>
    <w:rsid w:val="34DD0473"/>
    <w:rsid w:val="433E495C"/>
    <w:rsid w:val="4AC27CB3"/>
    <w:rsid w:val="4BF72BEF"/>
    <w:rsid w:val="51DB3C59"/>
    <w:rsid w:val="550C0952"/>
    <w:rsid w:val="55762E42"/>
    <w:rsid w:val="57A7B272"/>
    <w:rsid w:val="58470068"/>
    <w:rsid w:val="5A1720F9"/>
    <w:rsid w:val="5B9C37C2"/>
    <w:rsid w:val="5BA7C654"/>
    <w:rsid w:val="64C0607C"/>
    <w:rsid w:val="676F09E1"/>
    <w:rsid w:val="7A7F1C49"/>
    <w:rsid w:val="7B5B7AE6"/>
    <w:rsid w:val="7BA7071E"/>
    <w:rsid w:val="7BDF6DA8"/>
    <w:rsid w:val="7C7EDC1A"/>
    <w:rsid w:val="7CCED98D"/>
    <w:rsid w:val="7D08410F"/>
    <w:rsid w:val="7DB96DED"/>
    <w:rsid w:val="7DD3AD81"/>
    <w:rsid w:val="7F7FE70F"/>
    <w:rsid w:val="7FFF772F"/>
    <w:rsid w:val="95F35EF6"/>
    <w:rsid w:val="9BFFD860"/>
    <w:rsid w:val="AC5F73DE"/>
    <w:rsid w:val="B5DDD2C8"/>
    <w:rsid w:val="B9DFABD9"/>
    <w:rsid w:val="BB7962A3"/>
    <w:rsid w:val="BC0D83FC"/>
    <w:rsid w:val="BEBD139F"/>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false"/>
    </c:title>
    <c:autoTitleDeleted val="false"/>
    <c:plotArea>
      <c:layout/>
      <c:pieChart>
        <c:varyColors val="true"/>
        <c:ser>
          <c:idx val="0"/>
          <c:order val="0"/>
          <c:tx>
            <c:strRef>
              <c:f>Sheet1!$B$1</c:f>
              <c:strCache>
                <c:ptCount val="1"/>
                <c:pt idx="0">
                  <c:v>收入</c:v>
                </c:pt>
              </c:strCache>
            </c:strRef>
          </c:tx>
          <c:explosion val="0"/>
          <c:dPt>
            <c:idx val="0"/>
            <c:bubble3D val="false"/>
          </c:dPt>
          <c:dPt>
            <c:idx val="1"/>
            <c:bubble3D val="false"/>
          </c:dPt>
          <c:dPt>
            <c:idx val="2"/>
            <c:bubble3D val="false"/>
          </c:dPt>
          <c:dPt>
            <c:idx val="3"/>
            <c:bubble3D val="false"/>
          </c:dPt>
          <c:dPt>
            <c:idx val="4"/>
            <c:bubble3D val="false"/>
          </c:dPt>
          <c:dPt>
            <c:idx val="5"/>
            <c:bubble3D val="false"/>
          </c:dPt>
          <c:dLbls>
            <c:delete val="true"/>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3152.3</c:v>
                </c:pt>
                <c:pt idx="1">
                  <c:v>0</c:v>
                </c:pt>
                <c:pt idx="2">
                  <c:v>0</c:v>
                </c:pt>
                <c:pt idx="3">
                  <c:v>0</c:v>
                </c:pt>
                <c:pt idx="4">
                  <c:v>0</c:v>
                </c:pt>
                <c:pt idx="5">
                  <c:v>0.15</c:v>
                </c:pt>
              </c:numCache>
            </c:numRef>
          </c:val>
        </c:ser>
        <c:dLbls>
          <c:showLegendKey val="false"/>
          <c:showVal val="false"/>
          <c:showCatName val="false"/>
          <c:showSerName val="false"/>
          <c:showPercent val="false"/>
          <c:showBubbleSize val="false"/>
          <c:showLeaderLines val="true"/>
        </c:dLbls>
        <c:firstSliceAng val="0"/>
      </c:pieChart>
    </c:plotArea>
    <c:legend>
      <c:legendPos val="r"/>
      <c:layout/>
      <c:overlay val="false"/>
      <c:txPr>
        <a:bodyPr rot="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legend>
    <c:plotVisOnly val="true"/>
    <c:dispBlanksAs val="gap"/>
    <c:showDLblsOverMax val="false"/>
  </c:chart>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0" i="0" u="none" strike="noStrike" kern="1200" spc="0" baseline="0">
                <a:solidFill>
                  <a:schemeClr val="bg1">
                    <a:lumMod val="50000"/>
                  </a:schemeClr>
                </a:solidFill>
                <a:latin typeface="+mn-lt"/>
                <a:ea typeface="+mn-ea"/>
                <a:cs typeface="+mn-cs"/>
              </a:defRPr>
            </a:pPr>
            <a:r>
              <a:rPr lang="zh-CN" altLang="en-US">
                <a:solidFill>
                  <a:schemeClr val="bg1">
                    <a:lumMod val="50000"/>
                  </a:schemeClr>
                </a:solidFill>
              </a:rPr>
              <a:t>支出决算</a:t>
            </a:r>
            <a:endParaRPr lang="zh-CN" altLang="en-US">
              <a:solidFill>
                <a:schemeClr val="bg1">
                  <a:lumMod val="50000"/>
                </a:schemeClr>
              </a:solidFill>
            </a:endParaRPr>
          </a:p>
        </c:rich>
      </c:tx>
      <c:layout/>
      <c:overlay val="false"/>
      <c:spPr>
        <a:noFill/>
        <a:ln>
          <a:noFill/>
        </a:ln>
        <a:effectLst/>
      </c:spPr>
    </c:title>
    <c:autoTitleDeleted val="false"/>
    <c:plotArea>
      <c:layout/>
      <c:pieChart>
        <c:varyColors val="true"/>
        <c:ser>
          <c:idx val="0"/>
          <c:order val="0"/>
          <c:tx>
            <c:strRef>
              <c:f>Sheet0!$B$1</c:f>
              <c:strCache>
                <c:ptCount val="1"/>
                <c:pt idx="0">
                  <c:v>支出</c:v>
                </c:pt>
              </c:strCache>
            </c:strRef>
          </c:tx>
          <c:explosion val="0"/>
          <c:dPt>
            <c:idx val="0"/>
            <c:bubble3D val="false"/>
            <c:spPr>
              <a:solidFill>
                <a:srgbClr val="4F81BD"/>
              </a:solidFill>
              <a:ln w="19050">
                <a:solidFill>
                  <a:srgbClr val="FFFFFF"/>
                </a:solidFill>
              </a:ln>
              <a:effectLst/>
            </c:spPr>
          </c:dPt>
          <c:dPt>
            <c:idx val="1"/>
            <c:bubble3D val="false"/>
            <c:spPr>
              <a:solidFill>
                <a:srgbClr val="C0504D"/>
              </a:solidFill>
              <a:ln w="19050">
                <a:solidFill>
                  <a:srgbClr val="FFFFFF"/>
                </a:solidFill>
              </a:ln>
              <a:effectLst/>
            </c:spPr>
          </c:dPt>
          <c:dPt>
            <c:idx val="2"/>
            <c:bubble3D val="false"/>
            <c:spPr>
              <a:solidFill>
                <a:srgbClr val="9BBB59"/>
              </a:solidFill>
              <a:ln w="19050">
                <a:solidFill>
                  <a:srgbClr val="FFFFFF"/>
                </a:solidFill>
              </a:ln>
              <a:effectLst/>
            </c:spPr>
          </c:dPt>
          <c:dPt>
            <c:idx val="3"/>
            <c:bubble3D val="false"/>
            <c:spPr>
              <a:solidFill>
                <a:srgbClr val="8064A2"/>
              </a:solidFill>
              <a:ln w="19050">
                <a:solidFill>
                  <a:srgbClr val="FFFFFF"/>
                </a:solidFill>
              </a:ln>
              <a:effectLst/>
            </c:spPr>
          </c:dPt>
          <c:dPt>
            <c:idx val="4"/>
            <c:bubble3D val="false"/>
            <c:spPr>
              <a:solidFill>
                <a:srgbClr val="4BACC6"/>
              </a:solidFill>
              <a:ln w="19050">
                <a:solidFill>
                  <a:srgbClr val="FFFFFF"/>
                </a:solidFill>
              </a:ln>
              <a:effectLst/>
            </c:spPr>
          </c:dPt>
          <c:dLbls>
            <c:dLbl>
              <c:idx val="2"/>
              <c:layout>
                <c:manualLayout>
                  <c:x val="-0.03900372940115"/>
                  <c:y val="0.0328271436107878"/>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dLbl>
              <c:idx val="4"/>
              <c:layout>
                <c:manualLayout>
                  <c:x val="0.0389887693586102"/>
                  <c:y val="0.0105112295100623"/>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rgbClr val="404040">
                        <a:lumMod val="75000"/>
                        <a:lumOff val="25000"/>
                      </a:srgbClr>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1094.14</c:v>
                </c:pt>
                <c:pt idx="1">
                  <c:v>3192.03</c:v>
                </c:pt>
                <c:pt idx="2">
                  <c:v>0</c:v>
                </c:pt>
                <c:pt idx="3">
                  <c:v>0</c:v>
                </c:pt>
                <c:pt idx="4">
                  <c:v>0</c:v>
                </c:pt>
              </c:numCache>
            </c:numRef>
          </c:val>
        </c:ser>
        <c:dLbls>
          <c:showLegendKey val="false"/>
          <c:showVal val="false"/>
          <c:showCatName val="false"/>
          <c:showSerName val="false"/>
          <c:showPercent val="true"/>
          <c:showBubbleSize val="false"/>
          <c:showLeaderLines val="true"/>
        </c:dLbls>
        <c:firstSliceAng val="0"/>
      </c:pieChart>
      <c:spPr>
        <a:noFill/>
        <a:ln>
          <a:noFill/>
        </a:ln>
        <a:effectLst/>
      </c:spPr>
    </c:plotArea>
    <c:legend>
      <c:legendPos val="b"/>
      <c:layout/>
      <c:overlay val="false"/>
      <c:spPr>
        <a:noFill/>
        <a:ln>
          <a:noFill/>
        </a:ln>
        <a:effectLst/>
      </c:spPr>
      <c:txPr>
        <a:bodyPr rot="0" spcFirstLastPara="0" vertOverflow="ellipsis" vert="horz" wrap="square" anchor="ctr" anchorCtr="true"/>
        <a:lstStyle/>
        <a:p>
          <a:pPr>
            <a:defRPr lang="zh-CN" sz="900" b="0" i="0" u="none" strike="noStrike" kern="1200" baseline="0">
              <a:solidFill>
                <a:srgbClr val="595959">
                  <a:lumMod val="65000"/>
                  <a:lumOff val="35000"/>
                </a:srgbClr>
              </a:solidFill>
              <a:latin typeface="+mn-lt"/>
              <a:ea typeface="+mn-ea"/>
              <a:cs typeface="+mn-cs"/>
            </a:defRPr>
          </a:pPr>
        </a:p>
      </c:txPr>
    </c:legend>
    <c:plotVisOnly val="true"/>
    <c:dispBlanksAs val="gap"/>
    <c:showDLblsOverMax val="false"/>
  </c:chart>
  <c:spPr>
    <a:solidFill>
      <a:srgbClr val="FFFFFF"/>
    </a:solidFill>
    <a:ln w="9525" cap="flat" cmpd="sng" algn="ctr">
      <a:solidFill>
        <a:srgbClr val="D9D9D9">
          <a:lumMod val="15000"/>
          <a:lumOff val="85000"/>
        </a:srgbClr>
      </a:solidFill>
      <a:prstDash val="solid"/>
      <a:round/>
    </a:ln>
    <a:effectLst/>
  </c:spPr>
  <c:txPr>
    <a:bodyPr/>
    <a:lstStyle/>
    <a:p>
      <a:pPr>
        <a:defRPr lang="zh-CN"/>
      </a:pPr>
    </a:p>
  </c:txPr>
  <c:externalData r:id="rId1">
    <c:autoUpdate val="false"/>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3817</Words>
  <Characters>6124</Characters>
  <Lines>44</Lines>
  <Paragraphs>12</Paragraphs>
  <TotalTime>5</TotalTime>
  <ScaleCrop>false</ScaleCrop>
  <LinksUpToDate>false</LinksUpToDate>
  <CharactersWithSpaces>6143</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2017-07-12T07:16:00Z</dcterms:created>
  <dc:creator>常程</dc:creator>
  <cp:lastModifiedBy>bmct-aktd</cp:lastModifiedBy>
  <cp:lastPrinted>2020-08-08T03:39:00Z</cp:lastPrinted>
  <dcterms:modified xsi:type="dcterms:W3CDTF">2024-08-16T09:34:32Z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EF7A3950445E47D39D0A6FA1540AF246_13</vt:lpwstr>
  </property>
</Properties>
</file>