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CDC" w:rsidRDefault="00C53CDC">
      <w:pPr>
        <w:jc w:val="center"/>
        <w:rPr>
          <w:rFonts w:ascii="仿宋_GB2312" w:eastAsia="仿宋_GB2312" w:hint="eastAsia"/>
          <w:b/>
          <w:sz w:val="32"/>
          <w:szCs w:val="32"/>
        </w:rPr>
      </w:pPr>
    </w:p>
    <w:p w:rsidR="00C53CDC" w:rsidRDefault="00C53CDC">
      <w:pPr>
        <w:jc w:val="center"/>
        <w:rPr>
          <w:rFonts w:ascii="黑体" w:eastAsia="黑体"/>
          <w:sz w:val="72"/>
          <w:szCs w:val="72"/>
        </w:rPr>
      </w:pPr>
    </w:p>
    <w:p w:rsidR="00C53CDC" w:rsidRDefault="00C53CDC">
      <w:pPr>
        <w:jc w:val="center"/>
        <w:rPr>
          <w:rFonts w:ascii="黑体" w:eastAsia="黑体"/>
          <w:sz w:val="72"/>
          <w:szCs w:val="72"/>
        </w:rPr>
      </w:pPr>
    </w:p>
    <w:p w:rsidR="00C53CDC" w:rsidRDefault="00C53CDC">
      <w:pPr>
        <w:jc w:val="center"/>
        <w:rPr>
          <w:rFonts w:ascii="黑体" w:eastAsia="黑体"/>
          <w:sz w:val="72"/>
          <w:szCs w:val="72"/>
        </w:rPr>
      </w:pPr>
    </w:p>
    <w:p w:rsidR="00C53CDC" w:rsidRDefault="00C53CDC">
      <w:pPr>
        <w:jc w:val="center"/>
        <w:rPr>
          <w:rFonts w:ascii="黑体" w:eastAsia="黑体"/>
          <w:sz w:val="72"/>
          <w:szCs w:val="72"/>
        </w:rPr>
      </w:pPr>
    </w:p>
    <w:p w:rsidR="00C53CDC" w:rsidRDefault="007859AF">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w:t>
      </w:r>
      <w:r>
        <w:rPr>
          <w:rFonts w:ascii="黑体" w:eastAsia="黑体" w:hint="eastAsia"/>
          <w:sz w:val="72"/>
          <w:szCs w:val="72"/>
        </w:rPr>
        <w:t>公开</w:t>
      </w:r>
    </w:p>
    <w:p w:rsidR="00C53CDC" w:rsidRDefault="00C53CDC">
      <w:pPr>
        <w:pStyle w:val="a0"/>
        <w:ind w:firstLine="1440"/>
        <w:rPr>
          <w:rFonts w:ascii="黑体" w:eastAsia="黑体"/>
          <w:sz w:val="72"/>
          <w:szCs w:val="72"/>
        </w:rPr>
      </w:pPr>
    </w:p>
    <w:p w:rsidR="00C53CDC" w:rsidRDefault="007859AF">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北京市交通委员会延庆公路分局</w:t>
      </w:r>
    </w:p>
    <w:p w:rsidR="00C53CDC" w:rsidRDefault="00C53CDC">
      <w:pPr>
        <w:pStyle w:val="a0"/>
        <w:ind w:firstLine="420"/>
        <w:jc w:val="center"/>
      </w:pPr>
    </w:p>
    <w:p w:rsidR="00C53CDC" w:rsidRDefault="00C53CDC">
      <w:pPr>
        <w:jc w:val="center"/>
        <w:rPr>
          <w:rFonts w:ascii="黑体" w:eastAsia="黑体"/>
          <w:sz w:val="52"/>
          <w:szCs w:val="52"/>
        </w:rPr>
      </w:pPr>
    </w:p>
    <w:p w:rsidR="00C53CDC" w:rsidRDefault="00C53CDC">
      <w:pPr>
        <w:jc w:val="center"/>
        <w:rPr>
          <w:rFonts w:ascii="黑体" w:eastAsia="黑体"/>
          <w:sz w:val="52"/>
          <w:szCs w:val="52"/>
        </w:rPr>
      </w:pPr>
    </w:p>
    <w:p w:rsidR="00C53CDC" w:rsidRDefault="00C53CDC" w:rsidP="007B7D42">
      <w:pPr>
        <w:rPr>
          <w:rFonts w:ascii="黑体" w:eastAsia="黑体" w:hint="eastAsia"/>
          <w:sz w:val="32"/>
          <w:szCs w:val="32"/>
        </w:rPr>
      </w:pPr>
    </w:p>
    <w:p w:rsidR="00C53CDC" w:rsidRDefault="007859A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C53CDC" w:rsidRDefault="00C53CDC">
      <w:pPr>
        <w:spacing w:line="500" w:lineRule="exact"/>
        <w:ind w:firstLine="645"/>
        <w:jc w:val="center"/>
        <w:rPr>
          <w:rFonts w:ascii="宋体" w:hAnsi="宋体" w:cs="宋体"/>
          <w:b/>
          <w:bCs/>
          <w:kern w:val="0"/>
          <w:sz w:val="36"/>
          <w:szCs w:val="36"/>
        </w:rPr>
      </w:pPr>
    </w:p>
    <w:p w:rsidR="00C53CDC" w:rsidRDefault="007859A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年度部门决算报表</w:t>
      </w:r>
    </w:p>
    <w:p w:rsidR="00C53CDC" w:rsidRDefault="007859A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C53CDC" w:rsidRDefault="007859A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C53CDC" w:rsidRDefault="007859A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年度部门决算说明</w:t>
      </w:r>
    </w:p>
    <w:p w:rsidR="00C53CDC" w:rsidRDefault="007859A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C53CDC" w:rsidRDefault="007859A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年度部门绩效评价情况</w:t>
      </w:r>
    </w:p>
    <w:p w:rsidR="00C53CDC" w:rsidRDefault="00C53CDC">
      <w:pPr>
        <w:tabs>
          <w:tab w:val="center" w:pos="6979"/>
        </w:tabs>
        <w:spacing w:beforeLines="50" w:before="156" w:afterLines="50" w:after="156"/>
        <w:jc w:val="center"/>
        <w:rPr>
          <w:rFonts w:ascii="宋体" w:hAnsi="宋体" w:cs="宋体"/>
          <w:b/>
          <w:bCs/>
          <w:spacing w:val="40"/>
          <w:kern w:val="0"/>
          <w:sz w:val="32"/>
          <w:szCs w:val="32"/>
        </w:rPr>
      </w:pPr>
    </w:p>
    <w:p w:rsidR="00C53CDC" w:rsidRDefault="00C53CDC">
      <w:pPr>
        <w:tabs>
          <w:tab w:val="center" w:pos="6979"/>
        </w:tabs>
        <w:spacing w:beforeLines="50" w:before="156" w:afterLines="50" w:after="156"/>
        <w:jc w:val="center"/>
        <w:rPr>
          <w:rFonts w:ascii="宋体" w:hAnsi="宋体" w:cs="宋体"/>
          <w:b/>
          <w:bCs/>
          <w:spacing w:val="40"/>
          <w:kern w:val="0"/>
          <w:sz w:val="32"/>
          <w:szCs w:val="32"/>
        </w:rPr>
      </w:pPr>
    </w:p>
    <w:p w:rsidR="00C53CDC" w:rsidRDefault="00C53CDC">
      <w:pPr>
        <w:tabs>
          <w:tab w:val="center" w:pos="6979"/>
        </w:tabs>
        <w:spacing w:beforeLines="50" w:before="156" w:afterLines="50" w:after="156"/>
        <w:jc w:val="center"/>
        <w:rPr>
          <w:rFonts w:ascii="宋体" w:hAnsi="宋体" w:cs="宋体"/>
          <w:b/>
          <w:bCs/>
          <w:spacing w:val="40"/>
          <w:kern w:val="0"/>
          <w:sz w:val="32"/>
          <w:szCs w:val="32"/>
        </w:rPr>
      </w:pPr>
    </w:p>
    <w:p w:rsidR="00C53CDC" w:rsidRDefault="00C53CDC">
      <w:pPr>
        <w:tabs>
          <w:tab w:val="center" w:pos="6979"/>
        </w:tabs>
        <w:spacing w:beforeLines="50" w:before="156" w:afterLines="50" w:after="156"/>
        <w:jc w:val="center"/>
        <w:rPr>
          <w:rFonts w:ascii="宋体" w:hAnsi="宋体" w:cs="宋体"/>
          <w:b/>
          <w:bCs/>
          <w:spacing w:val="40"/>
          <w:kern w:val="0"/>
          <w:sz w:val="32"/>
          <w:szCs w:val="32"/>
        </w:rPr>
      </w:pPr>
    </w:p>
    <w:p w:rsidR="00C53CDC" w:rsidRDefault="00C53CDC">
      <w:pPr>
        <w:tabs>
          <w:tab w:val="center" w:pos="6979"/>
        </w:tabs>
        <w:spacing w:beforeLines="50" w:before="156" w:afterLines="50" w:after="156"/>
        <w:jc w:val="center"/>
        <w:rPr>
          <w:rFonts w:ascii="宋体" w:hAnsi="宋体" w:cs="宋体"/>
          <w:b/>
          <w:bCs/>
          <w:spacing w:val="40"/>
          <w:kern w:val="0"/>
          <w:sz w:val="32"/>
          <w:szCs w:val="32"/>
        </w:rPr>
      </w:pPr>
    </w:p>
    <w:p w:rsidR="00C53CDC" w:rsidRDefault="007859A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年度部门决算报表</w:t>
      </w:r>
    </w:p>
    <w:p w:rsidR="00C53CDC" w:rsidRDefault="007859AF">
      <w:pPr>
        <w:pStyle w:val="2"/>
        <w:rPr>
          <w:b w:val="0"/>
          <w:bCs w:val="0"/>
        </w:rPr>
        <w:sectPr w:rsidR="00C53CDC">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C53CDC" w:rsidRDefault="007859A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rsidR="00C53CDC" w:rsidRDefault="007859A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w:t>
      </w:r>
      <w:r>
        <w:rPr>
          <w:rFonts w:ascii="黑体" w:eastAsia="黑体" w:hint="eastAsia"/>
          <w:b/>
          <w:sz w:val="28"/>
          <w:szCs w:val="28"/>
        </w:rPr>
        <w:t>/</w:t>
      </w:r>
      <w:r>
        <w:rPr>
          <w:rFonts w:ascii="黑体" w:eastAsia="黑体" w:hint="eastAsia"/>
          <w:b/>
          <w:sz w:val="28"/>
          <w:szCs w:val="28"/>
        </w:rPr>
        <w:t>单位基本情况</w:t>
      </w:r>
    </w:p>
    <w:p w:rsidR="00C53CDC" w:rsidRDefault="007859AF">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北京市交通委员会延庆公路分局下设11个内设机构，分别为：办公室、法制科（行政审批科）、规划计划科、工程管理科、养护管理科、路网服务与科技科、安全质量监管与应急科、乡村公路管理科、财务科、党群工作科、人事科。</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北京市交通委员会延庆公路分局无下属单位。</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北京市交通委员会延庆公路分局是市交通委派出机构，实行垂直管理体制，机构规格为正处级。</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北京市交通委员会延庆公路分局作为公路管理机构，负责本行政区域内公路行业管理工作，拟订公路建设和养护的规划、计划并组织实施，负责公路建设、养护质量安全等的监督管理，承担公路应急处置等工作，完成市交通委交办的其他任务。</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1.贯彻执行国家、本市关于公路行政管理方面的法律法规、规章和政策。参与拟订本市公路行业的规范性文件、政策措施及有关公路行业标准和技术规范。参与本市公路行业改革与发展中重大问题的调查研究。</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2.负责本行政区市管普通公路行政审批工作。负责本行政区公路管理领域事中事后监管工作。</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3.参与编制本行政区公路规划。参与本行政区建设项目交通影响评价审查。研究编制本行政区市管普通公路年度建设与养护建议计划，并组织实施。</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lastRenderedPageBreak/>
        <w:t>4.负责本行政区公路建设和养护的行业管理。负责市管普通公路建设和养护工程质量安全的监督管理。负责本行政区市管公路设施安全的监督管理。</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5.负责本行政区公路路网管理和运行监测工作。</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6.负责本行政区市管普通公路及其附属设施的应急管理。组织开展本行政区市管普通公路防汛抢险、铲冰除雪等工作。</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7.负责本行政区乡村公路建设与养护管理的行业指导。</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8.承担本单位</w:t>
      </w:r>
      <w:proofErr w:type="gramStart"/>
      <w:r>
        <w:rPr>
          <w:rFonts w:ascii="仿宋_GB2312" w:eastAsia="仿宋_GB2312" w:hint="eastAsia"/>
          <w:sz w:val="28"/>
          <w:szCs w:val="28"/>
        </w:rPr>
        <w:t>接诉即办</w:t>
      </w:r>
      <w:proofErr w:type="gramEnd"/>
      <w:r>
        <w:rPr>
          <w:rFonts w:ascii="仿宋_GB2312" w:eastAsia="仿宋_GB2312" w:hint="eastAsia"/>
          <w:sz w:val="28"/>
          <w:szCs w:val="28"/>
        </w:rPr>
        <w:t>工作。</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9.配合开展宣传报道工作。</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10.完成市交通委交办的其他任务。</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11.职能转变。</w:t>
      </w:r>
    </w:p>
    <w:p w:rsidR="00235D60" w:rsidRPr="00235D60" w:rsidRDefault="00235D60" w:rsidP="00235D60">
      <w:pPr>
        <w:pStyle w:val="a0"/>
        <w:ind w:firstLine="560"/>
        <w:rPr>
          <w:rFonts w:hint="eastAsia"/>
        </w:rPr>
      </w:pPr>
      <w:r>
        <w:rPr>
          <w:rFonts w:ascii="仿宋_GB2312" w:eastAsia="仿宋_GB2312" w:hint="eastAsia"/>
          <w:sz w:val="28"/>
          <w:szCs w:val="28"/>
        </w:rPr>
        <w:t>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w:t>
      </w:r>
      <w:r>
        <w:rPr>
          <w:rFonts w:ascii="仿宋_GB2312" w:eastAsia="仿宋_GB2312" w:hint="eastAsia"/>
          <w:sz w:val="28"/>
          <w:szCs w:val="28"/>
        </w:rPr>
        <w:lastRenderedPageBreak/>
        <w:t>行政区域交通运输综合执法队伍健全行政执法协作机制，注重培育交通文明，切实提升治理能力。</w:t>
      </w:r>
    </w:p>
    <w:p w:rsidR="00C53CDC" w:rsidRDefault="007859AF">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C53CDC" w:rsidRPr="00235D60" w:rsidRDefault="00235D60" w:rsidP="00235D60">
      <w:pPr>
        <w:tabs>
          <w:tab w:val="center" w:pos="6979"/>
        </w:tabs>
        <w:spacing w:line="580" w:lineRule="exact"/>
        <w:ind w:firstLineChars="200" w:firstLine="560"/>
        <w:rPr>
          <w:rFonts w:ascii="仿宋_GB2312" w:eastAsia="仿宋_GB2312" w:hint="eastAsia"/>
          <w:kern w:val="0"/>
          <w:sz w:val="28"/>
          <w:szCs w:val="28"/>
        </w:rPr>
      </w:pPr>
      <w:r>
        <w:rPr>
          <w:rFonts w:ascii="仿宋_GB2312" w:eastAsia="仿宋_GB2312" w:hint="eastAsia"/>
          <w:kern w:val="0"/>
          <w:sz w:val="28"/>
          <w:szCs w:val="28"/>
        </w:rPr>
        <w:t>北京市交通委员会延庆公路分局行政编制0人，实有人数0人；事业编制53人，实有人数50人；离退休人员157人，其中：离休0人，退休157人。</w:t>
      </w:r>
    </w:p>
    <w:p w:rsidR="00C53CDC" w:rsidRDefault="007859A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C53CDC" w:rsidRDefault="00235D6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83032.89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47786.08万元，增长135.58%。</w:t>
      </w:r>
    </w:p>
    <w:p w:rsidR="00C53CDC" w:rsidRDefault="007859A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35D60" w:rsidRDefault="00235D60" w:rsidP="00235D6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81935.31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48407.10万元，增长144.38%。</w:t>
      </w:r>
    </w:p>
    <w:p w:rsidR="00235D60" w:rsidRDefault="00235D60" w:rsidP="00235D60">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79862.64</w:t>
      </w:r>
      <w:r>
        <w:rPr>
          <w:rFonts w:ascii="仿宋_GB2312" w:eastAsia="仿宋_GB2312" w:hint="eastAsia"/>
          <w:sz w:val="28"/>
          <w:szCs w:val="28"/>
        </w:rPr>
        <w:t>万元，占收入合计的</w:t>
      </w:r>
      <w:r>
        <w:rPr>
          <w:rFonts w:ascii="仿宋_GB2312" w:eastAsia="仿宋_GB2312"/>
          <w:sz w:val="28"/>
          <w:szCs w:val="28"/>
        </w:rPr>
        <w:t>97.47</w:t>
      </w:r>
      <w:r>
        <w:rPr>
          <w:rFonts w:ascii="仿宋_GB2312" w:eastAsia="仿宋_GB2312" w:hint="eastAsia"/>
          <w:sz w:val="28"/>
          <w:szCs w:val="28"/>
        </w:rPr>
        <w:t>%。其中：一般公共预算财政拨款收入</w:t>
      </w:r>
      <w:r>
        <w:rPr>
          <w:rFonts w:ascii="仿宋_GB2312" w:eastAsia="仿宋_GB2312"/>
          <w:sz w:val="28"/>
          <w:szCs w:val="28"/>
        </w:rPr>
        <w:t>63862.64</w:t>
      </w:r>
      <w:r>
        <w:rPr>
          <w:rFonts w:ascii="仿宋_GB2312" w:eastAsia="仿宋_GB2312" w:hint="eastAsia"/>
          <w:sz w:val="28"/>
          <w:szCs w:val="28"/>
        </w:rPr>
        <w:t>万元，占收入合计的</w:t>
      </w:r>
      <w:r>
        <w:rPr>
          <w:rFonts w:ascii="仿宋_GB2312" w:eastAsia="仿宋_GB2312"/>
          <w:sz w:val="28"/>
          <w:szCs w:val="28"/>
        </w:rPr>
        <w:t>77.94</w:t>
      </w:r>
      <w:r>
        <w:rPr>
          <w:rFonts w:ascii="仿宋_GB2312" w:eastAsia="仿宋_GB2312" w:hint="eastAsia"/>
          <w:sz w:val="28"/>
          <w:szCs w:val="28"/>
        </w:rPr>
        <w:t>%；政府性基金预算财政拨款收入</w:t>
      </w:r>
      <w:r>
        <w:rPr>
          <w:rFonts w:ascii="仿宋_GB2312" w:eastAsia="仿宋_GB2312"/>
          <w:sz w:val="28"/>
          <w:szCs w:val="28"/>
        </w:rPr>
        <w:t>16000</w:t>
      </w:r>
      <w:r>
        <w:rPr>
          <w:rFonts w:ascii="仿宋_GB2312" w:eastAsia="仿宋_GB2312" w:hint="eastAsia"/>
          <w:sz w:val="28"/>
          <w:szCs w:val="28"/>
        </w:rPr>
        <w:t>万元，占收入合计的</w:t>
      </w:r>
      <w:r>
        <w:rPr>
          <w:rFonts w:ascii="仿宋_GB2312" w:eastAsia="仿宋_GB2312"/>
          <w:sz w:val="28"/>
          <w:szCs w:val="28"/>
        </w:rPr>
        <w:t>19.5</w:t>
      </w:r>
      <w:r>
        <w:rPr>
          <w:rFonts w:ascii="仿宋_GB2312" w:eastAsia="仿宋_GB2312" w:hint="eastAsia"/>
          <w:sz w:val="28"/>
          <w:szCs w:val="28"/>
        </w:rPr>
        <w:t>3%；国有资本经营预算财政拨款收入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5D60" w:rsidRDefault="00235D60" w:rsidP="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5D60" w:rsidRDefault="00235D60" w:rsidP="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5D60" w:rsidRDefault="00235D60" w:rsidP="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5D60" w:rsidRDefault="00235D60" w:rsidP="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53CDC" w:rsidRPr="00235D60" w:rsidRDefault="00235D60" w:rsidP="00235D60">
      <w:pPr>
        <w:tabs>
          <w:tab w:val="center" w:pos="6979"/>
        </w:tabs>
        <w:spacing w:line="580" w:lineRule="exact"/>
        <w:ind w:firstLineChars="200" w:firstLine="560"/>
        <w:rPr>
          <w:rFonts w:ascii="仿宋_GB2312" w:eastAsia="仿宋_GB2312" w:hint="eastAsia"/>
          <w:sz w:val="28"/>
          <w:szCs w:val="28"/>
        </w:rPr>
      </w:pPr>
      <w:r>
        <w:rPr>
          <w:rFonts w:ascii="仿宋_GB2312" w:eastAsia="仿宋_GB2312" w:hint="eastAsia"/>
          <w:sz w:val="28"/>
          <w:szCs w:val="28"/>
        </w:rPr>
        <w:t>6.其他收入</w:t>
      </w:r>
      <w:r>
        <w:rPr>
          <w:rFonts w:ascii="仿宋_GB2312" w:eastAsia="仿宋_GB2312"/>
          <w:sz w:val="28"/>
          <w:szCs w:val="28"/>
        </w:rPr>
        <w:t>2072.67</w:t>
      </w:r>
      <w:r>
        <w:rPr>
          <w:rFonts w:ascii="仿宋_GB2312" w:eastAsia="仿宋_GB2312" w:hint="eastAsia"/>
          <w:sz w:val="28"/>
          <w:szCs w:val="28"/>
        </w:rPr>
        <w:t>万元，占收入合计的</w:t>
      </w:r>
      <w:r>
        <w:rPr>
          <w:rFonts w:ascii="仿宋_GB2312" w:eastAsia="仿宋_GB2312"/>
          <w:sz w:val="28"/>
          <w:szCs w:val="28"/>
        </w:rPr>
        <w:t>2.5</w:t>
      </w:r>
      <w:r>
        <w:rPr>
          <w:rFonts w:ascii="仿宋_GB2312" w:eastAsia="仿宋_GB2312" w:hint="eastAsia"/>
          <w:sz w:val="28"/>
          <w:szCs w:val="28"/>
        </w:rPr>
        <w:t>3%</w:t>
      </w:r>
      <w:r w:rsidR="007859AF">
        <w:rPr>
          <w:rFonts w:ascii="仿宋_GB2312" w:eastAsia="仿宋_GB2312" w:hint="eastAsia"/>
          <w:sz w:val="28"/>
          <w:szCs w:val="28"/>
        </w:rPr>
        <w:t>。</w:t>
      </w:r>
    </w:p>
    <w:p w:rsidR="00C53CDC" w:rsidRDefault="007859AF">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C53CDC" w:rsidRDefault="00235D60">
      <w:pPr>
        <w:pStyle w:val="a0"/>
        <w:ind w:firstLine="420"/>
        <w:jc w:val="center"/>
      </w:pPr>
      <w:r>
        <w:rPr>
          <w:noProof/>
        </w:rPr>
        <w:drawing>
          <wp:inline distT="0" distB="0" distL="114300" distR="114300" wp14:anchorId="594DC0C4" wp14:editId="16E8F4A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53CDC" w:rsidRDefault="007859A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53CDC" w:rsidRDefault="00235D6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50713.71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16626.28万元，增长48.78%，其中：基本支出</w:t>
      </w:r>
      <w:r>
        <w:rPr>
          <w:rFonts w:ascii="仿宋_GB2312" w:eastAsia="仿宋_GB2312"/>
          <w:sz w:val="28"/>
          <w:szCs w:val="28"/>
        </w:rPr>
        <w:t>1996.86</w:t>
      </w:r>
      <w:r>
        <w:rPr>
          <w:rFonts w:ascii="仿宋_GB2312" w:eastAsia="仿宋_GB2312" w:hint="eastAsia"/>
          <w:sz w:val="28"/>
          <w:szCs w:val="28"/>
        </w:rPr>
        <w:t>万元，占支出合计的</w:t>
      </w:r>
      <w:r>
        <w:rPr>
          <w:rFonts w:ascii="仿宋_GB2312" w:eastAsia="仿宋_GB2312"/>
          <w:sz w:val="28"/>
          <w:szCs w:val="28"/>
        </w:rPr>
        <w:t>3.9</w:t>
      </w:r>
      <w:r>
        <w:rPr>
          <w:rFonts w:ascii="仿宋_GB2312" w:eastAsia="仿宋_GB2312" w:hint="eastAsia"/>
          <w:sz w:val="28"/>
          <w:szCs w:val="28"/>
        </w:rPr>
        <w:t>4%；项目支出</w:t>
      </w:r>
      <w:r>
        <w:rPr>
          <w:rFonts w:ascii="仿宋_GB2312" w:eastAsia="仿宋_GB2312"/>
          <w:sz w:val="28"/>
          <w:szCs w:val="28"/>
        </w:rPr>
        <w:t>48716.8</w:t>
      </w:r>
      <w:r>
        <w:rPr>
          <w:rFonts w:ascii="仿宋_GB2312" w:eastAsia="仿宋_GB2312" w:hint="eastAsia"/>
          <w:sz w:val="28"/>
          <w:szCs w:val="28"/>
        </w:rPr>
        <w:t>5万元，占支出合计的</w:t>
      </w:r>
      <w:r>
        <w:rPr>
          <w:rFonts w:ascii="仿宋_GB2312" w:eastAsia="仿宋_GB2312"/>
          <w:sz w:val="28"/>
          <w:szCs w:val="28"/>
        </w:rPr>
        <w:t>96.06</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sidR="007859AF">
        <w:rPr>
          <w:rFonts w:ascii="仿宋_GB2312" w:eastAsia="仿宋_GB2312" w:hint="eastAsia"/>
          <w:sz w:val="28"/>
          <w:szCs w:val="28"/>
        </w:rPr>
        <w:t>。</w:t>
      </w:r>
    </w:p>
    <w:p w:rsidR="00C53CDC" w:rsidRDefault="007859AF">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C53CDC" w:rsidRDefault="00235D60">
      <w:pPr>
        <w:jc w:val="center"/>
        <w:rPr>
          <w:rFonts w:ascii="黑体" w:eastAsia="黑体"/>
          <w:b/>
          <w:sz w:val="28"/>
          <w:szCs w:val="28"/>
        </w:rPr>
      </w:pPr>
      <w:r>
        <w:rPr>
          <w:noProof/>
        </w:rPr>
        <w:drawing>
          <wp:inline distT="0" distB="0" distL="114300" distR="114300" wp14:anchorId="3273D49E" wp14:editId="20B06FF7">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3CDC" w:rsidRDefault="007859A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C53CDC" w:rsidRDefault="00235D6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79862.64</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52043.79万元，增长187.08%。主要原因：为保障工程顺利实施，南山环线三期新改建工程一般公共预算资金、固定资产投资补助均增加较多</w:t>
      </w:r>
      <w:r w:rsidR="007859AF">
        <w:rPr>
          <w:rFonts w:ascii="仿宋_GB2312" w:eastAsia="仿宋_GB2312" w:hint="eastAsia"/>
          <w:sz w:val="28"/>
          <w:szCs w:val="28"/>
        </w:rPr>
        <w:t>。</w:t>
      </w:r>
    </w:p>
    <w:p w:rsidR="00C53CDC" w:rsidRDefault="007859A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C53CDC" w:rsidRDefault="007859A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53CDC" w:rsidRDefault="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36891.84</w:t>
      </w:r>
      <w:r>
        <w:rPr>
          <w:rFonts w:ascii="仿宋_GB2312" w:eastAsia="仿宋_GB2312" w:hint="eastAsia"/>
          <w:sz w:val="28"/>
          <w:szCs w:val="28"/>
        </w:rPr>
        <w:t>万元，主要用于以下方面（按大类）：教育支出2.45万元，占本年财政拨款支出0.01%；社会保障和就业支出189万元，占本年财政拨款支出0.51%；卫生健康支出125.43万元，占本年</w:t>
      </w:r>
      <w:r>
        <w:rPr>
          <w:rFonts w:ascii="仿宋_GB2312" w:eastAsia="仿宋_GB2312" w:hint="eastAsia"/>
          <w:sz w:val="28"/>
          <w:szCs w:val="28"/>
        </w:rPr>
        <w:lastRenderedPageBreak/>
        <w:t>财政拨款支出0.34%；交通运输支出35792.76万元，占本年财政拨款支出97.02%；灾害防治及应急管理支出782.2万元，占本年财政拨款支出2.12%</w:t>
      </w:r>
      <w:r w:rsidR="007859AF">
        <w:rPr>
          <w:rFonts w:ascii="仿宋_GB2312" w:eastAsia="仿宋_GB2312" w:hint="eastAsia"/>
          <w:sz w:val="28"/>
          <w:szCs w:val="28"/>
        </w:rPr>
        <w:t>。</w:t>
      </w:r>
    </w:p>
    <w:p w:rsidR="00C53CDC" w:rsidRDefault="007859A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235D60" w:rsidRDefault="00235D60" w:rsidP="00235D6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1、“教育支出”（类）2023年度决算2.45万元，比2023年度年初预算减少0.05万元，下降1.87%。其中：</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“进修及培训”（款）2023年度决算2.45万元，比2023年度年初预算减少0.05万元，下降1.87%。主要原因：厉行勤俭节约，压缩一般公共预算支出。</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2、“社会保障和就业支出”(类)2023年度决算189万元，比2023年度年初预算减少21.23万元，下降10.1%。其中：</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189万元，比2023年度年初预算减少21.23万元，下降10.1%。主要原因：2023年预计调入一人（副处级）、新招录5人，因政策要求，一人未调入，实际招录3人，导致预决算有差距。</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3、“卫生健康支出”(类)2023年度决算125.43万元，比2023年度年初预算减少7.87万元，下降5.9%。其中：</w:t>
      </w:r>
    </w:p>
    <w:p w:rsidR="00235D60" w:rsidRDefault="00235D60" w:rsidP="00235D60">
      <w:pPr>
        <w:pStyle w:val="a0"/>
        <w:ind w:firstLine="560"/>
        <w:rPr>
          <w:rFonts w:ascii="仿宋_GB2312" w:eastAsia="仿宋_GB2312"/>
          <w:sz w:val="28"/>
          <w:szCs w:val="28"/>
        </w:rPr>
      </w:pPr>
      <w:r>
        <w:rPr>
          <w:rFonts w:ascii="仿宋_GB2312" w:eastAsia="仿宋_GB2312" w:hint="eastAsia"/>
          <w:sz w:val="28"/>
          <w:szCs w:val="28"/>
        </w:rPr>
        <w:t>“行政事业单位医疗”（款）2023年度决算125.43万元，比2023年度年初预算减少7.87万元，下降5.9%。主要原因：2023年预计调入一人（副处级）、新招录5人，因政策要求，一人未调入，实际招录3人，导致预决算有差距。</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4、“交通运输支出”(类)2023年度决算35792.76万元，比2023年度年初预算增加13504.64万元，增长60.59%。其中：</w:t>
      </w:r>
    </w:p>
    <w:p w:rsidR="00235D60" w:rsidRDefault="00235D60" w:rsidP="00235D60">
      <w:pPr>
        <w:pStyle w:val="a0"/>
        <w:ind w:firstLine="560"/>
        <w:rPr>
          <w:rFonts w:eastAsia="仿宋_GB2312"/>
        </w:rPr>
      </w:pPr>
      <w:r>
        <w:rPr>
          <w:rFonts w:ascii="仿宋_GB2312" w:eastAsia="仿宋_GB2312" w:hint="eastAsia"/>
          <w:sz w:val="28"/>
          <w:szCs w:val="28"/>
        </w:rPr>
        <w:t>“公路水路运输”（款）2023年度决算35792.76万元，比2023年度年初预算增加13504.64万元，增长60.59%。</w:t>
      </w:r>
      <w:r>
        <w:rPr>
          <w:rFonts w:ascii="仿宋_GB2312" w:eastAsia="仿宋_GB2312" w:hint="eastAsia"/>
          <w:sz w:val="28"/>
          <w:szCs w:val="28"/>
        </w:rPr>
        <w:lastRenderedPageBreak/>
        <w:t>主要原因：根据单位职责及工作需要，追加地质灾害防治工程、刘干路大修工程、以及经过工程决算评审的项目尾款等财政预算资金。</w:t>
      </w:r>
    </w:p>
    <w:p w:rsidR="00235D60"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5、“灾害防治及应急管理支出”(类)2023年度决算782.2万元，比2023年度年初预算增加782.2万元，增长100%。其中：</w:t>
      </w:r>
    </w:p>
    <w:p w:rsidR="00C53CDC"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“自然灾害救灾及恢复重建支出”（款）2023年度决算782.2万元，比2023年度年初预算增加782.2万元，增长100%。主要原因：因2023年“23.7”强降雨，使用该资金用于延下路道路救灾恢复重建工程</w:t>
      </w:r>
      <w:r w:rsidR="007859AF">
        <w:rPr>
          <w:rFonts w:ascii="仿宋_GB2312" w:eastAsia="仿宋_GB2312" w:hint="eastAsia"/>
          <w:sz w:val="28"/>
          <w:szCs w:val="28"/>
        </w:rPr>
        <w:t>。</w:t>
      </w:r>
    </w:p>
    <w:p w:rsidR="00C53CDC" w:rsidRDefault="007859A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C53CDC" w:rsidRDefault="007859A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C53CDC" w:rsidRDefault="00235D6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11552.09</w:t>
      </w:r>
      <w:r>
        <w:rPr>
          <w:rFonts w:ascii="仿宋_GB2312" w:eastAsia="仿宋_GB2312" w:hint="eastAsia"/>
          <w:sz w:val="28"/>
          <w:szCs w:val="28"/>
        </w:rPr>
        <w:t>万元，主要用于以下方面（按大类）：城乡社区支出11552.09万元，占本年财政拨款支出14.46%</w:t>
      </w:r>
      <w:r w:rsidR="007859AF">
        <w:rPr>
          <w:rFonts w:ascii="仿宋_GB2312" w:eastAsia="仿宋_GB2312" w:hint="eastAsia"/>
          <w:sz w:val="28"/>
          <w:szCs w:val="28"/>
        </w:rPr>
        <w:t>。</w:t>
      </w:r>
    </w:p>
    <w:p w:rsidR="00C53CDC" w:rsidRDefault="007859A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235D60" w:rsidRDefault="00235D60" w:rsidP="00235D60">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1、“城乡社区支出”（类）2023年度决算11552.09万元，比2023年度年初预算增加5552.09万元，增长92.53%。其中：</w:t>
      </w:r>
    </w:p>
    <w:p w:rsidR="00C53CDC" w:rsidRDefault="00235D60" w:rsidP="00235D60">
      <w:pPr>
        <w:spacing w:line="580" w:lineRule="exact"/>
        <w:ind w:firstLineChars="200" w:firstLine="560"/>
        <w:rPr>
          <w:rFonts w:ascii="仿宋_GB2312" w:eastAsia="仿宋_GB2312"/>
          <w:sz w:val="28"/>
          <w:szCs w:val="28"/>
        </w:rPr>
      </w:pPr>
      <w:r>
        <w:rPr>
          <w:rFonts w:ascii="仿宋_GB2312" w:eastAsia="仿宋_GB2312" w:hint="eastAsia"/>
          <w:sz w:val="28"/>
          <w:szCs w:val="28"/>
        </w:rPr>
        <w:t>“国有土地使用权出让收入安排的支出”（款）2023年度决算11552.09万元，比2023年度年初预算增加5552.09万元，增长92.53%。主要原因：根据施工进度，追加南山环线三期新改建工程固定资产投资补助</w:t>
      </w:r>
      <w:r w:rsidR="007859AF">
        <w:rPr>
          <w:rFonts w:ascii="仿宋_GB2312" w:eastAsia="仿宋_GB2312" w:hint="eastAsia"/>
          <w:sz w:val="28"/>
          <w:szCs w:val="28"/>
        </w:rPr>
        <w:t>。</w:t>
      </w:r>
    </w:p>
    <w:p w:rsidR="00C53CDC" w:rsidRDefault="007859A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C53CDC" w:rsidRDefault="007859AF">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C53CDC" w:rsidRDefault="007859AF">
      <w:pPr>
        <w:spacing w:line="580" w:lineRule="exact"/>
        <w:ind w:firstLineChars="196" w:firstLine="551"/>
        <w:rPr>
          <w:rFonts w:ascii="黑体" w:eastAsia="黑体"/>
          <w:sz w:val="28"/>
          <w:szCs w:val="28"/>
        </w:rPr>
      </w:pPr>
      <w:r>
        <w:rPr>
          <w:rFonts w:ascii="黑体" w:eastAsia="黑体" w:hint="eastAsia"/>
          <w:b/>
          <w:sz w:val="28"/>
          <w:szCs w:val="28"/>
        </w:rPr>
        <w:lastRenderedPageBreak/>
        <w:t>七、财政拨款基本支出决算情况说明</w:t>
      </w:r>
    </w:p>
    <w:p w:rsidR="00C53CDC" w:rsidRDefault="007859A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1996.86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w:t>
      </w:r>
      <w:r>
        <w:rPr>
          <w:rFonts w:ascii="仿宋_GB2312" w:eastAsia="仿宋_GB2312"/>
          <w:sz w:val="28"/>
          <w:szCs w:val="28"/>
        </w:rPr>
        <w:t>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53CDC" w:rsidRDefault="007859AF">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C53CDC" w:rsidRDefault="007859A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53CDC" w:rsidRDefault="00235D60">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Pr>
          <w:rFonts w:ascii="仿宋_GB2312" w:eastAsia="仿宋_GB2312" w:hint="eastAsia"/>
          <w:bCs/>
          <w:sz w:val="28"/>
          <w:szCs w:val="28"/>
        </w:rPr>
        <w:t>0</w:t>
      </w:r>
      <w:r>
        <w:rPr>
          <w:rFonts w:ascii="仿宋_GB2312" w:eastAsia="仿宋_GB2312" w:hint="eastAsia"/>
          <w:sz w:val="28"/>
          <w:szCs w:val="28"/>
        </w:rPr>
        <w:t>个行政单位、1个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0个</w:t>
      </w:r>
      <w:r>
        <w:rPr>
          <w:rFonts w:ascii="仿宋_GB2312" w:eastAsia="仿宋_GB2312" w:hint="eastAsia"/>
          <w:sz w:val="28"/>
          <w:szCs w:val="28"/>
        </w:rPr>
        <w:t>事业单位。2023年度“三公”经费财政拨款决算数</w:t>
      </w:r>
      <w:r>
        <w:rPr>
          <w:rFonts w:ascii="仿宋_GB2312" w:eastAsia="仿宋_GB2312"/>
          <w:sz w:val="28"/>
          <w:szCs w:val="28"/>
        </w:rPr>
        <w:t>7.33</w:t>
      </w:r>
      <w:r>
        <w:rPr>
          <w:rFonts w:ascii="仿宋_GB2312" w:eastAsia="仿宋_GB2312" w:hint="eastAsia"/>
          <w:sz w:val="28"/>
          <w:szCs w:val="28"/>
        </w:rPr>
        <w:t>万元，比2023年度“三公”经费财政拨款年初预算</w:t>
      </w:r>
      <w:r>
        <w:rPr>
          <w:rFonts w:ascii="仿宋_GB2312" w:eastAsia="仿宋_GB2312"/>
          <w:sz w:val="28"/>
          <w:szCs w:val="28"/>
        </w:rPr>
        <w:t>10</w:t>
      </w:r>
      <w:r>
        <w:rPr>
          <w:rFonts w:ascii="仿宋_GB2312" w:eastAsia="仿宋_GB2312" w:hint="eastAsia"/>
          <w:sz w:val="28"/>
          <w:szCs w:val="28"/>
        </w:rPr>
        <w:t>万元减少</w:t>
      </w:r>
      <w:r>
        <w:rPr>
          <w:rFonts w:ascii="仿宋_GB2312" w:eastAsia="仿宋_GB2312"/>
          <w:sz w:val="28"/>
          <w:szCs w:val="28"/>
        </w:rPr>
        <w:t>2.67</w:t>
      </w:r>
      <w:r>
        <w:rPr>
          <w:rFonts w:ascii="仿宋_GB2312" w:eastAsia="仿宋_GB2312" w:hint="eastAsia"/>
          <w:sz w:val="28"/>
          <w:szCs w:val="28"/>
        </w:rPr>
        <w:t>万元。其中</w:t>
      </w:r>
      <w:r w:rsidR="007859AF">
        <w:rPr>
          <w:rFonts w:ascii="仿宋_GB2312" w:eastAsia="仿宋_GB2312" w:hint="eastAsia"/>
          <w:sz w:val="28"/>
          <w:szCs w:val="28"/>
        </w:rPr>
        <w:t>：</w:t>
      </w:r>
    </w:p>
    <w:p w:rsidR="00C53CDC" w:rsidRDefault="007859AF">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sidR="00235D60">
        <w:rPr>
          <w:rFonts w:ascii="仿宋_GB2312" w:eastAsia="仿宋_GB2312" w:hint="eastAsia"/>
          <w:sz w:val="28"/>
          <w:szCs w:val="28"/>
        </w:rPr>
        <w:t>2023年度决算数</w:t>
      </w:r>
      <w:r w:rsidR="00235D60">
        <w:rPr>
          <w:rFonts w:ascii="仿宋_GB2312" w:eastAsia="仿宋_GB2312"/>
          <w:sz w:val="28"/>
          <w:szCs w:val="28"/>
        </w:rPr>
        <w:t>0</w:t>
      </w:r>
      <w:r w:rsidR="00235D60">
        <w:rPr>
          <w:rFonts w:ascii="仿宋_GB2312" w:eastAsia="仿宋_GB2312" w:hint="eastAsia"/>
          <w:sz w:val="28"/>
          <w:szCs w:val="28"/>
        </w:rPr>
        <w:t>万元，比2023年度年初预算数</w:t>
      </w:r>
      <w:r w:rsidR="00235D60">
        <w:rPr>
          <w:rFonts w:ascii="仿宋_GB2312" w:eastAsia="仿宋_GB2312"/>
          <w:sz w:val="28"/>
          <w:szCs w:val="28"/>
        </w:rPr>
        <w:t>0</w:t>
      </w:r>
      <w:r w:rsidR="00235D60">
        <w:rPr>
          <w:rFonts w:ascii="仿宋_GB2312" w:eastAsia="仿宋_GB2312" w:hint="eastAsia"/>
          <w:sz w:val="28"/>
          <w:szCs w:val="28"/>
        </w:rPr>
        <w:t>万元增加</w:t>
      </w:r>
      <w:r w:rsidR="00235D60">
        <w:rPr>
          <w:rFonts w:ascii="仿宋_GB2312" w:eastAsia="仿宋_GB2312"/>
          <w:sz w:val="28"/>
          <w:szCs w:val="28"/>
        </w:rPr>
        <w:t>0</w:t>
      </w:r>
      <w:r w:rsidR="00235D60">
        <w:rPr>
          <w:rFonts w:ascii="仿宋_GB2312" w:eastAsia="仿宋_GB2312" w:hint="eastAsia"/>
          <w:sz w:val="28"/>
          <w:szCs w:val="28"/>
        </w:rPr>
        <w:t>万元。主要原因：本单位无此项支出</w:t>
      </w:r>
      <w:r>
        <w:rPr>
          <w:rFonts w:ascii="仿宋_GB2312" w:eastAsia="仿宋_GB2312" w:hint="eastAsia"/>
          <w:sz w:val="28"/>
          <w:szCs w:val="28"/>
        </w:rPr>
        <w:t>。</w:t>
      </w:r>
    </w:p>
    <w:p w:rsidR="00C53CDC" w:rsidRDefault="007859AF">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sidR="00235D60">
        <w:rPr>
          <w:rFonts w:ascii="仿宋_GB2312" w:eastAsia="仿宋_GB2312" w:hint="eastAsia"/>
          <w:sz w:val="28"/>
          <w:szCs w:val="28"/>
        </w:rPr>
        <w:t>2023年度决算数</w:t>
      </w:r>
      <w:r w:rsidR="00235D60">
        <w:rPr>
          <w:rFonts w:ascii="仿宋_GB2312" w:eastAsia="仿宋_GB2312"/>
          <w:sz w:val="28"/>
          <w:szCs w:val="28"/>
        </w:rPr>
        <w:t>0</w:t>
      </w:r>
      <w:r w:rsidR="00235D60">
        <w:rPr>
          <w:rFonts w:ascii="仿宋_GB2312" w:eastAsia="仿宋_GB2312" w:hint="eastAsia"/>
          <w:sz w:val="28"/>
          <w:szCs w:val="28"/>
        </w:rPr>
        <w:t>万元，比2023年度年初预算数</w:t>
      </w:r>
      <w:r w:rsidR="00235D60">
        <w:rPr>
          <w:rFonts w:ascii="仿宋_GB2312" w:eastAsia="仿宋_GB2312"/>
          <w:sz w:val="28"/>
          <w:szCs w:val="28"/>
        </w:rPr>
        <w:t>0</w:t>
      </w:r>
      <w:r w:rsidR="00235D60">
        <w:rPr>
          <w:rFonts w:ascii="仿宋_GB2312" w:eastAsia="仿宋_GB2312" w:hint="eastAsia"/>
          <w:sz w:val="28"/>
          <w:szCs w:val="28"/>
        </w:rPr>
        <w:t>万元增加</w:t>
      </w:r>
      <w:r w:rsidR="00235D60">
        <w:rPr>
          <w:rFonts w:ascii="仿宋_GB2312" w:eastAsia="仿宋_GB2312"/>
          <w:sz w:val="28"/>
          <w:szCs w:val="28"/>
        </w:rPr>
        <w:t>0</w:t>
      </w:r>
      <w:r w:rsidR="00235D60">
        <w:rPr>
          <w:rFonts w:ascii="仿宋_GB2312" w:eastAsia="仿宋_GB2312" w:hint="eastAsia"/>
          <w:sz w:val="28"/>
          <w:szCs w:val="28"/>
        </w:rPr>
        <w:t>万元。主要原因：本单位无此项支出</w:t>
      </w:r>
      <w:r>
        <w:rPr>
          <w:rFonts w:ascii="仿宋_GB2312" w:eastAsia="仿宋_GB2312" w:hint="eastAsia"/>
          <w:sz w:val="28"/>
          <w:szCs w:val="28"/>
        </w:rPr>
        <w:t>。</w:t>
      </w:r>
    </w:p>
    <w:p w:rsidR="00235D60" w:rsidRDefault="007859AF" w:rsidP="00235D60">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sidR="00235D60">
        <w:rPr>
          <w:rFonts w:ascii="仿宋_GB2312" w:eastAsia="仿宋_GB2312" w:hint="eastAsia"/>
          <w:sz w:val="28"/>
          <w:szCs w:val="28"/>
        </w:rPr>
        <w:t>2023年度决算数7.33万元，比2023年度年初预算数10万元减少2.67万元。</w:t>
      </w:r>
    </w:p>
    <w:p w:rsidR="00C53CDC" w:rsidRDefault="00235D60" w:rsidP="00235D60">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万元。主要原因：本单位未更新购置车辆，2023年度购置（更新）0辆，车均购置费0万元。公务用车运行维护费2023年度决算数</w:t>
      </w:r>
      <w:r>
        <w:rPr>
          <w:rFonts w:ascii="仿宋_GB2312" w:eastAsia="仿宋_GB2312"/>
          <w:sz w:val="28"/>
          <w:szCs w:val="28"/>
        </w:rPr>
        <w:t>7.33</w:t>
      </w:r>
      <w:r>
        <w:rPr>
          <w:rFonts w:ascii="仿宋_GB2312" w:eastAsia="仿宋_GB2312" w:hint="eastAsia"/>
          <w:sz w:val="28"/>
          <w:szCs w:val="28"/>
        </w:rPr>
        <w:t>万元，比2023年度年初预算数</w:t>
      </w:r>
      <w:r>
        <w:rPr>
          <w:rFonts w:ascii="仿宋_GB2312" w:eastAsia="仿宋_GB2312"/>
          <w:sz w:val="28"/>
          <w:szCs w:val="28"/>
        </w:rPr>
        <w:t>10</w:t>
      </w:r>
      <w:r>
        <w:rPr>
          <w:rFonts w:ascii="仿宋_GB2312" w:eastAsia="仿宋_GB2312" w:hint="eastAsia"/>
          <w:sz w:val="28"/>
          <w:szCs w:val="28"/>
        </w:rPr>
        <w:t>万元减少2.67万元，主要原因：厉行勤俭节约，压减“三公”经费支出。2023年度公务用车运行维护费中，公务用车加油</w:t>
      </w:r>
      <w:r>
        <w:rPr>
          <w:rFonts w:ascii="仿宋_GB2312" w:eastAsia="仿宋_GB2312"/>
          <w:sz w:val="28"/>
          <w:szCs w:val="28"/>
        </w:rPr>
        <w:t>3</w:t>
      </w:r>
      <w:r>
        <w:rPr>
          <w:rFonts w:ascii="仿宋_GB2312" w:eastAsia="仿宋_GB2312" w:hint="eastAsia"/>
          <w:sz w:val="28"/>
          <w:szCs w:val="28"/>
        </w:rPr>
        <w:t>万元，公务用车维修</w:t>
      </w:r>
      <w:r>
        <w:rPr>
          <w:rFonts w:ascii="仿宋_GB2312" w:eastAsia="仿宋_GB2312"/>
          <w:sz w:val="28"/>
          <w:szCs w:val="28"/>
        </w:rPr>
        <w:t>2.28</w:t>
      </w:r>
      <w:r>
        <w:rPr>
          <w:rFonts w:ascii="仿宋_GB2312" w:eastAsia="仿宋_GB2312" w:hint="eastAsia"/>
          <w:sz w:val="28"/>
          <w:szCs w:val="28"/>
        </w:rPr>
        <w:t>万元，公务用车保险</w:t>
      </w:r>
      <w:r>
        <w:rPr>
          <w:rFonts w:ascii="仿宋_GB2312" w:eastAsia="仿宋_GB2312"/>
          <w:sz w:val="28"/>
          <w:szCs w:val="28"/>
        </w:rPr>
        <w:t>1.34</w:t>
      </w:r>
      <w:r>
        <w:rPr>
          <w:rFonts w:ascii="仿宋_GB2312" w:eastAsia="仿宋_GB2312" w:hint="eastAsia"/>
          <w:sz w:val="28"/>
          <w:szCs w:val="28"/>
        </w:rPr>
        <w:t>万元，公务用车其他支出</w:t>
      </w:r>
      <w:r>
        <w:rPr>
          <w:rFonts w:ascii="仿宋_GB2312" w:eastAsia="仿宋_GB2312"/>
          <w:sz w:val="28"/>
          <w:szCs w:val="28"/>
        </w:rPr>
        <w:t>0.71</w:t>
      </w:r>
      <w:r>
        <w:rPr>
          <w:rFonts w:ascii="仿宋_GB2312" w:eastAsia="仿宋_GB2312" w:hint="eastAsia"/>
          <w:sz w:val="28"/>
          <w:szCs w:val="28"/>
        </w:rPr>
        <w:t>万元。2023年度公务用车保有量8辆，车均运行维护费0.92万元</w:t>
      </w:r>
      <w:r w:rsidR="007859AF">
        <w:rPr>
          <w:rFonts w:ascii="仿宋_GB2312" w:eastAsia="仿宋_GB2312" w:hint="eastAsia"/>
          <w:sz w:val="28"/>
          <w:szCs w:val="28"/>
        </w:rPr>
        <w:t>。</w:t>
      </w:r>
    </w:p>
    <w:p w:rsidR="00C53CDC" w:rsidRDefault="007859AF">
      <w:pPr>
        <w:tabs>
          <w:tab w:val="center" w:pos="6979"/>
        </w:tabs>
        <w:ind w:firstLineChars="198" w:firstLine="554"/>
        <w:rPr>
          <w:rFonts w:ascii="黑体" w:eastAsia="黑体"/>
          <w:sz w:val="28"/>
          <w:szCs w:val="28"/>
        </w:rPr>
      </w:pPr>
      <w:r>
        <w:rPr>
          <w:rFonts w:ascii="黑体" w:eastAsia="黑体" w:hint="eastAsia"/>
          <w:sz w:val="28"/>
          <w:szCs w:val="28"/>
        </w:rPr>
        <w:t>二</w:t>
      </w:r>
      <w:r>
        <w:rPr>
          <w:rFonts w:ascii="黑体" w:eastAsia="黑体" w:hint="eastAsia"/>
          <w:sz w:val="28"/>
          <w:szCs w:val="28"/>
        </w:rPr>
        <w:t>、机关运行经费支出情况</w:t>
      </w:r>
    </w:p>
    <w:p w:rsidR="00C53CDC" w:rsidRDefault="00235D60">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2023年度使用财政拨款安排的基本支出中的日常公用经费支出，合计309.18万元，比上年减少12.11万元，减少</w:t>
      </w:r>
      <w:r>
        <w:rPr>
          <w:rFonts w:ascii="仿宋_GB2312" w:eastAsia="仿宋_GB2312" w:hint="eastAsia"/>
          <w:sz w:val="28"/>
          <w:szCs w:val="28"/>
        </w:rPr>
        <w:lastRenderedPageBreak/>
        <w:t>原因：厉行勤俭节约，压减日常公用经费支出</w:t>
      </w:r>
      <w:r w:rsidR="007859AF">
        <w:rPr>
          <w:rFonts w:ascii="仿宋_GB2312" w:eastAsia="仿宋_GB2312" w:hint="eastAsia"/>
          <w:sz w:val="28"/>
          <w:szCs w:val="28"/>
        </w:rPr>
        <w:t>。</w:t>
      </w:r>
    </w:p>
    <w:p w:rsidR="00C53CDC" w:rsidRDefault="007859AF">
      <w:pPr>
        <w:ind w:left="540"/>
        <w:rPr>
          <w:rFonts w:ascii="黑体" w:eastAsia="黑体"/>
          <w:sz w:val="28"/>
          <w:szCs w:val="28"/>
        </w:rPr>
      </w:pPr>
      <w:r>
        <w:rPr>
          <w:rFonts w:ascii="黑体" w:eastAsia="黑体" w:hint="eastAsia"/>
          <w:sz w:val="28"/>
          <w:szCs w:val="28"/>
        </w:rPr>
        <w:t>三、政府采购支出情况</w:t>
      </w:r>
    </w:p>
    <w:p w:rsidR="00C53CDC" w:rsidRDefault="00235D60">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17.91</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17.91</w:t>
      </w:r>
      <w:r>
        <w:rPr>
          <w:rFonts w:ascii="仿宋_GB2312" w:eastAsia="仿宋_GB2312" w:hint="eastAsia"/>
          <w:sz w:val="28"/>
          <w:szCs w:val="28"/>
        </w:rPr>
        <w:t>万元。授予中小企业合同金额</w:t>
      </w:r>
      <w:r>
        <w:rPr>
          <w:rFonts w:ascii="仿宋_GB2312" w:eastAsia="仿宋_GB2312"/>
          <w:sz w:val="28"/>
          <w:szCs w:val="28"/>
        </w:rPr>
        <w:t>13.8</w:t>
      </w:r>
      <w:r>
        <w:rPr>
          <w:rFonts w:ascii="仿宋_GB2312" w:eastAsia="仿宋_GB2312" w:hint="eastAsia"/>
          <w:sz w:val="28"/>
          <w:szCs w:val="28"/>
        </w:rPr>
        <w:t>万元，占政府采购支出总额的</w:t>
      </w:r>
      <w:r>
        <w:rPr>
          <w:rFonts w:ascii="仿宋_GB2312" w:eastAsia="仿宋_GB2312"/>
          <w:sz w:val="28"/>
          <w:szCs w:val="28"/>
        </w:rPr>
        <w:t>77.04</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13.8</w:t>
      </w:r>
      <w:r>
        <w:rPr>
          <w:rFonts w:ascii="仿宋_GB2312" w:eastAsia="仿宋_GB2312" w:hint="eastAsia"/>
          <w:sz w:val="28"/>
          <w:szCs w:val="28"/>
        </w:rPr>
        <w:t>万元，占政府采购支出总额的</w:t>
      </w:r>
      <w:r>
        <w:rPr>
          <w:rFonts w:ascii="仿宋_GB2312" w:eastAsia="仿宋_GB2312"/>
          <w:sz w:val="28"/>
          <w:szCs w:val="28"/>
        </w:rPr>
        <w:t>77.04</w:t>
      </w:r>
      <w:r>
        <w:rPr>
          <w:rFonts w:ascii="仿宋_GB2312" w:eastAsia="仿宋_GB2312" w:hint="eastAsia"/>
          <w:sz w:val="28"/>
          <w:szCs w:val="28"/>
        </w:rPr>
        <w:t>%</w:t>
      </w:r>
      <w:r w:rsidR="007859AF">
        <w:rPr>
          <w:rFonts w:ascii="仿宋_GB2312" w:eastAsia="仿宋_GB2312" w:hint="eastAsia"/>
          <w:sz w:val="28"/>
          <w:szCs w:val="28"/>
        </w:rPr>
        <w:t>。</w:t>
      </w:r>
    </w:p>
    <w:p w:rsidR="00C53CDC" w:rsidRDefault="007859AF">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53CDC" w:rsidRDefault="00235D60">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1台（套），共计121.91万元。截至12月31日，北京市交通委员会延庆公路分局共有车辆9台，共计164.88万元；单位价值100万元（含）以上的设备3台（套），共计575.14万元</w:t>
      </w:r>
      <w:r w:rsidR="007859AF">
        <w:rPr>
          <w:rFonts w:ascii="仿宋_GB2312" w:eastAsia="仿宋_GB2312" w:hint="eastAsia"/>
          <w:sz w:val="28"/>
          <w:szCs w:val="28"/>
        </w:rPr>
        <w:t>。</w:t>
      </w:r>
    </w:p>
    <w:p w:rsidR="00C53CDC" w:rsidRDefault="007859A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53CDC" w:rsidRDefault="007859AF">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12.6</w:t>
      </w:r>
      <w:r>
        <w:rPr>
          <w:rFonts w:ascii="仿宋_GB2312" w:eastAsia="仿宋_GB2312" w:hint="eastAsia"/>
          <w:sz w:val="28"/>
          <w:szCs w:val="28"/>
        </w:rPr>
        <w:t>万元。</w:t>
      </w:r>
    </w:p>
    <w:p w:rsidR="00C53CDC" w:rsidRDefault="007859A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53CDC" w:rsidRDefault="007859AF">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C53CDC" w:rsidRDefault="007859AF">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C53CDC" w:rsidRDefault="007859AF">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w:t>
      </w:r>
      <w:r>
        <w:rPr>
          <w:rFonts w:ascii="仿宋_GB2312" w:eastAsia="仿宋_GB2312" w:hAnsi="宋体" w:hint="eastAsia"/>
          <w:sz w:val="28"/>
          <w:szCs w:val="28"/>
        </w:rPr>
        <w:t>费、安全奖励费等支出；公务接待费指单位按规定开支的各类公务接待（含外宾接待）支出。</w:t>
      </w:r>
    </w:p>
    <w:p w:rsidR="00C53CDC" w:rsidRDefault="007859AF">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C53CDC" w:rsidRDefault="007859AF">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w:t>
      </w:r>
      <w:r>
        <w:rPr>
          <w:rFonts w:ascii="仿宋_GB2312" w:eastAsia="仿宋_GB2312"/>
          <w:sz w:val="28"/>
          <w:szCs w:val="28"/>
        </w:rPr>
        <w:t>和强化预算约束的有效措施。</w:t>
      </w:r>
    </w:p>
    <w:p w:rsidR="00C53CDC" w:rsidRDefault="007859AF">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53CDC" w:rsidRPr="00235D60" w:rsidRDefault="007859AF" w:rsidP="00235D60">
      <w:pPr>
        <w:ind w:firstLineChars="200" w:firstLine="560"/>
        <w:rPr>
          <w:rFonts w:ascii="仿宋_GB2312" w:eastAsia="仿宋_GB2312"/>
          <w:sz w:val="28"/>
          <w:szCs w:val="28"/>
        </w:rPr>
      </w:pPr>
      <w:r w:rsidRPr="00235D60">
        <w:rPr>
          <w:rFonts w:ascii="仿宋_GB2312" w:eastAsia="仿宋_GB2312" w:hint="eastAsia"/>
          <w:sz w:val="28"/>
          <w:szCs w:val="28"/>
        </w:rPr>
        <w:t>7.</w:t>
      </w:r>
      <w:r w:rsidRPr="00235D60">
        <w:rPr>
          <w:rFonts w:ascii="仿宋_GB2312" w:eastAsia="仿宋_GB2312" w:hint="eastAsia"/>
          <w:sz w:val="28"/>
          <w:szCs w:val="28"/>
        </w:rPr>
        <w:t>各单位需根据自身业务职能，补充当年使用的所有支出功能分类项级科目名词解释，例如：</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lastRenderedPageBreak/>
        <w:t>社会保障和就业支出（类）行政事业单位养老支出（款）机关事业单位基本养老保险缴费支出（项）：反映机关事业单位实施养老保险制度由单位实际缴纳的基本养老保险支出。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卫生健康支出（类）行政事业单位医疗（款）公务员医疗补助（项）：反映财政部门安排的公务员医疗补助经费。</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城乡社区支出（类）国有土地使用权出让收入安排的支出（款）城市建设支出（项）：反映土地出让收入用于完善国有土地使用功能的配套设施建设和城市基础设施建设支出。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交通运输支出（类）公路水路运输（款）公路建设（项）：反映新建公路支出，公路改建支出，特大型桥梁建设支出，公路客货运站（场）建设支出。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交通运输支出（类）公路水路运输（款）公路养护（项）：反映公路养护支出。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t>交通运输支出（类）公路水路运输（款）其他公路水路运输支出（项）：反映出上述项目以外其他用于公路水路运输方面的支出。</w:t>
      </w:r>
    </w:p>
    <w:p w:rsidR="00235D60" w:rsidRDefault="00235D60" w:rsidP="00235D60">
      <w:pPr>
        <w:ind w:firstLineChars="150" w:firstLine="420"/>
        <w:rPr>
          <w:rFonts w:ascii="仿宋_GB2312" w:eastAsia="仿宋_GB2312"/>
          <w:sz w:val="28"/>
          <w:szCs w:val="28"/>
        </w:rPr>
      </w:pPr>
      <w:r>
        <w:rPr>
          <w:rFonts w:ascii="仿宋_GB2312" w:eastAsia="仿宋_GB2312" w:hint="eastAsia"/>
          <w:sz w:val="28"/>
          <w:szCs w:val="28"/>
        </w:rPr>
        <w:lastRenderedPageBreak/>
        <w:t>灾害防治及应急管理支出（类）自然灾害救灾及恢复重建支出（款）自然灾害灾后重建补助（项）：反应政府预算安排用于自然灾害恢复重建的补助支出。</w:t>
      </w:r>
    </w:p>
    <w:p w:rsidR="00235D60" w:rsidRDefault="00235D60" w:rsidP="00235D60">
      <w:pPr>
        <w:ind w:firstLineChars="200" w:firstLine="560"/>
        <w:rPr>
          <w:rFonts w:ascii="仿宋_GB2312" w:eastAsia="仿宋_GB2312"/>
          <w:sz w:val="28"/>
          <w:szCs w:val="28"/>
        </w:rPr>
      </w:pPr>
      <w:r>
        <w:rPr>
          <w:rFonts w:ascii="仿宋_GB2312" w:eastAsia="仿宋_GB2312" w:hint="eastAsia"/>
          <w:sz w:val="28"/>
          <w:szCs w:val="28"/>
        </w:rPr>
        <w:t>灾害防治及应急管理支出（类）自然灾害救灾及恢复重建支出（款）其他自然灾害救灾及恢复重建支出（项）：反映除上述项目以外其他用于自然灾害救灾、灾后恢复重建等方面的支出</w:t>
      </w:r>
      <w:r>
        <w:rPr>
          <w:rFonts w:ascii="仿宋_GB2312" w:eastAsia="仿宋_GB2312" w:hint="eastAsia"/>
          <w:sz w:val="28"/>
          <w:szCs w:val="28"/>
        </w:rPr>
        <w:t>。</w:t>
      </w: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235D60" w:rsidRDefault="00235D60" w:rsidP="00235D60">
      <w:pPr>
        <w:ind w:firstLineChars="200" w:firstLine="560"/>
        <w:rPr>
          <w:rFonts w:ascii="仿宋_GB2312" w:eastAsia="仿宋_GB2312"/>
          <w:sz w:val="28"/>
          <w:szCs w:val="28"/>
        </w:rPr>
      </w:pPr>
    </w:p>
    <w:p w:rsidR="00C53CDC" w:rsidRPr="00235D60" w:rsidRDefault="00C53CDC" w:rsidP="00235D60">
      <w:pPr>
        <w:ind w:firstLineChars="200" w:firstLine="560"/>
        <w:rPr>
          <w:rFonts w:ascii="仿宋_GB2312" w:eastAsia="仿宋_GB2312"/>
          <w:sz w:val="28"/>
          <w:szCs w:val="28"/>
        </w:rPr>
      </w:pPr>
    </w:p>
    <w:p w:rsidR="00C53CDC" w:rsidRDefault="00C53CDC">
      <w:pPr>
        <w:rPr>
          <w:rFonts w:ascii="仿宋_GB2312" w:eastAsia="仿宋_GB2312"/>
          <w:sz w:val="28"/>
          <w:szCs w:val="28"/>
        </w:rPr>
      </w:pPr>
    </w:p>
    <w:p w:rsidR="00C53CDC" w:rsidRDefault="00C53CDC">
      <w:pPr>
        <w:ind w:firstLineChars="200" w:firstLine="634"/>
        <w:rPr>
          <w:rFonts w:ascii="仿宋_GB2312" w:eastAsia="仿宋_GB2312"/>
          <w:b/>
          <w:color w:val="000000"/>
          <w:spacing w:val="-2"/>
          <w:sz w:val="32"/>
          <w:szCs w:val="32"/>
        </w:rPr>
      </w:pPr>
    </w:p>
    <w:p w:rsidR="00C53CDC" w:rsidRDefault="00C53CDC">
      <w:pPr>
        <w:ind w:firstLineChars="200" w:firstLine="640"/>
        <w:jc w:val="center"/>
        <w:rPr>
          <w:rFonts w:ascii="黑体" w:eastAsia="黑体"/>
          <w:sz w:val="32"/>
          <w:szCs w:val="32"/>
        </w:rPr>
      </w:pPr>
    </w:p>
    <w:p w:rsidR="00235D60" w:rsidRDefault="00235D60" w:rsidP="00235D60">
      <w:pPr>
        <w:pStyle w:val="a0"/>
        <w:ind w:firstLine="420"/>
      </w:pPr>
    </w:p>
    <w:p w:rsidR="00235D60" w:rsidRDefault="00235D60" w:rsidP="00235D60">
      <w:pPr>
        <w:pStyle w:val="a0"/>
        <w:ind w:firstLine="420"/>
      </w:pPr>
    </w:p>
    <w:p w:rsidR="00235D60" w:rsidRDefault="00235D60" w:rsidP="00235D60">
      <w:pPr>
        <w:pStyle w:val="a0"/>
        <w:ind w:firstLine="420"/>
      </w:pPr>
    </w:p>
    <w:p w:rsidR="00235D60" w:rsidRPr="00235D60" w:rsidRDefault="00235D60" w:rsidP="00235D60">
      <w:pPr>
        <w:pStyle w:val="a0"/>
        <w:ind w:firstLine="420"/>
        <w:rPr>
          <w:rFonts w:hint="eastAsia"/>
        </w:rPr>
      </w:pPr>
    </w:p>
    <w:p w:rsidR="00C53CDC" w:rsidRDefault="00C53CDC">
      <w:pPr>
        <w:ind w:firstLineChars="200" w:firstLine="640"/>
        <w:jc w:val="center"/>
        <w:rPr>
          <w:rFonts w:ascii="黑体" w:eastAsia="黑体"/>
          <w:sz w:val="32"/>
          <w:szCs w:val="32"/>
        </w:rPr>
      </w:pPr>
    </w:p>
    <w:p w:rsidR="00C53CDC" w:rsidRPr="004E10BA" w:rsidRDefault="007859AF" w:rsidP="004E10BA">
      <w:pPr>
        <w:tabs>
          <w:tab w:val="center" w:pos="6979"/>
        </w:tabs>
        <w:spacing w:beforeLines="50" w:before="156" w:afterLines="50" w:after="156"/>
        <w:jc w:val="center"/>
        <w:rPr>
          <w:rFonts w:ascii="宋体" w:hAnsi="宋体" w:cs="宋体"/>
          <w:b/>
          <w:bCs/>
          <w:spacing w:val="40"/>
          <w:kern w:val="0"/>
          <w:sz w:val="44"/>
          <w:szCs w:val="44"/>
        </w:rPr>
      </w:pPr>
      <w:r w:rsidRPr="004E10BA">
        <w:rPr>
          <w:rFonts w:ascii="宋体" w:hAnsi="宋体" w:cs="宋体" w:hint="eastAsia"/>
          <w:b/>
          <w:bCs/>
          <w:spacing w:val="40"/>
          <w:kern w:val="0"/>
          <w:sz w:val="44"/>
          <w:szCs w:val="44"/>
        </w:rPr>
        <w:t>第四部分</w:t>
      </w:r>
      <w:r w:rsidRPr="004E10BA">
        <w:rPr>
          <w:rFonts w:ascii="宋体" w:hAnsi="宋体" w:cs="宋体" w:hint="eastAsia"/>
          <w:b/>
          <w:bCs/>
          <w:spacing w:val="40"/>
          <w:kern w:val="0"/>
          <w:sz w:val="44"/>
          <w:szCs w:val="44"/>
        </w:rPr>
        <w:t xml:space="preserve">  2023</w:t>
      </w:r>
      <w:r w:rsidRPr="004E10BA">
        <w:rPr>
          <w:rFonts w:ascii="宋体" w:hAnsi="宋体" w:cs="宋体" w:hint="eastAsia"/>
          <w:b/>
          <w:bCs/>
          <w:spacing w:val="40"/>
          <w:kern w:val="0"/>
          <w:sz w:val="44"/>
          <w:szCs w:val="44"/>
        </w:rPr>
        <w:t>年度部门绩效评价情况</w:t>
      </w:r>
    </w:p>
    <w:p w:rsidR="00C53CDC" w:rsidRDefault="00C53CDC">
      <w:pPr>
        <w:ind w:firstLineChars="200" w:firstLine="560"/>
        <w:rPr>
          <w:rFonts w:ascii="黑体" w:eastAsia="黑体"/>
          <w:sz w:val="28"/>
          <w:szCs w:val="28"/>
          <w:highlight w:val="yellow"/>
        </w:rPr>
      </w:pPr>
    </w:p>
    <w:p w:rsidR="00C53CDC" w:rsidRPr="00B457A4" w:rsidRDefault="007859AF" w:rsidP="00B457A4">
      <w:pPr>
        <w:pStyle w:val="2"/>
        <w:rPr>
          <w:rFonts w:ascii="仿宋_GB2312" w:eastAsia="仿宋_GB2312"/>
          <w:b w:val="0"/>
          <w:sz w:val="28"/>
          <w:szCs w:val="28"/>
        </w:rPr>
      </w:pPr>
      <w:r w:rsidRPr="00B457A4">
        <w:rPr>
          <w:rFonts w:ascii="仿宋_GB2312" w:eastAsia="仿宋_GB2312" w:hint="eastAsia"/>
          <w:b w:val="0"/>
          <w:sz w:val="28"/>
          <w:szCs w:val="28"/>
        </w:rPr>
        <w:t>项目</w:t>
      </w:r>
      <w:r w:rsidRPr="00B457A4">
        <w:rPr>
          <w:rFonts w:ascii="仿宋_GB2312" w:eastAsia="仿宋_GB2312"/>
          <w:b w:val="0"/>
          <w:sz w:val="28"/>
          <w:szCs w:val="28"/>
        </w:rPr>
        <w:t>支出绩效自评表</w:t>
      </w:r>
      <w:r w:rsidRPr="00B457A4">
        <w:rPr>
          <w:rFonts w:ascii="仿宋_GB2312" w:eastAsia="仿宋_GB2312" w:hint="eastAsia"/>
          <w:b w:val="0"/>
          <w:sz w:val="28"/>
          <w:szCs w:val="28"/>
        </w:rPr>
        <w:t>（详见附件）</w:t>
      </w:r>
    </w:p>
    <w:p w:rsidR="00C53CDC" w:rsidRDefault="00C53CDC">
      <w:bookmarkStart w:id="0" w:name="_GoBack"/>
      <w:bookmarkEnd w:id="0"/>
    </w:p>
    <w:p w:rsidR="00C53CDC" w:rsidRDefault="00C53CDC">
      <w:pPr>
        <w:pStyle w:val="2"/>
      </w:pPr>
    </w:p>
    <w:p w:rsidR="00C53CDC" w:rsidRDefault="00C53CDC"/>
    <w:sectPr w:rsidR="00C53CDC">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9AF" w:rsidRDefault="007859AF">
      <w:r>
        <w:separator/>
      </w:r>
    </w:p>
  </w:endnote>
  <w:endnote w:type="continuationSeparator" w:id="0">
    <w:p w:rsidR="007859AF" w:rsidRDefault="0078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DC" w:rsidRDefault="007859AF">
    <w:pPr>
      <w:pStyle w:val="a7"/>
      <w:framePr w:wrap="around" w:vAnchor="text" w:hAnchor="margin" w:xAlign="center" w:y="1"/>
      <w:rPr>
        <w:rStyle w:val="ab"/>
      </w:rPr>
    </w:pPr>
    <w:r>
      <w:fldChar w:fldCharType="begin"/>
    </w:r>
    <w:r>
      <w:rPr>
        <w:rStyle w:val="ab"/>
      </w:rPr>
      <w:instrText xml:space="preserve">PAGE  </w:instrText>
    </w:r>
    <w:r>
      <w:fldChar w:fldCharType="separate"/>
    </w:r>
    <w:r w:rsidR="00B457A4">
      <w:rPr>
        <w:rStyle w:val="ab"/>
        <w:noProof/>
      </w:rPr>
      <w:t>3</w:t>
    </w:r>
    <w:r>
      <w:fldChar w:fldCharType="end"/>
    </w:r>
  </w:p>
  <w:p w:rsidR="00C53CDC" w:rsidRDefault="00C53CD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DC" w:rsidRDefault="007859AF">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C53CDC" w:rsidRDefault="00C53CD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CDC" w:rsidRDefault="007859AF">
    <w:pPr>
      <w:pStyle w:val="a7"/>
      <w:framePr w:wrap="around" w:vAnchor="text" w:hAnchor="margin" w:xAlign="center" w:y="1"/>
      <w:rPr>
        <w:rStyle w:val="ab"/>
      </w:rPr>
    </w:pPr>
    <w:r>
      <w:fldChar w:fldCharType="begin"/>
    </w:r>
    <w:r>
      <w:rPr>
        <w:rStyle w:val="ab"/>
      </w:rPr>
      <w:instrText xml:space="preserve">PAGE  </w:instrText>
    </w:r>
    <w:r>
      <w:fldChar w:fldCharType="separate"/>
    </w:r>
    <w:r w:rsidR="00B457A4">
      <w:rPr>
        <w:rStyle w:val="ab"/>
        <w:noProof/>
      </w:rPr>
      <w:t>17</w:t>
    </w:r>
    <w:r>
      <w:fldChar w:fldCharType="end"/>
    </w:r>
  </w:p>
  <w:p w:rsidR="00C53CDC" w:rsidRDefault="00C53C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9AF" w:rsidRDefault="007859AF">
      <w:r>
        <w:separator/>
      </w:r>
    </w:p>
  </w:footnote>
  <w:footnote w:type="continuationSeparator" w:id="0">
    <w:p w:rsidR="007859AF" w:rsidRDefault="007859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35D60"/>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10BA"/>
    <w:rsid w:val="004E27DD"/>
    <w:rsid w:val="004E3350"/>
    <w:rsid w:val="004E5292"/>
    <w:rsid w:val="004F2C5B"/>
    <w:rsid w:val="004F641B"/>
    <w:rsid w:val="004F71F3"/>
    <w:rsid w:val="005052FA"/>
    <w:rsid w:val="005069E1"/>
    <w:rsid w:val="00507E59"/>
    <w:rsid w:val="005122B5"/>
    <w:rsid w:val="0052381C"/>
    <w:rsid w:val="005346B3"/>
    <w:rsid w:val="00537EC0"/>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59AF"/>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B7D42"/>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57A4"/>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3CDC"/>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1EB1A82"/>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E19C9B-A502-42D7-ADD4-2F9C5F372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istrator\Desktop\&#26032;&#24314;%20XLSX%20&#24037;&#20316;&#349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dministrator\Desktop\&#26032;&#24314;%20XLSX%20&#24037;&#20316;&#349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ysClr val="windowText" lastClr="000000"/>
                </a:solidFill>
                <a:latin typeface="+mn-lt"/>
                <a:ea typeface="+mn-ea"/>
                <a:cs typeface="+mn-cs"/>
              </a:defRPr>
            </a:pPr>
            <a:r>
              <a:rPr lang="zh-CN" altLang="en-US">
                <a:solidFill>
                  <a:sysClr val="windowText" lastClr="000000"/>
                </a:solidFill>
              </a:rPr>
              <a:t>收入决算</a:t>
            </a:r>
          </a:p>
        </c:rich>
      </c:tx>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ysClr val="windowText" lastClr="000000"/>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6.7475505023153401E-2"/>
                  <c:y val="-0.15423217016371299"/>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22222222222222"/>
                      <c:h val="0.102546296296296"/>
                    </c:manualLayout>
                  </c15:layout>
                </c:ext>
              </c:extLst>
            </c:dLbl>
            <c:dLbl>
              <c:idx val="1"/>
              <c:layout>
                <c:manualLayout>
                  <c:x val="-5.01648895459815E-2"/>
                  <c:y val="1.88279403035276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'[新建 XLSX 工作表.xlsx]Sheet1'!$B$4:$B$5</c:f>
              <c:strCache>
                <c:ptCount val="2"/>
                <c:pt idx="0">
                  <c:v>财政拨款收入</c:v>
                </c:pt>
                <c:pt idx="1">
                  <c:v>其他收入</c:v>
                </c:pt>
              </c:strCache>
            </c:strRef>
          </c:cat>
          <c:val>
            <c:numRef>
              <c:f>'[新建 XLSX 工作表.xlsx]Sheet1'!$C$4:$C$5</c:f>
              <c:numCache>
                <c:formatCode>General</c:formatCode>
                <c:ptCount val="2"/>
                <c:pt idx="0">
                  <c:v>79862.64</c:v>
                </c:pt>
                <c:pt idx="1">
                  <c:v>2072.67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ysClr val="windowText" lastClr="000000"/>
                </a:solidFill>
                <a:latin typeface="+mn-lt"/>
                <a:ea typeface="+mn-ea"/>
                <a:cs typeface="+mn-cs"/>
              </a:defRPr>
            </a:pPr>
            <a:r>
              <a:rPr lang="zh-CN" altLang="en-US">
                <a:solidFill>
                  <a:sysClr val="windowText" lastClr="000000"/>
                </a:solidFill>
              </a:rPr>
              <a:t>支出决算</a:t>
            </a:r>
          </a:p>
        </c:rich>
      </c:tx>
      <c:layout>
        <c:manualLayout>
          <c:xMode val="edge"/>
          <c:yMode val="edge"/>
          <c:x val="0.416527777777778"/>
          <c:y val="2.0833333333333301E-2"/>
        </c:manualLayout>
      </c:layout>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ysClr val="windowText" lastClr="000000"/>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5.41919859227594E-4"/>
                  <c:y val="3.2705464750599503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'[新建 XLSX 工作表.xlsx]Sheet1'!$B$10:$B$11</c:f>
              <c:strCache>
                <c:ptCount val="2"/>
                <c:pt idx="0">
                  <c:v>基本支出</c:v>
                </c:pt>
                <c:pt idx="1">
                  <c:v>项目支出</c:v>
                </c:pt>
              </c:strCache>
            </c:strRef>
          </c:cat>
          <c:val>
            <c:numRef>
              <c:f>'[新建 XLSX 工作表.xlsx]Sheet1'!$C$10:$C$11</c:f>
              <c:numCache>
                <c:formatCode>General</c:formatCode>
                <c:ptCount val="2"/>
                <c:pt idx="0">
                  <c:v>1996.86</c:v>
                </c:pt>
                <c:pt idx="1">
                  <c:v>48716.84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997</Words>
  <Characters>5683</Characters>
  <Application>Microsoft Office Word</Application>
  <DocSecurity>0</DocSecurity>
  <Lines>47</Lines>
  <Paragraphs>13</Paragraphs>
  <ScaleCrop>false</ScaleCrop>
  <Company>P R C</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Windows User</cp:lastModifiedBy>
  <cp:revision>28</cp:revision>
  <cp:lastPrinted>2020-08-07T11:39:00Z</cp:lastPrinted>
  <dcterms:created xsi:type="dcterms:W3CDTF">2017-07-11T15:16:00Z</dcterms:created>
  <dcterms:modified xsi:type="dcterms:W3CDTF">2024-08-15T08:44:00Z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EF7A3950445E47D39D0A6FA1540AF246_13</vt:lpwstr>
  </property>
</Properties>
</file>