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bookmarkStart w:id="0" w:name="_GoBack"/>
      <w:r>
        <w:rPr>
          <w:rFonts w:hint="eastAsia" w:ascii="黑体" w:eastAsia="黑体"/>
          <w:sz w:val="72"/>
          <w:szCs w:val="72"/>
        </w:rPr>
        <w:t>2023年度部门决算</w:t>
      </w:r>
      <w:r>
        <w:rPr>
          <w:rFonts w:hint="eastAsia" w:ascii="黑体" w:eastAsia="黑体"/>
          <w:sz w:val="72"/>
          <w:szCs w:val="72"/>
          <w:lang w:eastAsia="zh-CN"/>
        </w:rPr>
        <w:t>公开</w:t>
      </w:r>
      <w:bookmarkEnd w:id="0"/>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北京市交通委员会大兴公路分局</w:t>
      </w:r>
    </w:p>
    <w:p>
      <w:pPr>
        <w:pStyle w:val="2"/>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北京市交通委员会大兴公路分局是北京市交通委员会的派出机构。根据《北京市交通委员会职能配置、内设机构、人员编制的规定》（京办字[2019]47号），设立北京市交通委员会大兴公路分局。内设11个科室，分别为：办公室、法制科、规划计划科、工程管理科、养护管理科、路网服务与科技科、安全质量监管与应急科、乡村公路管理科、财务科、党群工作科、人事科。主要职责是：</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1.贯彻执行国家、本市关于公路行政管理方面的法律法规、规章和政策。参与拟订本市公路行业的规范性文件、政策措施及有关公路行业标准和技术规范。参与本市公路行业改革与发展中重大问题的调查研究。</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2.负责本行政区市管普通公路行政审批工作。负责本行政区公路管理领域事中事后监管工作。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3.参与编制本行政区公路规划。参与本行政区建设项目交通影响评价审查。研究编制本行政区市管普通公路年度建设与养护建议计划，并组织实施。</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4.负责本行政区公路建设和养护的行业管理。负责市管普通公路建设和养护工程质量安全的监督管理。负责本行政区市管公路设施安全的监督管理。</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5.负责本行政区公路路网管理和运行监测工作。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6.负责本行政区市管普通公路及其附属设施的应急管理。组织开展本行政区市管普通公路防汛抢险、铲冰除雪等工作。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7.负责本行政区乡村公路建设与养护管理的行业指导。</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8.承担本单位接诉即办工作。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9.配合开展宣传报道工作。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10.完成市交通委交办的其他任务。</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420" w:firstLineChars="150"/>
        <w:rPr>
          <w:rFonts w:hint="eastAsia"/>
        </w:rPr>
      </w:pPr>
      <w:r>
        <w:rPr>
          <w:rFonts w:hint="eastAsia" w:ascii="仿宋_GB2312" w:eastAsia="仿宋_GB2312"/>
          <w:sz w:val="28"/>
          <w:szCs w:val="28"/>
        </w:rPr>
        <w:t>事业编制61人，实有人数57人。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2023年度收、支总计62386.70万元，比上年增加39160.58万元，增长168.61%。</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2023年度本年收入合计62374.47万元，比上年增加40713.86万元，增长187.96%。</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62355.37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ascii="仿宋_GB2312" w:eastAsia="仿宋_GB2312"/>
          <w:sz w:val="28"/>
          <w:szCs w:val="28"/>
        </w:rPr>
        <w:t>37755.37</w:t>
      </w:r>
      <w:r>
        <w:rPr>
          <w:rFonts w:hint="eastAsia" w:ascii="仿宋_GB2312" w:eastAsia="仿宋_GB2312"/>
          <w:sz w:val="28"/>
          <w:szCs w:val="28"/>
        </w:rPr>
        <w:t>万元，占收入合计的</w:t>
      </w:r>
      <w:r>
        <w:rPr>
          <w:rFonts w:hint="eastAsia" w:ascii="仿宋_GB2312" w:eastAsia="仿宋_GB2312"/>
          <w:sz w:val="28"/>
          <w:szCs w:val="28"/>
          <w:lang w:eastAsia="zh-CN"/>
        </w:rPr>
        <w:t>61</w:t>
      </w:r>
      <w:r>
        <w:rPr>
          <w:rFonts w:hint="eastAsia" w:ascii="仿宋_GB2312" w:eastAsia="仿宋_GB2312"/>
          <w:sz w:val="28"/>
          <w:szCs w:val="28"/>
        </w:rPr>
        <w:t>%；政府性基金预算财政拨款收入</w:t>
      </w:r>
      <w:r>
        <w:rPr>
          <w:rFonts w:ascii="仿宋_GB2312" w:eastAsia="仿宋_GB2312"/>
          <w:sz w:val="28"/>
          <w:szCs w:val="28"/>
        </w:rPr>
        <w:t>24600</w:t>
      </w:r>
      <w:r>
        <w:rPr>
          <w:rFonts w:hint="eastAsia" w:ascii="仿宋_GB2312" w:eastAsia="仿宋_GB2312"/>
          <w:sz w:val="28"/>
          <w:szCs w:val="28"/>
        </w:rPr>
        <w:t>万元，占收入合计的</w:t>
      </w:r>
      <w:r>
        <w:rPr>
          <w:rFonts w:hint="eastAsia" w:ascii="仿宋_GB2312" w:eastAsia="仿宋_GB2312"/>
          <w:sz w:val="28"/>
          <w:szCs w:val="28"/>
          <w:lang w:eastAsia="zh-CN"/>
        </w:rPr>
        <w:t>39</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19.11</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jc w:val="center"/>
        <w:rPr>
          <w:rFonts w:hint="eastAsia" w:ascii="仿宋_GB2312" w:eastAsia="仿宋_GB2312"/>
          <w:color w:val="000000"/>
          <w:sz w:val="32"/>
        </w:rPr>
      </w:pPr>
      <w:r>
        <w:rPr>
          <w:rFonts w:hint="eastAsia" w:ascii="仿宋_GB2312" w:eastAsia="仿宋_GB2312"/>
          <w:color w:val="000000"/>
          <w:sz w:val="32"/>
        </w:rPr>
        <w:t>图1：收入决算</w:t>
      </w:r>
    </w:p>
    <w:p>
      <w:pPr>
        <w:pStyle w:val="2"/>
        <w:ind w:firstLine="420"/>
        <w:jc w:val="center"/>
      </w:pPr>
      <w:r>
        <w:rPr>
          <w:rFonts w:ascii="Times New Roman" w:hAnsi="Times New Roman" w:eastAsia="宋体" w:cs="Times New Roman"/>
          <w:kern w:val="2"/>
          <w:sz w:val="21"/>
          <w:szCs w:val="24"/>
          <w:lang w:bidi="ar-SA"/>
        </w:rPr>
        <w:pict>
          <v:shape id="图表 1" o:spid="_x0000_s1026" type="#_x0000_t75" style="height:217pt;width:361pt;rotation:0f;" o:ole="f" fillcolor="#FFFFFF" filled="f" o:preferrelative="t" stroked="f" coordorigin="0,0" coordsize="21600,21600">
            <v:fill on="f" color2="#FFFFFF" focus="0%"/>
            <v:imagedata gain="65536f" blacklevel="0f" gamma="0" o:title="" r:id="rId8"/>
            <o:lock v:ext="edit" position="f" selection="f" grouping="f" rotation="f" cropping="f" text="f" aspectratio="f"/>
            <w10:wrap type="none"/>
            <w10:anchorlock/>
          </v:shape>
        </w:pic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60681.34</w:t>
      </w:r>
      <w:r>
        <w:rPr>
          <w:rFonts w:hint="eastAsia" w:ascii="仿宋_GB2312" w:eastAsia="仿宋_GB2312"/>
          <w:sz w:val="28"/>
          <w:szCs w:val="28"/>
        </w:rPr>
        <w:t>万元，</w:t>
      </w:r>
      <w:r>
        <w:rPr>
          <w:rFonts w:ascii="仿宋_GB2312" w:eastAsia="仿宋_GB2312"/>
          <w:sz w:val="28"/>
          <w:szCs w:val="28"/>
        </w:rPr>
        <w:t>比上年增加37510.27</w:t>
      </w:r>
      <w:r>
        <w:rPr>
          <w:rFonts w:hint="eastAsia" w:ascii="仿宋_GB2312" w:eastAsia="仿宋_GB2312"/>
          <w:sz w:val="28"/>
          <w:szCs w:val="28"/>
        </w:rPr>
        <w:t>万元，增长161.88%，其中：基本支出</w:t>
      </w:r>
      <w:r>
        <w:rPr>
          <w:rFonts w:ascii="仿宋_GB2312" w:eastAsia="仿宋_GB2312"/>
          <w:sz w:val="28"/>
          <w:szCs w:val="28"/>
        </w:rPr>
        <w:t>2315.74</w:t>
      </w:r>
      <w:r>
        <w:rPr>
          <w:rFonts w:hint="eastAsia" w:ascii="仿宋_GB2312" w:eastAsia="仿宋_GB2312"/>
          <w:sz w:val="28"/>
          <w:szCs w:val="28"/>
        </w:rPr>
        <w:t>万元，占支出合计的</w:t>
      </w:r>
      <w:r>
        <w:rPr>
          <w:rFonts w:ascii="仿宋_GB2312" w:eastAsia="仿宋_GB2312"/>
          <w:sz w:val="28"/>
          <w:szCs w:val="28"/>
        </w:rPr>
        <w:t>3.8</w:t>
      </w:r>
      <w:r>
        <w:rPr>
          <w:rFonts w:hint="eastAsia" w:ascii="仿宋_GB2312" w:eastAsia="仿宋_GB2312"/>
          <w:sz w:val="28"/>
          <w:szCs w:val="28"/>
        </w:rPr>
        <w:t>2%；项目支出</w:t>
      </w:r>
      <w:r>
        <w:rPr>
          <w:rFonts w:ascii="仿宋_GB2312" w:eastAsia="仿宋_GB2312"/>
          <w:sz w:val="28"/>
          <w:szCs w:val="28"/>
        </w:rPr>
        <w:t>58365.6</w:t>
      </w:r>
      <w:r>
        <w:rPr>
          <w:rFonts w:hint="eastAsia" w:ascii="仿宋_GB2312" w:eastAsia="仿宋_GB2312"/>
          <w:sz w:val="28"/>
          <w:szCs w:val="28"/>
        </w:rPr>
        <w:t>0万元，占支出合计的</w:t>
      </w:r>
      <w:r>
        <w:rPr>
          <w:rFonts w:ascii="仿宋_GB2312" w:eastAsia="仿宋_GB2312"/>
          <w:sz w:val="28"/>
          <w:szCs w:val="28"/>
        </w:rPr>
        <w:t>96.18</w:t>
      </w:r>
      <w:r>
        <w:rPr>
          <w:rFonts w:hint="eastAsia" w:ascii="仿宋_GB2312" w:eastAsia="仿宋_GB2312"/>
          <w:sz w:val="28"/>
          <w:szCs w:val="28"/>
        </w:rPr>
        <w:t>%。</w:t>
      </w:r>
    </w:p>
    <w:p>
      <w:pPr>
        <w:pStyle w:val="3"/>
        <w:ind w:firstLine="642"/>
        <w:jc w:val="center"/>
        <w:rPr>
          <w:rFonts w:hint="eastAsia" w:ascii="仿宋_GB2312" w:eastAsia="仿宋_GB2312"/>
          <w:color w:val="000000"/>
          <w:sz w:val="32"/>
        </w:rPr>
      </w:pPr>
      <w:r>
        <w:rPr>
          <w:rFonts w:hint="eastAsia" w:ascii="仿宋_GB2312" w:eastAsia="仿宋_GB2312"/>
          <w:color w:val="000000"/>
          <w:sz w:val="32"/>
        </w:rPr>
        <w:t>图2：基本支出和项目支出情况</w:t>
      </w:r>
    </w:p>
    <w:p>
      <w:pPr>
        <w:jc w:val="center"/>
        <w:rPr>
          <w:rFonts w:hint="eastAsia" w:ascii="黑体" w:eastAsia="黑体"/>
          <w:b/>
          <w:sz w:val="28"/>
          <w:szCs w:val="28"/>
        </w:rPr>
      </w:pPr>
      <w:r>
        <w:rPr>
          <w:rFonts w:ascii="Times New Roman" w:hAnsi="Times New Roman" w:eastAsia="宋体" w:cs="Times New Roman"/>
          <w:kern w:val="2"/>
          <w:sz w:val="21"/>
          <w:szCs w:val="24"/>
          <w:lang w:bidi="ar-SA"/>
        </w:rPr>
        <w:pict>
          <v:shape id="图表 1" o:spid="_x0000_s1027" type="#_x0000_t75" style="height:217pt;width:361pt;rotation:0f;" o:ole="f" fillcolor="#FFFFFF" filled="f" o:preferrelative="t" stroked="f" coordorigin="0,0" coordsize="21600,21600">
            <v:fill on="f" color2="#FFFFFF" focus="0%"/>
            <v:imagedata gain="65536f" blacklevel="0f" gamma="0" o:title="" r:id="rId9"/>
            <o:lock v:ext="edit" position="f" selection="f" grouping="f" rotation="f" cropping="f" text="f" aspectratio="f"/>
            <w10:wrap type="none"/>
            <w10:anchorlock/>
          </v:shape>
        </w:pict>
      </w:r>
    </w:p>
    <w:p>
      <w:pPr>
        <w:jc w:val="center"/>
        <w:rPr>
          <w:rFonts w:ascii="黑体" w:eastAsia="黑体"/>
          <w:b/>
          <w:sz w:val="28"/>
          <w:szCs w:val="28"/>
        </w:rPr>
      </w:pP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2023年度财政拨款收、支总计62355.37万元，比上年增加39142.76万元，增长168.63%。主要原因：新改建项目及养护类（含日常养护）等工程项目工程量较上年增多，使用财政拨款增多。</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2023年度一般公共预算财政拨款支出36053.19万元，主要用于以下方面：</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1、“教育支出”2023年度决算2.67万元，比2023年年初预算减少0.05万元，下降1.94%。其中：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“进修及培训”2023年度决算2.67万元，比2023年年初预算减少0.05万元，下降1.94%。主要原因：根据本年度培训计划组织培训，在预算执行过程中根据实际情况安排支出。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2、“社会保障和就业支出”2023年度决算244.58万元，比2023年年初预算减少0.02万元，下降0.01%。其中：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 2023年度决算244.58万元，比2023年年初预算减少0.02万元，下降0.01%。主要原因：执行全市统一养老保险和职业年金缴费政策，在预算执行过程中根据实际情况安排支出。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3、“卫生健康支出”2023年度决算172.92万元，与年初预算持平。其中：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“行政事业单位医疗”2023年度决算172.92万元，与年初预算持平。</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4、“交通运输支出”2023年度决算35633.02万元，比2023年年初预算减少1702.09万元，减少4.56%。其中：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“公路水路运输”2023年度决算35633.02万元，比2023年年初预算减少1702.09万元，减少4.56%。主要原因：部分工程项目因无法进地施工，年末资金形成结余（该部分结余已于2024年4月底全部支出）。</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2023年度政府性基金预算财政拨款支出24600.00万元，主要用于以下方面：城乡社区支出24600.00万元，占本年财政拨款支出100.00%。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1、“城乡社区支出”2023年度决算24600.00万元，比2023年度年初预算增加4600.00万元，增长23.00%。其中：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 “国有土地使用权出让收入安排的支出” 2023年度决算24600.00万元，比2023年度年初预算增加4600.00万元，增长23.00%。主要原因：国道105（青礼路-市界）道路工程、国道104（五环路-清源路）道路工程年内共收到市发展改革委的基本建设资金4600.00万元。</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本年度无此项经费。</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2314.74万元，使用政府性基金财政拨款安排基本支出0万元，其中：（1）工资福利支出包括基本工资、津贴补贴、奖金、其他社会保障缴费、其他工资福利等支出；（2）商品和服务支出包括办公费、咨询费、水费、电费、邮电费、取暖费、物业管理费、差旅费、维修（护）费、培训费、工会经费、福利费、公务用车运行维护费、其他交通费、其他商品和服务等支出；（3）对个人和家庭补助支出包括离休费、退休费、生活补助、奖励金、其他对个人和家庭的补助等支出。</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“三公”经费包括本单位1个参照公务员法管理事业单位。2023年度“三公”经费财政拨款决算数1.71万元，比2023年度“三公”经费财政拨款年初预算4.00万元减少2.29万元。其中：</w:t>
      </w:r>
    </w:p>
    <w:p>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1. .因公出国（境）费用。2023年度决算数0万元，本年度无此项经费。</w:t>
      </w:r>
    </w:p>
    <w:p>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2.公务接待费。2023年度决算数0万元，本年度无此项经费。</w:t>
      </w:r>
    </w:p>
    <w:p>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3.公务用车购置及运行维护费。2023年度决算数1.71万元，比2023年度年初预算数4.00万元减少2.29万元。</w:t>
      </w:r>
    </w:p>
    <w:p>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其中，公务用车购置费2023年度决算数0万元，本年度无此项经费。公务用车运行维护费2023年度决算数1.71万元，比2023年度年初预算数4万元减少2.29万元，主要原因：我单位加强公务用车管理，从严从实规范公务用车使用审批，严格控制公务车辆运行费用。2023年度公务用车运行维护费中，公务用车加油0.30万元，公务用车维修0.49万元，公务用车保险0.62万元，公务用车其他支出0.30万元。2023年度公务用车保有量4辆，车均运行维护费0.43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2023年度使用财政拨款安排的基本支出中的日常公用经费支出，合计315.72万元，比上年增加1.22万元，增加原因：本年度取暖面积增加，取暖费相应增加。</w:t>
      </w:r>
    </w:p>
    <w:p>
      <w:pPr>
        <w:ind w:left="540"/>
        <w:rPr>
          <w:rFonts w:ascii="黑体" w:eastAsia="黑体"/>
          <w:sz w:val="28"/>
          <w:szCs w:val="28"/>
        </w:rPr>
      </w:pPr>
      <w:r>
        <w:rPr>
          <w:rFonts w:hint="eastAsia" w:ascii="黑体" w:eastAsia="黑体"/>
          <w:sz w:val="28"/>
          <w:szCs w:val="28"/>
        </w:rPr>
        <w:t>三、政府采购支出情况</w:t>
      </w:r>
    </w:p>
    <w:p>
      <w:pPr>
        <w:ind w:firstLine="560" w:firstLineChars="200"/>
        <w:rPr>
          <w:rFonts w:hint="eastAsia" w:ascii="仿宋_GB2312" w:eastAsia="仿宋_GB2312"/>
          <w:sz w:val="28"/>
          <w:szCs w:val="28"/>
        </w:rPr>
      </w:pPr>
      <w:r>
        <w:rPr>
          <w:rFonts w:hint="eastAsia" w:ascii="仿宋_GB2312" w:eastAsia="仿宋_GB2312"/>
          <w:sz w:val="28"/>
          <w:szCs w:val="28"/>
        </w:rPr>
        <w:t>2023年度政府采购支出总额63.49万元，其中：政府采购货物支出3.76万元，政府采购工程支出0万元，政府采购服务支出59.73万元。授予中小企业合同金额59.72万元，占政府采购支出总额的94.06%，其中：授予小微企业合同金额31.92万元，占政府采购支出总额的50.27%。</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37" w:firstLineChars="192"/>
        <w:rPr>
          <w:rFonts w:hint="eastAsia" w:ascii="仿宋_GB2312" w:eastAsia="仿宋_GB2312"/>
          <w:sz w:val="28"/>
          <w:szCs w:val="28"/>
        </w:rPr>
      </w:pPr>
      <w:r>
        <w:rPr>
          <w:rFonts w:hint="eastAsia" w:ascii="仿宋_GB2312" w:eastAsia="仿宋_GB2312"/>
          <w:sz w:val="28"/>
          <w:szCs w:val="28"/>
        </w:rPr>
        <w:t>截至12月31日，本单位共有车辆4台，原值58.64万元；单位价值100万元（含）以上的设备4台（套），共计656.25万元。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jc w:val="left"/>
        <w:rPr>
          <w:rFonts w:hint="eastAsia" w:ascii="仿宋_GB2312" w:eastAsia="仿宋_GB2312"/>
          <w:sz w:val="28"/>
          <w:szCs w:val="28"/>
        </w:rPr>
      </w:pPr>
      <w:r>
        <w:rPr>
          <w:rFonts w:hint="eastAsia" w:ascii="仿宋_GB2312" w:eastAsia="仿宋_GB2312"/>
          <w:sz w:val="28"/>
          <w:szCs w:val="28"/>
        </w:rPr>
        <w:t>2023年度政府购买服务决算0万元。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420" w:firstLineChars="15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420" w:firstLineChars="15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420" w:firstLineChars="150"/>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hint="eastAsia" w:ascii="仿宋_GB2312" w:eastAsia="仿宋_GB2312"/>
          <w:sz w:val="28"/>
          <w:szCs w:val="28"/>
        </w:rPr>
      </w:pPr>
      <w:r>
        <w:rPr>
          <w:rFonts w:hint="eastAsia" w:ascii="仿宋_GB2312" w:eastAsia="仿宋_GB2312"/>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教育支出（类）进修及培训（款）培训支出（项）：反映各部门安排用于培训的支出。教育部门的师资培训，党校、行政学院等专业干部教育机构的支出，以及退役士兵、转业士官的培训支出，不在本科目反映。</w:t>
      </w:r>
    </w:p>
    <w:p>
      <w:pPr>
        <w:ind w:firstLine="420" w:firstLineChars="150"/>
        <w:rPr>
          <w:rFonts w:hint="eastAsia" w:ascii="仿宋_GB2312" w:eastAsia="仿宋_GB2312"/>
          <w:sz w:val="28"/>
          <w:szCs w:val="28"/>
        </w:rPr>
      </w:pPr>
      <w:r>
        <w:rPr>
          <w:rFonts w:hint="eastAsia" w:ascii="仿宋_GB2312" w:eastAsia="仿宋_GB2312"/>
          <w:sz w:val="28"/>
          <w:szCs w:val="28"/>
        </w:rPr>
        <w:t>8.社会保障和就业支出（类）行政事业单位养老支出（款）行政单位离退休（项）：反映行政单位（包括实行公务员管理的事业单位）开支的离退休经费。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9.社会保障和就业支出（类）行政事业单位养老支出（款）机关事业单位基本养老保险缴费支出（项）：反映机关事业单位实施养老保险制度由单位实际缴纳的基本养老保险支出。</w:t>
      </w:r>
    </w:p>
    <w:p>
      <w:pPr>
        <w:ind w:firstLine="420" w:firstLineChars="150"/>
        <w:rPr>
          <w:rFonts w:hint="eastAsia" w:ascii="仿宋_GB2312" w:eastAsia="仿宋_GB2312"/>
          <w:sz w:val="28"/>
          <w:szCs w:val="28"/>
        </w:rPr>
      </w:pPr>
      <w:r>
        <w:rPr>
          <w:rFonts w:hint="eastAsia" w:ascii="仿宋_GB2312" w:eastAsia="仿宋_GB2312"/>
          <w:sz w:val="28"/>
          <w:szCs w:val="28"/>
        </w:rPr>
        <w:t>10.社会保障和就业支出（类）行政事业单位养老支出（款）机关事业单位职业年金缴费支出（项）：反映机关事业单位实施养老保险制度由单位实际缴纳的职业年金支出。</w:t>
      </w:r>
    </w:p>
    <w:p>
      <w:pPr>
        <w:ind w:firstLine="420" w:firstLineChars="150"/>
        <w:rPr>
          <w:rFonts w:hint="eastAsia" w:ascii="仿宋_GB2312" w:eastAsia="仿宋_GB2312"/>
          <w:sz w:val="28"/>
          <w:szCs w:val="28"/>
        </w:rPr>
      </w:pPr>
      <w:r>
        <w:rPr>
          <w:rFonts w:hint="eastAsia" w:ascii="仿宋_GB2312" w:eastAsia="仿宋_GB2312"/>
          <w:sz w:val="28"/>
          <w:szCs w:val="28"/>
        </w:rPr>
        <w:t>11.社会保障和就业支出（类）行政事业单位养老支出（款）其他行政事业单位养老支出（项）：反映出上述项目以外其他用于行政事业单位养老方面的支出。</w:t>
      </w:r>
    </w:p>
    <w:p>
      <w:pPr>
        <w:ind w:firstLine="420" w:firstLineChars="150"/>
        <w:rPr>
          <w:rFonts w:hint="eastAsia" w:ascii="仿宋_GB2312" w:eastAsia="仿宋_GB2312"/>
          <w:sz w:val="28"/>
          <w:szCs w:val="28"/>
        </w:rPr>
      </w:pPr>
      <w:r>
        <w:rPr>
          <w:rFonts w:hint="eastAsia" w:ascii="仿宋_GB2312" w:eastAsia="仿宋_GB2312"/>
          <w:sz w:val="28"/>
          <w:szCs w:val="28"/>
        </w:rPr>
        <w:t>12.卫生健康支出（类）行政事业单位医疗（款）行政单位医疗（项）：反映财政部门安排的行政单位（包括实行公务员管理的事业单位，下同）基本医疗保险缴费经费，未参加医疗保险的行政单位的公费医疗经费，按国际规定享受离休人员、红军老战士待遇人员的医疗经费。</w:t>
      </w:r>
    </w:p>
    <w:p>
      <w:pPr>
        <w:ind w:firstLine="420" w:firstLineChars="150"/>
        <w:rPr>
          <w:rFonts w:hint="eastAsia" w:ascii="仿宋_GB2312" w:eastAsia="仿宋_GB2312"/>
          <w:sz w:val="28"/>
          <w:szCs w:val="28"/>
        </w:rPr>
      </w:pPr>
      <w:r>
        <w:rPr>
          <w:rFonts w:hint="eastAsia" w:ascii="仿宋_GB2312" w:eastAsia="仿宋_GB2312"/>
          <w:sz w:val="28"/>
          <w:szCs w:val="28"/>
        </w:rPr>
        <w:t>13.卫生健康支出（类）行政事业单位医疗（款）公务员医疗补助（项）：反映财政部门安排的公务员医疗补助经费。</w:t>
      </w:r>
    </w:p>
    <w:p>
      <w:pPr>
        <w:ind w:firstLine="420" w:firstLineChars="150"/>
        <w:rPr>
          <w:rFonts w:hint="eastAsia" w:ascii="仿宋_GB2312" w:eastAsia="仿宋_GB2312"/>
          <w:sz w:val="28"/>
          <w:szCs w:val="28"/>
        </w:rPr>
      </w:pPr>
      <w:r>
        <w:rPr>
          <w:rFonts w:hint="eastAsia" w:ascii="仿宋_GB2312" w:eastAsia="仿宋_GB2312"/>
          <w:sz w:val="28"/>
          <w:szCs w:val="28"/>
        </w:rPr>
        <w:t>14.城乡社区支出（类）国有土地使用权出让收入安排的支出（款）城市建设支出（项）：反映土地出让收入用于完善国有土地使用功能的配套设施建设和城市基础设施建设支出。</w:t>
      </w:r>
    </w:p>
    <w:p>
      <w:pPr>
        <w:ind w:firstLine="420" w:firstLineChars="150"/>
        <w:rPr>
          <w:rFonts w:hint="eastAsia" w:ascii="仿宋_GB2312" w:eastAsia="仿宋_GB2312"/>
          <w:sz w:val="28"/>
          <w:szCs w:val="28"/>
        </w:rPr>
      </w:pPr>
      <w:r>
        <w:rPr>
          <w:rFonts w:hint="eastAsia" w:ascii="仿宋_GB2312" w:eastAsia="仿宋_GB2312"/>
          <w:sz w:val="28"/>
          <w:szCs w:val="28"/>
        </w:rPr>
        <w:t>15.交通运输支出（类）公路水路运输（款）公路建设（项）：反映新建公路支出，公路改建支出，特大型桥梁建设支出，公路客货运站（场）建设支出。</w:t>
      </w:r>
    </w:p>
    <w:p>
      <w:pPr>
        <w:ind w:firstLine="420" w:firstLineChars="150"/>
        <w:rPr>
          <w:rFonts w:hint="eastAsia" w:ascii="仿宋_GB2312" w:eastAsia="仿宋_GB2312"/>
          <w:sz w:val="28"/>
          <w:szCs w:val="28"/>
        </w:rPr>
      </w:pPr>
      <w:r>
        <w:rPr>
          <w:rFonts w:hint="eastAsia" w:ascii="仿宋_GB2312" w:eastAsia="仿宋_GB2312"/>
          <w:sz w:val="28"/>
          <w:szCs w:val="28"/>
        </w:rPr>
        <w:t>16.交通运输支出（类）公路水路运输（款）公路养护（项）：反映公路养护支出。</w:t>
      </w:r>
    </w:p>
    <w:p>
      <w:pPr>
        <w:ind w:firstLine="420" w:firstLineChars="150"/>
        <w:rPr>
          <w:rFonts w:ascii="黑体" w:eastAsia="黑体"/>
          <w:sz w:val="32"/>
          <w:szCs w:val="32"/>
        </w:rPr>
      </w:pPr>
      <w:r>
        <w:rPr>
          <w:rFonts w:hint="eastAsia" w:ascii="仿宋_GB2312" w:eastAsia="仿宋_GB2312"/>
          <w:sz w:val="28"/>
          <w:szCs w:val="28"/>
        </w:rPr>
        <w:t>17.交通运输支出（类）公路水路运输（款）其他公路水路运输支出（项）：反映出上述项目以外其他用于公路水路运输方面的支出。</w:t>
      </w: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lang w:eastAsia="zh-CN"/>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
      <w:pPr>
        <w:pStyle w:val="3"/>
      </w:pPr>
    </w:p>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Calibri">
    <w:panose1 w:val="020F0502020204030204"/>
    <w:charset w:val="00"/>
    <w:family w:val="auto"/>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1AD613C"/>
    <w:rsid w:val="257A14F5"/>
    <w:rsid w:val="27196C26"/>
    <w:rsid w:val="27F15AC8"/>
    <w:rsid w:val="29EF086F"/>
    <w:rsid w:val="2EFFE297"/>
    <w:rsid w:val="301437CA"/>
    <w:rsid w:val="34DD0473"/>
    <w:rsid w:val="433E495C"/>
    <w:rsid w:val="4AC27CB3"/>
    <w:rsid w:val="4BF72BEF"/>
    <w:rsid w:val="4C6B5883"/>
    <w:rsid w:val="51DB3C59"/>
    <w:rsid w:val="550C0952"/>
    <w:rsid w:val="55762E42"/>
    <w:rsid w:val="57A7B272"/>
    <w:rsid w:val="58470068"/>
    <w:rsid w:val="5A1720F9"/>
    <w:rsid w:val="5B9C37C2"/>
    <w:rsid w:val="5BA7C654"/>
    <w:rsid w:val="610F6C4A"/>
    <w:rsid w:val="64C0607C"/>
    <w:rsid w:val="676F09E1"/>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paragraph" w:customStyle="1" w:styleId="14">
    <w:name w:val="Char Char Char Char Char Char Char"/>
    <w:basedOn w:val="1"/>
    <w:qFormat/>
    <w:uiPriority w:val="0"/>
    <w:rPr>
      <w:rFonts w:ascii="Tahoma" w:hAnsi="Tahoma"/>
      <w:sz w:val="24"/>
      <w:szCs w:val="20"/>
    </w:rPr>
  </w:style>
  <w:style w:type="paragraph" w:customStyle="1" w:styleId="15">
    <w:name w:val="Char1 Char Char Char"/>
    <w:basedOn w:val="1"/>
    <w:qFormat/>
    <w:uiPriority w:val="0"/>
    <w:pPr>
      <w:widowControl/>
      <w:spacing w:after="160" w:line="240" w:lineRule="exact"/>
      <w:jc w:val="left"/>
    </w:pPr>
    <w:rPr>
      <w:szCs w:val="20"/>
    </w:rPr>
  </w:style>
  <w:style w:type="paragraph" w:customStyle="1" w:styleId="16">
    <w:name w:val="Char"/>
    <w:basedOn w:val="1"/>
    <w:qFormat/>
    <w:uiPriority w:val="0"/>
    <w:rPr>
      <w:rFonts w:ascii="Tahoma" w:hAnsi="Tahoma"/>
      <w:sz w:val="24"/>
      <w:szCs w:val="20"/>
    </w:rPr>
  </w:style>
  <w:style w:type="paragraph" w:customStyle="1" w:styleId="17">
    <w:name w:val="Char Char3 Char Char"/>
    <w:basedOn w:val="1"/>
    <w:qFormat/>
    <w:uiPriority w:val="0"/>
    <w:rPr>
      <w:szCs w:val="21"/>
    </w:rPr>
  </w:style>
  <w:style w:type="character" w:customStyle="1" w:styleId="18">
    <w:name w:val="页脚 Char"/>
    <w:link w:val="7"/>
    <w:qFormat/>
    <w:uiPriority w:val="0"/>
    <w:rPr>
      <w:rFonts w:eastAsia="宋体"/>
      <w:kern w:val="2"/>
      <w:sz w:val="18"/>
      <w:szCs w:val="18"/>
      <w:lang w:val="en-US" w:eastAsia="zh-CN" w:bidi="ar-SA"/>
    </w:rPr>
  </w:style>
  <w:style w:type="character" w:customStyle="1" w:styleId="19">
    <w:name w:val="页眉 Char"/>
    <w:link w:val="8"/>
    <w:qFormat/>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0" Type="http://schemas.openxmlformats.org/officeDocument/2006/relationships/customXml" Target="../customXml/item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3817</Words>
  <Characters>6124</Characters>
  <Lines>44</Lines>
  <Paragraphs>12</Paragraphs>
  <TotalTime>0</TotalTime>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2020-08-07T11:39:00Z</cp:lastPrinted>
  <dcterms:modified xsi:type="dcterms:W3CDTF">2024-08-15T09:57:51Z</dcterms:modified>
  <dc:title>北京市财政局关于做好向市人大常委会报送2015年度市级部门决算（草案）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EF7A3950445E47D39D0A6FA1540AF246_13</vt:lpwstr>
  </property>
</Properties>
</file>