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137" w:rsidRDefault="00A44137">
      <w:pPr>
        <w:jc w:val="center"/>
        <w:rPr>
          <w:rFonts w:ascii="仿宋_GB2312" w:eastAsia="仿宋_GB2312" w:hint="eastAsia"/>
          <w:b/>
          <w:sz w:val="32"/>
          <w:szCs w:val="32"/>
        </w:rPr>
      </w:pPr>
    </w:p>
    <w:p w:rsidR="00A44137" w:rsidRDefault="00A44137">
      <w:pPr>
        <w:jc w:val="center"/>
        <w:rPr>
          <w:rFonts w:ascii="黑体" w:eastAsia="黑体"/>
          <w:sz w:val="72"/>
          <w:szCs w:val="72"/>
        </w:rPr>
      </w:pPr>
    </w:p>
    <w:p w:rsidR="00A44137" w:rsidRDefault="00A44137">
      <w:pPr>
        <w:jc w:val="center"/>
        <w:rPr>
          <w:rFonts w:ascii="黑体" w:eastAsia="黑体"/>
          <w:sz w:val="72"/>
          <w:szCs w:val="72"/>
        </w:rPr>
      </w:pPr>
    </w:p>
    <w:p w:rsidR="00A44137" w:rsidRDefault="00A44137">
      <w:pPr>
        <w:jc w:val="center"/>
        <w:rPr>
          <w:rFonts w:ascii="黑体" w:eastAsia="黑体"/>
          <w:sz w:val="72"/>
          <w:szCs w:val="72"/>
        </w:rPr>
      </w:pPr>
    </w:p>
    <w:p w:rsidR="00A44137" w:rsidRDefault="00A44137">
      <w:pPr>
        <w:jc w:val="center"/>
        <w:rPr>
          <w:rFonts w:ascii="黑体" w:eastAsia="黑体"/>
          <w:sz w:val="72"/>
          <w:szCs w:val="72"/>
        </w:rPr>
      </w:pPr>
    </w:p>
    <w:p w:rsidR="00A44137" w:rsidRDefault="0005354C">
      <w:pPr>
        <w:jc w:val="center"/>
        <w:rPr>
          <w:rFonts w:ascii="黑体" w:eastAsia="黑体"/>
          <w:sz w:val="72"/>
          <w:szCs w:val="72"/>
        </w:rPr>
      </w:pPr>
      <w:r>
        <w:rPr>
          <w:rFonts w:ascii="黑体" w:eastAsia="黑体" w:hint="eastAsia"/>
          <w:sz w:val="72"/>
          <w:szCs w:val="72"/>
        </w:rPr>
        <w:t>北京市交通委员会丰台运输管理分局</w:t>
      </w:r>
    </w:p>
    <w:p w:rsidR="00A44137" w:rsidRDefault="0005354C">
      <w:pPr>
        <w:jc w:val="center"/>
        <w:rPr>
          <w:rFonts w:ascii="黑体" w:eastAsia="黑体"/>
          <w:sz w:val="72"/>
          <w:szCs w:val="72"/>
        </w:rPr>
      </w:pPr>
      <w:r>
        <w:rPr>
          <w:rFonts w:ascii="黑体" w:eastAsia="黑体" w:hint="eastAsia"/>
          <w:sz w:val="72"/>
          <w:szCs w:val="72"/>
        </w:rPr>
        <w:t>2023年度决算</w:t>
      </w:r>
    </w:p>
    <w:p w:rsidR="00A44137" w:rsidRDefault="00A44137">
      <w:pPr>
        <w:jc w:val="center"/>
        <w:rPr>
          <w:rFonts w:ascii="黑体" w:eastAsia="黑体"/>
          <w:sz w:val="52"/>
          <w:szCs w:val="52"/>
        </w:rPr>
      </w:pPr>
    </w:p>
    <w:p w:rsidR="00A44137" w:rsidRDefault="00A44137">
      <w:pPr>
        <w:jc w:val="center"/>
        <w:rPr>
          <w:rFonts w:ascii="黑体" w:eastAsia="黑体"/>
          <w:sz w:val="52"/>
          <w:szCs w:val="52"/>
        </w:rPr>
      </w:pPr>
    </w:p>
    <w:p w:rsidR="00A44137" w:rsidRDefault="00A44137">
      <w:pPr>
        <w:jc w:val="center"/>
        <w:rPr>
          <w:rFonts w:ascii="黑体" w:eastAsia="黑体"/>
          <w:sz w:val="52"/>
          <w:szCs w:val="52"/>
        </w:rPr>
      </w:pPr>
    </w:p>
    <w:p w:rsidR="00A44137" w:rsidRDefault="00A44137">
      <w:pPr>
        <w:jc w:val="center"/>
        <w:rPr>
          <w:rFonts w:ascii="黑体" w:eastAsia="黑体"/>
          <w:sz w:val="52"/>
          <w:szCs w:val="52"/>
        </w:rPr>
      </w:pPr>
    </w:p>
    <w:p w:rsidR="00A44137" w:rsidRDefault="00A44137">
      <w:pPr>
        <w:jc w:val="center"/>
        <w:rPr>
          <w:rFonts w:ascii="黑体" w:eastAsia="黑体"/>
          <w:sz w:val="32"/>
          <w:szCs w:val="32"/>
        </w:rPr>
      </w:pPr>
    </w:p>
    <w:p w:rsidR="00A44137" w:rsidRDefault="0005354C">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t>目    录</w:t>
      </w:r>
    </w:p>
    <w:p w:rsidR="00A44137" w:rsidRDefault="00A44137">
      <w:pPr>
        <w:spacing w:line="500" w:lineRule="exact"/>
        <w:ind w:firstLine="645"/>
        <w:jc w:val="center"/>
        <w:rPr>
          <w:rFonts w:ascii="宋体" w:hAnsi="宋体" w:cs="宋体"/>
          <w:b/>
          <w:bCs/>
          <w:kern w:val="0"/>
          <w:sz w:val="36"/>
          <w:szCs w:val="36"/>
        </w:rPr>
      </w:pPr>
    </w:p>
    <w:p w:rsidR="00A44137" w:rsidRDefault="0005354C">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2023年度部门决算报表</w:t>
      </w:r>
    </w:p>
    <w:p w:rsidR="00A44137" w:rsidRDefault="0005354C">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A44137" w:rsidRDefault="0005354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A44137" w:rsidRDefault="0005354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A44137" w:rsidRDefault="0005354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A44137" w:rsidRDefault="0005354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A44137" w:rsidRDefault="0005354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A44137" w:rsidRDefault="0005354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A44137" w:rsidRDefault="0005354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A44137" w:rsidRDefault="0005354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A44137" w:rsidRDefault="0005354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A44137" w:rsidRDefault="0005354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A44137" w:rsidRDefault="0005354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rsidR="00A44137" w:rsidRDefault="0005354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A44137" w:rsidRDefault="0005354C">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lastRenderedPageBreak/>
        <w:t xml:space="preserve">第二部分 </w:t>
      </w:r>
      <w:r>
        <w:rPr>
          <w:rFonts w:ascii="宋体" w:hAnsi="宋体" w:hint="eastAsia"/>
          <w:spacing w:val="40"/>
          <w:sz w:val="32"/>
          <w:szCs w:val="32"/>
        </w:rPr>
        <w:t>2023年度部门决算说明</w:t>
      </w:r>
    </w:p>
    <w:p w:rsidR="00A44137" w:rsidRDefault="0005354C">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2023年度</w:t>
      </w:r>
      <w:r>
        <w:rPr>
          <w:rFonts w:ascii="宋体" w:hAnsi="宋体" w:cs="宋体" w:hint="eastAsia"/>
          <w:spacing w:val="40"/>
          <w:kern w:val="0"/>
          <w:sz w:val="32"/>
          <w:szCs w:val="32"/>
        </w:rPr>
        <w:t>其他重要事项的情况说明</w:t>
      </w:r>
    </w:p>
    <w:p w:rsidR="00A44137" w:rsidRDefault="0005354C">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2023年度部门绩效评价情况</w:t>
      </w:r>
    </w:p>
    <w:p w:rsidR="00A44137" w:rsidRDefault="00A44137">
      <w:pPr>
        <w:tabs>
          <w:tab w:val="center" w:pos="6979"/>
        </w:tabs>
        <w:spacing w:beforeLines="50" w:before="156" w:afterLines="50" w:after="156"/>
        <w:jc w:val="center"/>
        <w:rPr>
          <w:rFonts w:ascii="宋体" w:hAnsi="宋体" w:cs="宋体"/>
          <w:b/>
          <w:bCs/>
          <w:spacing w:val="40"/>
          <w:kern w:val="0"/>
          <w:sz w:val="32"/>
          <w:szCs w:val="32"/>
        </w:rPr>
      </w:pPr>
    </w:p>
    <w:p w:rsidR="00A44137" w:rsidRDefault="00A44137">
      <w:pPr>
        <w:tabs>
          <w:tab w:val="center" w:pos="6979"/>
        </w:tabs>
        <w:spacing w:beforeLines="50" w:before="156" w:afterLines="50" w:after="156"/>
        <w:jc w:val="center"/>
        <w:rPr>
          <w:rFonts w:ascii="宋体" w:hAnsi="宋体" w:cs="宋体"/>
          <w:b/>
          <w:bCs/>
          <w:spacing w:val="40"/>
          <w:kern w:val="0"/>
          <w:sz w:val="32"/>
          <w:szCs w:val="32"/>
        </w:rPr>
      </w:pPr>
    </w:p>
    <w:p w:rsidR="00A44137" w:rsidRDefault="00A44137">
      <w:pPr>
        <w:tabs>
          <w:tab w:val="center" w:pos="6979"/>
        </w:tabs>
        <w:spacing w:beforeLines="50" w:before="156" w:afterLines="50" w:after="156"/>
        <w:jc w:val="center"/>
        <w:rPr>
          <w:rFonts w:ascii="宋体" w:hAnsi="宋体" w:cs="宋体"/>
          <w:b/>
          <w:bCs/>
          <w:spacing w:val="40"/>
          <w:kern w:val="0"/>
          <w:sz w:val="32"/>
          <w:szCs w:val="32"/>
        </w:rPr>
      </w:pPr>
    </w:p>
    <w:p w:rsidR="00A44137" w:rsidRDefault="00A44137">
      <w:pPr>
        <w:tabs>
          <w:tab w:val="center" w:pos="6979"/>
        </w:tabs>
        <w:spacing w:beforeLines="50" w:before="156" w:afterLines="50" w:after="156"/>
        <w:jc w:val="center"/>
        <w:rPr>
          <w:rFonts w:ascii="宋体" w:hAnsi="宋体" w:cs="宋体"/>
          <w:b/>
          <w:bCs/>
          <w:spacing w:val="40"/>
          <w:kern w:val="0"/>
          <w:sz w:val="32"/>
          <w:szCs w:val="32"/>
        </w:rPr>
      </w:pPr>
    </w:p>
    <w:p w:rsidR="00A44137" w:rsidRDefault="00A44137">
      <w:pPr>
        <w:tabs>
          <w:tab w:val="center" w:pos="6979"/>
        </w:tabs>
        <w:spacing w:beforeLines="50" w:before="156" w:afterLines="50" w:after="156"/>
        <w:jc w:val="center"/>
        <w:rPr>
          <w:rFonts w:ascii="宋体" w:hAnsi="宋体" w:cs="宋体"/>
          <w:b/>
          <w:bCs/>
          <w:spacing w:val="40"/>
          <w:kern w:val="0"/>
          <w:sz w:val="32"/>
          <w:szCs w:val="32"/>
        </w:rPr>
      </w:pPr>
    </w:p>
    <w:p w:rsidR="00A44137" w:rsidRDefault="0005354C">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2023年度部门决算报表</w:t>
      </w:r>
    </w:p>
    <w:p w:rsidR="00A44137" w:rsidRDefault="0005354C">
      <w:pPr>
        <w:pStyle w:val="2"/>
        <w:rPr>
          <w:b w:val="0"/>
          <w:bCs w:val="0"/>
        </w:rPr>
        <w:sectPr w:rsidR="00A44137">
          <w:footerReference w:type="default" r:id="rId6"/>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A44137" w:rsidRDefault="0005354C">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2023年度部门决算说明</w:t>
      </w:r>
    </w:p>
    <w:p w:rsidR="00A44137" w:rsidRDefault="0005354C">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A44137" w:rsidRDefault="0005354C">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（一）机构</w:t>
      </w:r>
      <w:r>
        <w:rPr>
          <w:rFonts w:ascii="仿宋_GB2312" w:eastAsia="仿宋_GB2312"/>
          <w:sz w:val="28"/>
          <w:szCs w:val="28"/>
        </w:rPr>
        <w:t>设置、</w:t>
      </w:r>
      <w:r>
        <w:rPr>
          <w:rFonts w:ascii="仿宋_GB2312" w:eastAsia="仿宋_GB2312" w:hint="eastAsia"/>
          <w:sz w:val="28"/>
          <w:szCs w:val="28"/>
        </w:rPr>
        <w:t>职责</w:t>
      </w:r>
    </w:p>
    <w:p w:rsidR="00A44137" w:rsidRDefault="0005354C">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根据《中共北京市委机构编制委员会办公室关于同意市交通委所属部分机构更名的通知</w:t>
      </w:r>
      <w:r>
        <w:rPr>
          <w:rFonts w:ascii="仿宋_GB2312" w:eastAsia="仿宋_GB2312" w:hint="eastAsia"/>
          <w:sz w:val="28"/>
          <w:szCs w:val="28"/>
        </w:rPr>
        <w:tab/>
        <w:t>》（京编办发〔2018〕22号），设立北京市交通委员会丰台运输管理分局。内设14个科室，分别为办公室、法制科（综合管理科）、运政管理科、安全监管与应急科、公共交通管理科、出租（租赁）汽车管理科、道路客运管理科、货物运输管理科、机动车维修管理科、水运（海事）与驾培管理科、场站管理科、大兴机场管理科、财务科、政工人事科。</w:t>
      </w:r>
    </w:p>
    <w:p w:rsidR="00A44137" w:rsidRDefault="0005354C">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 xml:space="preserve">   北京市交通委员会丰台运输管理分局作为本行政区域内道路运输管理机构、水路运输管理部门、城市公共交通管理部门、出租汽车行业主管部门、小微型客车租赁行业主管部门，负责本行政区域和授权区域内道路运输、水路运输、城市公共汽电车客运、出租车、小微型客车租赁等行业管理工作，依法开展相关许可、备案和监督检查，完成市交通委交办的其他任务。 </w:t>
      </w:r>
    </w:p>
    <w:p w:rsidR="00A44137" w:rsidRDefault="0005354C">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 xml:space="preserve">1、贯彻执行国家、本市关于道路运输、水路运输、城市公共交通等客、货运输方面的法律法规、规章和政策。参与拟订本市交通运输方面的规范性文件、政策措施及有关交通运输行业标准和技术规范。参与本市交通运输领域改革与发展中重大问题的调查研究。 </w:t>
      </w:r>
    </w:p>
    <w:p w:rsidR="00A44137" w:rsidRDefault="0005354C">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2、参与编制本市交通运输行业中长期发展规划。研究本行政区域交通运输行业年度计划，并组织实施。</w:t>
      </w:r>
    </w:p>
    <w:p w:rsidR="00A44137" w:rsidRDefault="0005354C">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3、负责本行政区域交通运输行业管理工作。负责本行政区域道路客运、道路货运、运输站（场）、地面公交、出租</w:t>
      </w:r>
      <w:r>
        <w:rPr>
          <w:rFonts w:ascii="仿宋_GB2312" w:eastAsia="仿宋_GB2312" w:hint="eastAsia"/>
          <w:sz w:val="28"/>
          <w:szCs w:val="28"/>
        </w:rPr>
        <w:lastRenderedPageBreak/>
        <w:t>汽车（含巡游车和网约车）、小微型客车租赁、机动车维修、驾驶员培训、水路运输及其辅助业务、通航水域水上交通安全的监督管理。</w:t>
      </w:r>
    </w:p>
    <w:p w:rsidR="00A44137" w:rsidRDefault="0005354C">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 xml:space="preserve">4、负责本行政区域交通运输行业安全生产的监督管理，协助本行政区域突发事件中的交通运输保障，协助有关部门调查处理本行政区域交通运输行业重大安全事故。 </w:t>
      </w:r>
    </w:p>
    <w:p w:rsidR="00A44137" w:rsidRDefault="0005354C">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 xml:space="preserve">5、负责监督本行政区域交通运输行业节能减排任务的落实。 </w:t>
      </w:r>
    </w:p>
    <w:p w:rsidR="00A44137" w:rsidRDefault="0005354C">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 xml:space="preserve">6、负责行政区域或授权区域机场、火车站、长途客运站、公共交通枢纽等场站的运力接驳、运力调度与保障。参与编制本市重大活动和节假日的运输保障方案，并配合实施。 </w:t>
      </w:r>
    </w:p>
    <w:p w:rsidR="00A44137" w:rsidRDefault="0005354C">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 xml:space="preserve">7、承担本单位接诉即办工作。 </w:t>
      </w:r>
    </w:p>
    <w:p w:rsidR="00A44137" w:rsidRDefault="0005354C">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 xml:space="preserve">8、完成市交通委交办的其他任务。 </w:t>
      </w:r>
    </w:p>
    <w:p w:rsidR="00A44137" w:rsidRDefault="0005354C">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 xml:space="preserve">9、职能转变。 </w:t>
      </w:r>
    </w:p>
    <w:p w:rsidR="00A44137" w:rsidRDefault="0005354C">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（二）人员构成情况</w:t>
      </w:r>
    </w:p>
    <w:p w:rsidR="00A44137" w:rsidRDefault="0005354C">
      <w:pPr>
        <w:ind w:firstLineChars="200" w:firstLine="560"/>
      </w:pPr>
      <w:r>
        <w:rPr>
          <w:rFonts w:ascii="仿宋_GB2312" w:eastAsia="仿宋_GB2312" w:hint="eastAsia"/>
          <w:sz w:val="28"/>
          <w:szCs w:val="28"/>
        </w:rPr>
        <w:t>我单位事业编制71人，实有人数67人；其中：离休1人，在职66人。</w:t>
      </w:r>
    </w:p>
    <w:p w:rsidR="00A44137" w:rsidRDefault="00A44137">
      <w:pPr>
        <w:tabs>
          <w:tab w:val="center" w:pos="6979"/>
        </w:tabs>
        <w:spacing w:line="580" w:lineRule="exact"/>
        <w:ind w:firstLineChars="200" w:firstLine="560"/>
        <w:rPr>
          <w:rFonts w:ascii="仿宋_GB2312" w:eastAsia="仿宋_GB2312"/>
          <w:kern w:val="0"/>
          <w:sz w:val="28"/>
          <w:szCs w:val="28"/>
        </w:rPr>
      </w:pPr>
    </w:p>
    <w:p w:rsidR="00A44137" w:rsidRDefault="0005354C">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A44137" w:rsidRDefault="0005354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6044.12</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减少3780.63万元，下降38.48%。</w:t>
      </w:r>
    </w:p>
    <w:p w:rsidR="00A44137" w:rsidRDefault="0005354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A44137" w:rsidRDefault="0005354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2023年度本年收入合计3158.58万元，比上年减少3446.09万元，下降52.18%。</w:t>
      </w:r>
    </w:p>
    <w:p w:rsidR="00A44137" w:rsidRDefault="0005354C">
      <w:pPr>
        <w:tabs>
          <w:tab w:val="center" w:pos="6979"/>
        </w:tabs>
        <w:spacing w:line="580" w:lineRule="exact"/>
        <w:ind w:firstLineChars="200" w:firstLine="560"/>
      </w:pPr>
      <w:r>
        <w:rPr>
          <w:rFonts w:ascii="仿宋_GB2312" w:eastAsia="仿宋_GB2312" w:hint="eastAsia"/>
          <w:sz w:val="28"/>
          <w:szCs w:val="28"/>
        </w:rPr>
        <w:t>1.财政拨款收入</w:t>
      </w:r>
      <w:r>
        <w:rPr>
          <w:rFonts w:ascii="仿宋_GB2312" w:eastAsia="仿宋_GB2312"/>
          <w:sz w:val="28"/>
          <w:szCs w:val="28"/>
        </w:rPr>
        <w:t>3157.31</w:t>
      </w:r>
      <w:r>
        <w:rPr>
          <w:rFonts w:ascii="仿宋_GB2312" w:eastAsia="仿宋_GB2312" w:hint="eastAsia"/>
          <w:sz w:val="28"/>
          <w:szCs w:val="28"/>
        </w:rPr>
        <w:t>万元，占收入合计的</w:t>
      </w:r>
      <w:r>
        <w:rPr>
          <w:rFonts w:ascii="仿宋_GB2312" w:eastAsia="仿宋_GB2312"/>
          <w:sz w:val="28"/>
          <w:szCs w:val="28"/>
        </w:rPr>
        <w:t>99.96</w:t>
      </w:r>
      <w:r>
        <w:rPr>
          <w:rFonts w:ascii="仿宋_GB2312" w:eastAsia="仿宋_GB2312" w:hint="eastAsia"/>
          <w:sz w:val="28"/>
          <w:szCs w:val="28"/>
        </w:rPr>
        <w:t>%。其中：一般公共预算财政拨款收入</w:t>
      </w:r>
      <w:r>
        <w:rPr>
          <w:rFonts w:ascii="仿宋_GB2312" w:eastAsia="仿宋_GB2312"/>
          <w:sz w:val="28"/>
          <w:szCs w:val="28"/>
        </w:rPr>
        <w:t>3157.31</w:t>
      </w:r>
      <w:r>
        <w:rPr>
          <w:rFonts w:ascii="仿宋_GB2312" w:eastAsia="仿宋_GB2312" w:hint="eastAsia"/>
          <w:sz w:val="28"/>
          <w:szCs w:val="28"/>
        </w:rPr>
        <w:t>万元，占收入合计的</w:t>
      </w:r>
      <w:r>
        <w:rPr>
          <w:rFonts w:ascii="仿宋_GB2312" w:eastAsia="仿宋_GB2312"/>
          <w:sz w:val="28"/>
          <w:szCs w:val="28"/>
        </w:rPr>
        <w:t>99.96</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A44137" w:rsidRDefault="0005354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A44137" w:rsidRDefault="0005354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A44137" w:rsidRDefault="0005354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A44137" w:rsidRDefault="0005354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A44137" w:rsidRDefault="0005354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1.26</w:t>
      </w:r>
      <w:r>
        <w:rPr>
          <w:rFonts w:ascii="仿宋_GB2312" w:eastAsia="仿宋_GB2312" w:hint="eastAsia"/>
          <w:sz w:val="28"/>
          <w:szCs w:val="28"/>
        </w:rPr>
        <w:t>万元，占收入合计的</w:t>
      </w:r>
      <w:r>
        <w:rPr>
          <w:rFonts w:ascii="仿宋_GB2312" w:eastAsia="仿宋_GB2312"/>
          <w:sz w:val="28"/>
          <w:szCs w:val="28"/>
        </w:rPr>
        <w:t>0.0</w:t>
      </w:r>
      <w:r w:rsidR="00E547F7">
        <w:rPr>
          <w:rFonts w:ascii="仿宋_GB2312" w:eastAsia="仿宋_GB2312" w:hint="eastAsia"/>
          <w:sz w:val="28"/>
          <w:szCs w:val="28"/>
        </w:rPr>
        <w:t>4</w:t>
      </w:r>
      <w:r>
        <w:rPr>
          <w:rFonts w:ascii="仿宋_GB2312" w:eastAsia="仿宋_GB2312" w:hint="eastAsia"/>
          <w:sz w:val="28"/>
          <w:szCs w:val="28"/>
        </w:rPr>
        <w:t>%。</w:t>
      </w:r>
    </w:p>
    <w:p w:rsidR="00A44137" w:rsidRDefault="00A44137">
      <w:pPr>
        <w:spacing w:line="560" w:lineRule="exact"/>
        <w:ind w:firstLine="640"/>
        <w:rPr>
          <w:rFonts w:ascii="仿宋_GB2312" w:eastAsia="仿宋_GB2312" w:cs="Droid Sans"/>
          <w:color w:val="000000"/>
          <w:sz w:val="32"/>
          <w:szCs w:val="32"/>
        </w:rPr>
      </w:pPr>
    </w:p>
    <w:p w:rsidR="00A44137" w:rsidRDefault="0005354C">
      <w:pPr>
        <w:pStyle w:val="2"/>
        <w:jc w:val="center"/>
      </w:pPr>
      <w:r>
        <w:rPr>
          <w:rFonts w:ascii="仿宋_GB2312" w:eastAsia="仿宋_GB2312" w:hint="eastAsia"/>
          <w:color w:val="000000"/>
          <w:sz w:val="32"/>
        </w:rPr>
        <w:lastRenderedPageBreak/>
        <w:t>图1：收入决算</w:t>
      </w:r>
    </w:p>
    <w:p w:rsidR="00A44137" w:rsidRDefault="0005354C">
      <w:pPr>
        <w:jc w:val="center"/>
      </w:pPr>
      <w:r>
        <w:rPr>
          <w:rFonts w:hint="eastAsia"/>
          <w:noProof/>
        </w:rPr>
        <w:drawing>
          <wp:inline distT="0" distB="0" distL="114300" distR="114300">
            <wp:extent cx="4408805" cy="2477770"/>
            <wp:effectExtent l="4445" t="5080" r="6350"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A44137" w:rsidRDefault="0005354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A44137" w:rsidRDefault="0005354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2023年度本年支出合计</w:t>
      </w:r>
      <w:r>
        <w:rPr>
          <w:rFonts w:ascii="仿宋_GB2312" w:eastAsia="仿宋_GB2312"/>
          <w:sz w:val="28"/>
          <w:szCs w:val="28"/>
        </w:rPr>
        <w:t>5641.91</w:t>
      </w:r>
      <w:r>
        <w:rPr>
          <w:rFonts w:ascii="仿宋_GB2312" w:eastAsia="仿宋_GB2312" w:hint="eastAsia"/>
          <w:sz w:val="28"/>
          <w:szCs w:val="28"/>
        </w:rPr>
        <w:t>万元，比上年减少489.75万元，下降7.99%，其中：基本支出</w:t>
      </w:r>
      <w:r>
        <w:rPr>
          <w:rFonts w:ascii="仿宋_GB2312" w:eastAsia="仿宋_GB2312"/>
          <w:sz w:val="28"/>
          <w:szCs w:val="28"/>
        </w:rPr>
        <w:t>2498.6</w:t>
      </w:r>
      <w:r>
        <w:rPr>
          <w:rFonts w:ascii="仿宋_GB2312" w:eastAsia="仿宋_GB2312" w:hint="eastAsia"/>
          <w:sz w:val="28"/>
          <w:szCs w:val="28"/>
        </w:rPr>
        <w:t>万元，占支出合计的</w:t>
      </w:r>
      <w:r>
        <w:rPr>
          <w:rFonts w:ascii="仿宋_GB2312" w:eastAsia="仿宋_GB2312"/>
          <w:sz w:val="28"/>
          <w:szCs w:val="28"/>
        </w:rPr>
        <w:t>44.2</w:t>
      </w:r>
      <w:r w:rsidR="00511097">
        <w:rPr>
          <w:rFonts w:ascii="仿宋_GB2312" w:eastAsia="仿宋_GB2312" w:hint="eastAsia"/>
          <w:sz w:val="28"/>
          <w:szCs w:val="28"/>
        </w:rPr>
        <w:t>9</w:t>
      </w:r>
      <w:r>
        <w:rPr>
          <w:rFonts w:ascii="仿宋_GB2312" w:eastAsia="仿宋_GB2312" w:hint="eastAsia"/>
          <w:sz w:val="28"/>
          <w:szCs w:val="28"/>
        </w:rPr>
        <w:t>%；项目支出</w:t>
      </w:r>
      <w:r>
        <w:rPr>
          <w:rFonts w:ascii="仿宋_GB2312" w:eastAsia="仿宋_GB2312"/>
          <w:sz w:val="28"/>
          <w:szCs w:val="28"/>
        </w:rPr>
        <w:t>3143.31</w:t>
      </w:r>
      <w:r>
        <w:rPr>
          <w:rFonts w:ascii="仿宋_GB2312" w:eastAsia="仿宋_GB2312" w:hint="eastAsia"/>
          <w:sz w:val="28"/>
          <w:szCs w:val="28"/>
        </w:rPr>
        <w:t>万元，占支出合计的</w:t>
      </w:r>
      <w:r>
        <w:rPr>
          <w:rFonts w:ascii="仿宋_GB2312" w:eastAsia="仿宋_GB2312"/>
          <w:sz w:val="28"/>
          <w:szCs w:val="28"/>
        </w:rPr>
        <w:t>55.7</w:t>
      </w:r>
      <w:r w:rsidR="00511097">
        <w:rPr>
          <w:rFonts w:ascii="仿宋_GB2312" w:eastAsia="仿宋_GB2312" w:hint="eastAsia"/>
          <w:sz w:val="28"/>
          <w:szCs w:val="28"/>
        </w:rPr>
        <w:t>1</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w:t>
      </w:r>
    </w:p>
    <w:p w:rsidR="00A44137" w:rsidRDefault="0005354C">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A44137" w:rsidRDefault="0005354C">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A44137" w:rsidRDefault="0005354C">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A44137" w:rsidRDefault="0005354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2023年度财政拨款收、支总计6042.86万元，比上年减少3781.71万元，下降38.49%。主要原因：减少原因为本市推出纯电动出租车推广应用政策，辖区出租汽车运营企业将燃油出租车改为纯电动出租车，享受燃油补贴的出租车数量减少，燃油补贴项目收入支出减少。</w:t>
      </w:r>
    </w:p>
    <w:p w:rsidR="00A44137" w:rsidRDefault="0005354C">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A44137" w:rsidRDefault="0005354C">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A44137" w:rsidRDefault="0005354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2023年度一般公共预算财政拨款支出</w:t>
      </w:r>
      <w:r>
        <w:rPr>
          <w:rFonts w:ascii="仿宋_GB2312" w:eastAsia="仿宋_GB2312"/>
          <w:sz w:val="28"/>
          <w:szCs w:val="28"/>
        </w:rPr>
        <w:t>5640.65</w:t>
      </w:r>
      <w:r>
        <w:rPr>
          <w:rFonts w:ascii="仿宋_GB2312" w:eastAsia="仿宋_GB2312" w:hint="eastAsia"/>
          <w:sz w:val="28"/>
          <w:szCs w:val="28"/>
        </w:rPr>
        <w:t>万元，主要用于以下方面（按大类）：“社会保障和就业支出”298.54</w:t>
      </w:r>
      <w:r>
        <w:rPr>
          <w:rFonts w:ascii="仿宋_GB2312" w:eastAsia="仿宋_GB2312" w:hint="eastAsia"/>
          <w:sz w:val="28"/>
          <w:szCs w:val="28"/>
        </w:rPr>
        <w:lastRenderedPageBreak/>
        <w:t>万元，占本年财政拨款支出5.3%；“卫生健康支出”201.8万元，占本年财政拨款支出3.57%；“交通运输支出”5140.31万元，占本年财政拨款支出91.13%。</w:t>
      </w:r>
    </w:p>
    <w:p w:rsidR="00A44137" w:rsidRDefault="0005354C">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A44137" w:rsidRDefault="0005354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1、“社会保障和就业支出”2023年度决算298.54万元，比2023年度年初预算减少0.14万元，下降0.05%。其中：</w:t>
      </w:r>
    </w:p>
    <w:p w:rsidR="00A44137" w:rsidRDefault="0005354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“行政事业单位养老支出”2023年度决算298.54万元，比2023年度年初预算减少0.14万元，下降0.05%。主要原因：执行全市统一缴费标准，在预算执行过程中根据实际人员变动情况安排支出。</w:t>
      </w:r>
    </w:p>
    <w:p w:rsidR="00A44137" w:rsidRDefault="0005354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2、“卫生健康支出”2023年度决算201.8万元，与2023年度年初预算数一致。其中：“行政事业单位医疗”2023年度决算201.8万元，与2023年度年初预算数一致。</w:t>
      </w:r>
    </w:p>
    <w:p w:rsidR="00A44137" w:rsidRDefault="0005354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3、“交通运输支出”2023年度决算5140.31万元，比2023年度年初预算减少344.93万元，下降6.29%。其中：</w:t>
      </w:r>
    </w:p>
    <w:p w:rsidR="00A44137" w:rsidRDefault="0005354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“公路水路运输支出”2023年度决算2319.09万元，比2023年度年初预算增加19.39万元，增长0.84%。主要原因：在预算执行过程中根据实际人员变动情况安排支出。</w:t>
      </w:r>
    </w:p>
    <w:p w:rsidR="00A44137" w:rsidRDefault="0005354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“其他交通运输支出”2023年度决算2821.22万元，比2023年度年初预算减少364.3</w:t>
      </w:r>
      <w:r w:rsidR="00932BC3">
        <w:rPr>
          <w:rFonts w:ascii="仿宋_GB2312" w:eastAsia="仿宋_GB2312" w:hint="eastAsia"/>
          <w:sz w:val="28"/>
          <w:szCs w:val="28"/>
        </w:rPr>
        <w:t>2</w:t>
      </w:r>
      <w:r>
        <w:rPr>
          <w:rFonts w:ascii="仿宋_GB2312" w:eastAsia="仿宋_GB2312" w:hint="eastAsia"/>
          <w:sz w:val="28"/>
          <w:szCs w:val="28"/>
        </w:rPr>
        <w:t>万元，下降11.44%。主要原因：本市推出纯电动出租汽车推广应用政策，辖区出租汽车运营企业将燃油出租车改为纯电动出租车，享受燃油补贴的出租车数量减少。</w:t>
      </w:r>
      <w:bookmarkStart w:id="0" w:name="_GoBack"/>
      <w:bookmarkEnd w:id="0"/>
    </w:p>
    <w:p w:rsidR="00A44137" w:rsidRDefault="0005354C">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A44137" w:rsidRDefault="0005354C">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A44137" w:rsidRDefault="0005354C">
      <w:pPr>
        <w:autoSpaceDE w:val="0"/>
        <w:autoSpaceDN w:val="0"/>
        <w:adjustRightInd w:val="0"/>
        <w:spacing w:line="580" w:lineRule="exact"/>
        <w:ind w:firstLineChars="200" w:firstLine="640"/>
        <w:jc w:val="left"/>
        <w:rPr>
          <w:rFonts w:ascii="仿宋_GB2312" w:eastAsia="仿宋_GB2312"/>
          <w:sz w:val="32"/>
          <w:szCs w:val="32"/>
        </w:rPr>
      </w:pPr>
      <w:r>
        <w:rPr>
          <w:rFonts w:ascii="仿宋_GB2312" w:eastAsia="仿宋_GB2312" w:hint="eastAsia"/>
          <w:sz w:val="32"/>
          <w:szCs w:val="32"/>
        </w:rPr>
        <w:lastRenderedPageBreak/>
        <w:t>我单位无此项</w:t>
      </w:r>
      <w:r>
        <w:rPr>
          <w:rFonts w:ascii="仿宋_GB2312" w:eastAsia="仿宋_GB2312"/>
          <w:sz w:val="32"/>
          <w:szCs w:val="32"/>
        </w:rPr>
        <w:t>经费</w:t>
      </w:r>
      <w:r>
        <w:rPr>
          <w:rFonts w:ascii="仿宋_GB2312" w:eastAsia="仿宋_GB2312" w:hint="eastAsia"/>
          <w:sz w:val="32"/>
          <w:szCs w:val="32"/>
        </w:rPr>
        <w:t>。</w:t>
      </w:r>
    </w:p>
    <w:p w:rsidR="00A44137" w:rsidRDefault="0005354C">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rsidR="00A44137" w:rsidRDefault="0005354C">
      <w:pPr>
        <w:spacing w:line="580" w:lineRule="exact"/>
        <w:ind w:firstLineChars="200" w:firstLine="640"/>
        <w:rPr>
          <w:rFonts w:ascii="仿宋_GB2312" w:eastAsia="仿宋_GB2312"/>
          <w:sz w:val="28"/>
          <w:szCs w:val="28"/>
        </w:rPr>
      </w:pPr>
      <w:r>
        <w:rPr>
          <w:rFonts w:ascii="仿宋_GB2312" w:eastAsia="仿宋_GB2312" w:hint="eastAsia"/>
          <w:sz w:val="32"/>
          <w:szCs w:val="32"/>
        </w:rPr>
        <w:t>我单位无此项</w:t>
      </w:r>
      <w:r>
        <w:rPr>
          <w:rFonts w:ascii="仿宋_GB2312" w:eastAsia="仿宋_GB2312"/>
          <w:sz w:val="32"/>
          <w:szCs w:val="32"/>
        </w:rPr>
        <w:t>经费</w:t>
      </w:r>
      <w:r>
        <w:rPr>
          <w:rFonts w:ascii="仿宋_GB2312" w:eastAsia="仿宋_GB2312" w:hint="eastAsia"/>
          <w:sz w:val="32"/>
          <w:szCs w:val="32"/>
        </w:rPr>
        <w:t>。</w:t>
      </w:r>
    </w:p>
    <w:p w:rsidR="00A44137" w:rsidRDefault="0005354C">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A44137" w:rsidRDefault="0005354C">
      <w:pPr>
        <w:spacing w:line="580" w:lineRule="exact"/>
        <w:ind w:firstLineChars="196" w:firstLine="627"/>
        <w:rPr>
          <w:rFonts w:ascii="仿宋_GB2312" w:eastAsia="仿宋_GB2312"/>
          <w:sz w:val="32"/>
          <w:szCs w:val="32"/>
        </w:rPr>
      </w:pPr>
      <w:r>
        <w:rPr>
          <w:rFonts w:ascii="仿宋_GB2312" w:eastAsia="仿宋_GB2312" w:hint="eastAsia"/>
          <w:sz w:val="32"/>
          <w:szCs w:val="32"/>
        </w:rPr>
        <w:t>我单位无此项</w:t>
      </w:r>
      <w:r>
        <w:rPr>
          <w:rFonts w:ascii="仿宋_GB2312" w:eastAsia="仿宋_GB2312"/>
          <w:sz w:val="32"/>
          <w:szCs w:val="32"/>
        </w:rPr>
        <w:t>经费</w:t>
      </w:r>
      <w:r>
        <w:rPr>
          <w:rFonts w:ascii="仿宋_GB2312" w:eastAsia="仿宋_GB2312" w:hint="eastAsia"/>
          <w:sz w:val="32"/>
          <w:szCs w:val="32"/>
        </w:rPr>
        <w:t>。</w:t>
      </w:r>
    </w:p>
    <w:p w:rsidR="00A44137" w:rsidRDefault="0005354C">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A44137" w:rsidRDefault="0005354C">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2023年度使用一般公共预算财政拨款安排基本支出</w:t>
      </w:r>
      <w:r>
        <w:rPr>
          <w:rFonts w:ascii="仿宋_GB2312" w:eastAsia="仿宋_GB2312"/>
          <w:sz w:val="28"/>
          <w:szCs w:val="28"/>
        </w:rPr>
        <w:t>2497.79</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万元，其中：（1）工资福利支出包括基本工资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A44137" w:rsidRDefault="0005354C">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2023年度</w:t>
      </w:r>
      <w:r>
        <w:rPr>
          <w:rFonts w:ascii="宋体" w:hAnsi="宋体" w:cs="宋体" w:hint="eastAsia"/>
          <w:b/>
          <w:spacing w:val="40"/>
          <w:kern w:val="0"/>
          <w:sz w:val="32"/>
          <w:szCs w:val="32"/>
        </w:rPr>
        <w:t>其他重要事项的情况说明</w:t>
      </w:r>
    </w:p>
    <w:p w:rsidR="00A44137" w:rsidRDefault="0005354C">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A44137" w:rsidRDefault="0005354C">
      <w:pPr>
        <w:spacing w:line="560" w:lineRule="exact"/>
        <w:ind w:firstLine="600"/>
        <w:rPr>
          <w:rFonts w:ascii="仿宋_GB2312" w:eastAsia="仿宋_GB2312"/>
          <w:sz w:val="28"/>
          <w:szCs w:val="28"/>
        </w:rPr>
      </w:pPr>
      <w:r>
        <w:rPr>
          <w:rFonts w:ascii="仿宋_GB2312" w:eastAsia="仿宋_GB2312" w:hint="eastAsia"/>
          <w:sz w:val="28"/>
          <w:szCs w:val="28"/>
        </w:rPr>
        <w:t>“三公”经费包括本单位所属</w:t>
      </w:r>
      <w:r>
        <w:rPr>
          <w:rFonts w:ascii="仿宋_GB2312" w:eastAsia="仿宋_GB2312" w:hint="eastAsia"/>
          <w:bCs/>
          <w:sz w:val="28"/>
          <w:szCs w:val="28"/>
        </w:rPr>
        <w:t>1</w:t>
      </w:r>
      <w:r>
        <w:rPr>
          <w:rFonts w:ascii="仿宋_GB2312" w:eastAsia="仿宋_GB2312" w:hint="eastAsia"/>
          <w:sz w:val="28"/>
          <w:szCs w:val="28"/>
        </w:rPr>
        <w:t>个</w:t>
      </w:r>
      <w:r>
        <w:rPr>
          <w:rFonts w:ascii="仿宋_GB2312" w:eastAsia="仿宋_GB2312"/>
          <w:sz w:val="28"/>
          <w:szCs w:val="28"/>
        </w:rPr>
        <w:t>参</w:t>
      </w:r>
      <w:r>
        <w:rPr>
          <w:rFonts w:ascii="仿宋_GB2312" w:eastAsia="仿宋_GB2312" w:hint="eastAsia"/>
          <w:sz w:val="28"/>
          <w:szCs w:val="28"/>
        </w:rPr>
        <w:t>照</w:t>
      </w:r>
      <w:r>
        <w:rPr>
          <w:rFonts w:ascii="仿宋_GB2312" w:eastAsia="仿宋_GB2312"/>
          <w:sz w:val="28"/>
          <w:szCs w:val="28"/>
        </w:rPr>
        <w:t>公务员法管理事业单位</w:t>
      </w:r>
      <w:r>
        <w:rPr>
          <w:rFonts w:ascii="仿宋_GB2312" w:eastAsia="仿宋_GB2312" w:hint="eastAsia"/>
          <w:sz w:val="28"/>
          <w:szCs w:val="28"/>
        </w:rPr>
        <w:t>。2023年度“三公”经费财政拨款决算数</w:t>
      </w:r>
      <w:r>
        <w:rPr>
          <w:rFonts w:ascii="仿宋_GB2312" w:eastAsia="仿宋_GB2312"/>
          <w:sz w:val="28"/>
          <w:szCs w:val="28"/>
        </w:rPr>
        <w:t>4.91</w:t>
      </w:r>
      <w:r>
        <w:rPr>
          <w:rFonts w:ascii="仿宋_GB2312" w:eastAsia="仿宋_GB2312" w:hint="eastAsia"/>
          <w:sz w:val="28"/>
          <w:szCs w:val="28"/>
        </w:rPr>
        <w:t>万元，比2023年度“三公”经费财政拨款年初预算</w:t>
      </w:r>
      <w:r>
        <w:rPr>
          <w:rFonts w:ascii="仿宋_GB2312" w:eastAsia="仿宋_GB2312"/>
          <w:sz w:val="28"/>
          <w:szCs w:val="28"/>
        </w:rPr>
        <w:t>7.13</w:t>
      </w:r>
      <w:r>
        <w:rPr>
          <w:rFonts w:ascii="仿宋_GB2312" w:eastAsia="仿宋_GB2312" w:hint="eastAsia"/>
          <w:sz w:val="28"/>
          <w:szCs w:val="28"/>
        </w:rPr>
        <w:t>万元减少</w:t>
      </w:r>
      <w:r>
        <w:rPr>
          <w:rFonts w:ascii="仿宋_GB2312" w:eastAsia="仿宋_GB2312"/>
          <w:sz w:val="28"/>
          <w:szCs w:val="28"/>
        </w:rPr>
        <w:t>2.2</w:t>
      </w:r>
      <w:r>
        <w:rPr>
          <w:rFonts w:ascii="仿宋_GB2312" w:eastAsia="仿宋_GB2312" w:hint="eastAsia"/>
          <w:sz w:val="28"/>
          <w:szCs w:val="28"/>
        </w:rPr>
        <w:t>2万元。其中：</w:t>
      </w:r>
    </w:p>
    <w:p w:rsidR="00A44137" w:rsidRDefault="0005354C">
      <w:pPr>
        <w:spacing w:line="560" w:lineRule="exact"/>
        <w:ind w:firstLine="600"/>
        <w:rPr>
          <w:rFonts w:ascii="仿宋_GB2312" w:eastAsia="仿宋_GB2312"/>
          <w:sz w:val="28"/>
          <w:szCs w:val="28"/>
        </w:rPr>
      </w:pPr>
      <w:r>
        <w:rPr>
          <w:rFonts w:ascii="仿宋_GB2312" w:eastAsia="仿宋_GB2312" w:hint="eastAsia"/>
          <w:sz w:val="28"/>
          <w:szCs w:val="28"/>
        </w:rPr>
        <w:t>1.因公出国（境）费用。2023年度决算数</w:t>
      </w:r>
      <w:r>
        <w:rPr>
          <w:rFonts w:ascii="仿宋_GB2312" w:eastAsia="仿宋_GB2312"/>
          <w:sz w:val="28"/>
          <w:szCs w:val="28"/>
        </w:rPr>
        <w:t>0</w:t>
      </w:r>
      <w:r>
        <w:rPr>
          <w:rFonts w:ascii="仿宋_GB2312" w:eastAsia="仿宋_GB2312" w:hint="eastAsia"/>
          <w:sz w:val="28"/>
          <w:szCs w:val="28"/>
        </w:rPr>
        <w:t>万元，比2023年度年初预算数</w:t>
      </w:r>
      <w:r>
        <w:rPr>
          <w:rFonts w:ascii="仿宋_GB2312" w:eastAsia="仿宋_GB2312"/>
          <w:sz w:val="28"/>
          <w:szCs w:val="28"/>
        </w:rPr>
        <w:t>0</w:t>
      </w:r>
      <w:r>
        <w:rPr>
          <w:rFonts w:ascii="仿宋_GB2312" w:eastAsia="仿宋_GB2312" w:hint="eastAsia"/>
          <w:sz w:val="28"/>
          <w:szCs w:val="28"/>
        </w:rPr>
        <w:t>万元增加</w:t>
      </w:r>
      <w:r>
        <w:rPr>
          <w:rFonts w:ascii="仿宋_GB2312" w:eastAsia="仿宋_GB2312"/>
          <w:sz w:val="28"/>
          <w:szCs w:val="28"/>
        </w:rPr>
        <w:t>0</w:t>
      </w:r>
      <w:r>
        <w:rPr>
          <w:rFonts w:ascii="仿宋_GB2312" w:eastAsia="仿宋_GB2312" w:hint="eastAsia"/>
          <w:sz w:val="28"/>
          <w:szCs w:val="28"/>
        </w:rPr>
        <w:t>万元。2023年度组织因公出国（境）团组0个、0人次，人均因公出国（境）费用0万元。</w:t>
      </w:r>
    </w:p>
    <w:p w:rsidR="00A44137" w:rsidRDefault="0005354C">
      <w:pPr>
        <w:spacing w:line="560" w:lineRule="exact"/>
        <w:ind w:firstLine="600"/>
        <w:rPr>
          <w:rFonts w:ascii="仿宋_GB2312" w:eastAsia="仿宋_GB2312"/>
          <w:sz w:val="28"/>
          <w:szCs w:val="28"/>
        </w:rPr>
      </w:pPr>
      <w:r>
        <w:rPr>
          <w:rFonts w:ascii="仿宋_GB2312" w:eastAsia="仿宋_GB2312" w:hint="eastAsia"/>
          <w:sz w:val="28"/>
          <w:szCs w:val="28"/>
        </w:rPr>
        <w:t>2.公务接待费。2023年度决算数</w:t>
      </w:r>
      <w:r>
        <w:rPr>
          <w:rFonts w:ascii="仿宋_GB2312" w:eastAsia="仿宋_GB2312"/>
          <w:sz w:val="28"/>
          <w:szCs w:val="28"/>
        </w:rPr>
        <w:t>0</w:t>
      </w:r>
      <w:r>
        <w:rPr>
          <w:rFonts w:ascii="仿宋_GB2312" w:eastAsia="仿宋_GB2312" w:hint="eastAsia"/>
          <w:sz w:val="28"/>
          <w:szCs w:val="28"/>
        </w:rPr>
        <w:t>万元，比2023年度年初预算数</w:t>
      </w:r>
      <w:r>
        <w:rPr>
          <w:rFonts w:ascii="仿宋_GB2312" w:eastAsia="仿宋_GB2312"/>
          <w:sz w:val="28"/>
          <w:szCs w:val="28"/>
        </w:rPr>
        <w:t>0</w:t>
      </w:r>
      <w:r>
        <w:rPr>
          <w:rFonts w:ascii="仿宋_GB2312" w:eastAsia="仿宋_GB2312" w:hint="eastAsia"/>
          <w:sz w:val="28"/>
          <w:szCs w:val="28"/>
        </w:rPr>
        <w:t>万元增加</w:t>
      </w:r>
      <w:r>
        <w:rPr>
          <w:rFonts w:ascii="仿宋_GB2312" w:eastAsia="仿宋_GB2312"/>
          <w:sz w:val="28"/>
          <w:szCs w:val="28"/>
        </w:rPr>
        <w:t>0</w:t>
      </w:r>
      <w:r>
        <w:rPr>
          <w:rFonts w:ascii="仿宋_GB2312" w:eastAsia="仿宋_GB2312" w:hint="eastAsia"/>
          <w:sz w:val="28"/>
          <w:szCs w:val="28"/>
        </w:rPr>
        <w:t>万元。公务接待0批次，公务接待0人次。</w:t>
      </w:r>
    </w:p>
    <w:p w:rsidR="00A44137" w:rsidRDefault="0005354C">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3.公务用车购置及运行维护费。2023年度决算数4.91万元，比2023年度年初预算数7.13万元减少2.22万元。</w:t>
      </w:r>
    </w:p>
    <w:p w:rsidR="00A44137" w:rsidRDefault="0005354C">
      <w:pPr>
        <w:spacing w:line="560" w:lineRule="exact"/>
        <w:ind w:firstLineChars="200" w:firstLine="560"/>
        <w:rPr>
          <w:rFonts w:ascii="仿宋_GB2312" w:eastAsia="仿宋_GB2312"/>
          <w:sz w:val="28"/>
          <w:szCs w:val="28"/>
        </w:rPr>
      </w:pPr>
      <w:r>
        <w:rPr>
          <w:rFonts w:ascii="仿宋_GB2312" w:eastAsia="仿宋_GB2312" w:hint="eastAsia"/>
          <w:sz w:val="28"/>
          <w:szCs w:val="28"/>
        </w:rPr>
        <w:t>其中，公务用车购置费2023年度决算数</w:t>
      </w:r>
      <w:r>
        <w:rPr>
          <w:rFonts w:ascii="仿宋_GB2312" w:eastAsia="仿宋_GB2312"/>
          <w:sz w:val="28"/>
          <w:szCs w:val="28"/>
        </w:rPr>
        <w:t>0</w:t>
      </w:r>
      <w:r>
        <w:rPr>
          <w:rFonts w:ascii="仿宋_GB2312" w:eastAsia="仿宋_GB2312" w:hint="eastAsia"/>
          <w:sz w:val="28"/>
          <w:szCs w:val="28"/>
        </w:rPr>
        <w:t>万元，比2023年度年初预算数</w:t>
      </w:r>
      <w:r>
        <w:rPr>
          <w:rFonts w:ascii="仿宋_GB2312" w:eastAsia="仿宋_GB2312"/>
          <w:sz w:val="28"/>
          <w:szCs w:val="28"/>
        </w:rPr>
        <w:t>0</w:t>
      </w:r>
      <w:r>
        <w:rPr>
          <w:rFonts w:ascii="仿宋_GB2312" w:eastAsia="仿宋_GB2312" w:hint="eastAsia"/>
          <w:sz w:val="28"/>
          <w:szCs w:val="28"/>
        </w:rPr>
        <w:t>万元增加</w:t>
      </w:r>
      <w:r>
        <w:rPr>
          <w:rFonts w:ascii="仿宋_GB2312" w:eastAsia="仿宋_GB2312"/>
          <w:sz w:val="28"/>
          <w:szCs w:val="28"/>
        </w:rPr>
        <w:t>0</w:t>
      </w:r>
      <w:r>
        <w:rPr>
          <w:rFonts w:ascii="仿宋_GB2312" w:eastAsia="仿宋_GB2312" w:hint="eastAsia"/>
          <w:sz w:val="28"/>
          <w:szCs w:val="28"/>
        </w:rPr>
        <w:t>万元。2023年度购置（更新）0辆，车均购置费0万元。公务用车运行维护费2023年度决算数</w:t>
      </w:r>
      <w:r>
        <w:rPr>
          <w:rFonts w:ascii="仿宋_GB2312" w:eastAsia="仿宋_GB2312"/>
          <w:sz w:val="28"/>
          <w:szCs w:val="28"/>
        </w:rPr>
        <w:t>4.91</w:t>
      </w:r>
      <w:r>
        <w:rPr>
          <w:rFonts w:ascii="仿宋_GB2312" w:eastAsia="仿宋_GB2312" w:hint="eastAsia"/>
          <w:sz w:val="28"/>
          <w:szCs w:val="28"/>
        </w:rPr>
        <w:t>万元，比2023年度年初预算数</w:t>
      </w:r>
      <w:r>
        <w:rPr>
          <w:rFonts w:ascii="仿宋_GB2312" w:eastAsia="仿宋_GB2312"/>
          <w:sz w:val="28"/>
          <w:szCs w:val="28"/>
        </w:rPr>
        <w:t>7.13</w:t>
      </w:r>
      <w:r>
        <w:rPr>
          <w:rFonts w:ascii="仿宋_GB2312" w:eastAsia="仿宋_GB2312" w:hint="eastAsia"/>
          <w:sz w:val="28"/>
          <w:szCs w:val="28"/>
        </w:rPr>
        <w:t>万元减少2.22万元，主要原因：落实政府过紧日子要求，压减经费支出。2023年度公务用车运行维护费中，公务用车加油</w:t>
      </w:r>
      <w:r>
        <w:rPr>
          <w:rFonts w:ascii="仿宋_GB2312" w:eastAsia="仿宋_GB2312"/>
          <w:sz w:val="28"/>
          <w:szCs w:val="28"/>
        </w:rPr>
        <w:t>1.8</w:t>
      </w:r>
      <w:r>
        <w:rPr>
          <w:rFonts w:ascii="仿宋_GB2312" w:eastAsia="仿宋_GB2312" w:hint="eastAsia"/>
          <w:sz w:val="28"/>
          <w:szCs w:val="28"/>
        </w:rPr>
        <w:t>万元，公务用车维修</w:t>
      </w:r>
      <w:r>
        <w:rPr>
          <w:rFonts w:ascii="仿宋_GB2312" w:eastAsia="仿宋_GB2312"/>
          <w:sz w:val="28"/>
          <w:szCs w:val="28"/>
        </w:rPr>
        <w:t>2.1</w:t>
      </w:r>
      <w:r>
        <w:rPr>
          <w:rFonts w:ascii="仿宋_GB2312" w:eastAsia="仿宋_GB2312" w:hint="eastAsia"/>
          <w:sz w:val="28"/>
          <w:szCs w:val="28"/>
        </w:rPr>
        <w:t>1万元，公务用车保险</w:t>
      </w:r>
      <w:r>
        <w:rPr>
          <w:rFonts w:ascii="仿宋_GB2312" w:eastAsia="仿宋_GB2312"/>
          <w:sz w:val="28"/>
          <w:szCs w:val="28"/>
        </w:rPr>
        <w:t>1</w:t>
      </w:r>
      <w:r>
        <w:rPr>
          <w:rFonts w:ascii="仿宋_GB2312" w:eastAsia="仿宋_GB2312" w:hint="eastAsia"/>
          <w:sz w:val="28"/>
          <w:szCs w:val="28"/>
        </w:rPr>
        <w:t>万元，公务用车其他支出</w:t>
      </w:r>
      <w:r>
        <w:rPr>
          <w:rFonts w:ascii="仿宋_GB2312" w:eastAsia="仿宋_GB2312"/>
          <w:sz w:val="28"/>
          <w:szCs w:val="28"/>
        </w:rPr>
        <w:t>0</w:t>
      </w:r>
      <w:r>
        <w:rPr>
          <w:rFonts w:ascii="仿宋_GB2312" w:eastAsia="仿宋_GB2312" w:hint="eastAsia"/>
          <w:sz w:val="28"/>
          <w:szCs w:val="28"/>
        </w:rPr>
        <w:t>万元。2023年度公务用车保有量5辆，车均运行维护费0.98万元。</w:t>
      </w:r>
    </w:p>
    <w:p w:rsidR="00A44137" w:rsidRDefault="0005354C">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A44137" w:rsidRDefault="0005354C">
      <w:pPr>
        <w:ind w:firstLineChars="192" w:firstLine="538"/>
        <w:rPr>
          <w:rFonts w:ascii="仿宋_GB2312" w:eastAsia="仿宋_GB2312"/>
          <w:sz w:val="28"/>
          <w:szCs w:val="28"/>
        </w:rPr>
      </w:pPr>
      <w:r>
        <w:rPr>
          <w:rFonts w:ascii="仿宋_GB2312" w:eastAsia="仿宋_GB2312" w:hint="eastAsia"/>
          <w:sz w:val="28"/>
          <w:szCs w:val="28"/>
        </w:rPr>
        <w:t>2023年度使用财政拨款安排的基本支出中的日常公用经费支出，合计223.15万元，比上年减少29.08万元，减少</w:t>
      </w:r>
      <w:r>
        <w:rPr>
          <w:rFonts w:ascii="仿宋_GB2312" w:eastAsia="仿宋_GB2312" w:hint="eastAsia"/>
          <w:sz w:val="28"/>
          <w:szCs w:val="28"/>
        </w:rPr>
        <w:lastRenderedPageBreak/>
        <w:t>原因：落实政府过紧日子要求，压减经费支出。</w:t>
      </w:r>
    </w:p>
    <w:p w:rsidR="00A44137" w:rsidRDefault="0005354C">
      <w:pPr>
        <w:ind w:left="540"/>
        <w:rPr>
          <w:rFonts w:ascii="黑体" w:eastAsia="黑体"/>
          <w:sz w:val="28"/>
          <w:szCs w:val="28"/>
        </w:rPr>
      </w:pPr>
      <w:r>
        <w:rPr>
          <w:rFonts w:ascii="黑体" w:eastAsia="黑体" w:hint="eastAsia"/>
          <w:sz w:val="28"/>
          <w:szCs w:val="28"/>
        </w:rPr>
        <w:t>三、政府采购支出情况</w:t>
      </w:r>
    </w:p>
    <w:p w:rsidR="00A44137" w:rsidRDefault="0005354C">
      <w:pPr>
        <w:ind w:firstLineChars="192" w:firstLine="538"/>
        <w:rPr>
          <w:rFonts w:ascii="仿宋_GB2312" w:eastAsia="仿宋_GB2312"/>
          <w:sz w:val="28"/>
          <w:szCs w:val="28"/>
        </w:rPr>
      </w:pPr>
      <w:r>
        <w:rPr>
          <w:rFonts w:ascii="仿宋_GB2312" w:eastAsia="仿宋_GB2312" w:hint="eastAsia"/>
          <w:sz w:val="28"/>
          <w:szCs w:val="28"/>
        </w:rPr>
        <w:t>2023年度政府采购支出总额</w:t>
      </w:r>
      <w:r>
        <w:rPr>
          <w:rFonts w:ascii="仿宋_GB2312" w:eastAsia="仿宋_GB2312"/>
          <w:sz w:val="28"/>
          <w:szCs w:val="28"/>
        </w:rPr>
        <w:t>21.74</w:t>
      </w:r>
      <w:r>
        <w:rPr>
          <w:rFonts w:ascii="仿宋_GB2312" w:eastAsia="仿宋_GB2312" w:hint="eastAsia"/>
          <w:sz w:val="28"/>
          <w:szCs w:val="28"/>
        </w:rPr>
        <w:t>万元，其中：政府采购货物支出</w:t>
      </w:r>
      <w:r>
        <w:rPr>
          <w:rFonts w:ascii="仿宋_GB2312" w:eastAsia="仿宋_GB2312"/>
          <w:sz w:val="28"/>
          <w:szCs w:val="28"/>
        </w:rPr>
        <w:t>1.36</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20.38</w:t>
      </w:r>
      <w:r>
        <w:rPr>
          <w:rFonts w:ascii="仿宋_GB2312" w:eastAsia="仿宋_GB2312" w:hint="eastAsia"/>
          <w:sz w:val="28"/>
          <w:szCs w:val="28"/>
        </w:rPr>
        <w:t>万元。授予中小企业合同金额</w:t>
      </w:r>
      <w:r>
        <w:rPr>
          <w:rFonts w:ascii="仿宋_GB2312" w:eastAsia="仿宋_GB2312"/>
          <w:sz w:val="28"/>
          <w:szCs w:val="28"/>
        </w:rPr>
        <w:t>16</w:t>
      </w:r>
      <w:r>
        <w:rPr>
          <w:rFonts w:ascii="仿宋_GB2312" w:eastAsia="仿宋_GB2312" w:hint="eastAsia"/>
          <w:sz w:val="28"/>
          <w:szCs w:val="28"/>
        </w:rPr>
        <w:t>万元，占政府采购支出总额的</w:t>
      </w:r>
      <w:r>
        <w:rPr>
          <w:rFonts w:ascii="仿宋_GB2312" w:eastAsia="仿宋_GB2312"/>
          <w:sz w:val="28"/>
          <w:szCs w:val="28"/>
        </w:rPr>
        <w:t>73.59</w:t>
      </w:r>
      <w:r>
        <w:rPr>
          <w:rFonts w:ascii="仿宋_GB2312" w:eastAsia="仿宋_GB2312" w:hint="eastAsia"/>
          <w:sz w:val="28"/>
          <w:szCs w:val="28"/>
        </w:rPr>
        <w:t>%，其中：授予小微企业合同金额</w:t>
      </w:r>
      <w:r>
        <w:rPr>
          <w:rFonts w:ascii="仿宋_GB2312" w:eastAsia="仿宋_GB2312"/>
          <w:sz w:val="28"/>
          <w:szCs w:val="28"/>
        </w:rPr>
        <w:t>16</w:t>
      </w:r>
      <w:r>
        <w:rPr>
          <w:rFonts w:ascii="仿宋_GB2312" w:eastAsia="仿宋_GB2312" w:hint="eastAsia"/>
          <w:sz w:val="28"/>
          <w:szCs w:val="28"/>
        </w:rPr>
        <w:t>万元，占政府采购支出总额的</w:t>
      </w:r>
      <w:r>
        <w:rPr>
          <w:rFonts w:ascii="仿宋_GB2312" w:eastAsia="仿宋_GB2312"/>
          <w:sz w:val="28"/>
          <w:szCs w:val="28"/>
        </w:rPr>
        <w:t>73.59</w:t>
      </w:r>
      <w:r>
        <w:rPr>
          <w:rFonts w:ascii="仿宋_GB2312" w:eastAsia="仿宋_GB2312" w:hint="eastAsia"/>
          <w:sz w:val="28"/>
          <w:szCs w:val="28"/>
        </w:rPr>
        <w:t>%。</w:t>
      </w:r>
    </w:p>
    <w:p w:rsidR="00A44137" w:rsidRDefault="0005354C">
      <w:pPr>
        <w:ind w:firstLineChars="200" w:firstLine="560"/>
        <w:rPr>
          <w:rFonts w:ascii="黑体" w:eastAsia="黑体"/>
          <w:sz w:val="28"/>
          <w:szCs w:val="28"/>
          <w:highlight w:val="yellow"/>
        </w:rPr>
      </w:pPr>
      <w:r>
        <w:rPr>
          <w:rFonts w:ascii="黑体" w:eastAsia="黑体" w:hint="eastAsia"/>
          <w:sz w:val="28"/>
          <w:szCs w:val="28"/>
        </w:rPr>
        <w:t>四、国有资产占用情况</w:t>
      </w:r>
    </w:p>
    <w:p w:rsidR="00A44137" w:rsidRDefault="0005354C">
      <w:pPr>
        <w:ind w:firstLineChars="200" w:firstLine="560"/>
        <w:rPr>
          <w:rFonts w:ascii="仿宋_GB2312" w:eastAsia="仿宋_GB2312"/>
          <w:sz w:val="32"/>
          <w:szCs w:val="32"/>
        </w:rPr>
      </w:pPr>
      <w:r>
        <w:rPr>
          <w:rFonts w:ascii="仿宋_GB2312" w:eastAsia="仿宋_GB2312" w:hint="eastAsia"/>
          <w:sz w:val="28"/>
          <w:szCs w:val="28"/>
        </w:rPr>
        <w:t>2023年度新购置车辆0台，共计0万元；新购置单位价值100万元（含）以上的设备0台（套），共计0万元。截至12月31日，0部门共有车辆0台，共计0万元；单位价值100万元（含）以上的设备0台（套），共计0万元。</w:t>
      </w:r>
    </w:p>
    <w:p w:rsidR="00A44137" w:rsidRDefault="0005354C">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A44137" w:rsidRDefault="0005354C">
      <w:pPr>
        <w:ind w:firstLineChars="192" w:firstLine="538"/>
        <w:rPr>
          <w:rFonts w:ascii="仿宋_GB2312" w:eastAsia="仿宋_GB2312"/>
          <w:sz w:val="28"/>
          <w:szCs w:val="28"/>
        </w:rPr>
      </w:pPr>
      <w:r>
        <w:rPr>
          <w:rFonts w:ascii="仿宋_GB2312" w:eastAsia="仿宋_GB2312" w:hint="eastAsia"/>
          <w:sz w:val="28"/>
          <w:szCs w:val="28"/>
        </w:rPr>
        <w:t>2023年度</w:t>
      </w:r>
      <w:r>
        <w:rPr>
          <w:rFonts w:ascii="仿宋_GB2312" w:eastAsia="仿宋_GB2312"/>
          <w:sz w:val="28"/>
          <w:szCs w:val="28"/>
        </w:rPr>
        <w:t>政府购买服务决算29.44</w:t>
      </w:r>
      <w:r>
        <w:rPr>
          <w:rFonts w:ascii="仿宋_GB2312" w:eastAsia="仿宋_GB2312" w:hint="eastAsia"/>
          <w:sz w:val="28"/>
          <w:szCs w:val="28"/>
        </w:rPr>
        <w:t>万元。</w:t>
      </w:r>
    </w:p>
    <w:p w:rsidR="00A44137" w:rsidRDefault="0005354C">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A44137" w:rsidRDefault="0005354C">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A44137" w:rsidRDefault="0005354C">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A44137" w:rsidRDefault="0005354C">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w:t>
      </w:r>
      <w:r>
        <w:rPr>
          <w:rFonts w:ascii="仿宋_GB2312" w:eastAsia="仿宋_GB2312" w:hAnsi="宋体" w:hint="eastAsia"/>
          <w:sz w:val="28"/>
          <w:szCs w:val="28"/>
        </w:rPr>
        <w:lastRenderedPageBreak/>
        <w:t>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A44137" w:rsidRDefault="0005354C">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A44137" w:rsidRDefault="0005354C">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A44137" w:rsidRDefault="0005354C">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A44137" w:rsidRDefault="0005354C">
      <w:pPr>
        <w:ind w:firstLineChars="150" w:firstLine="420"/>
        <w:rPr>
          <w:rFonts w:ascii="仿宋_GB2312" w:eastAsia="仿宋_GB2312"/>
          <w:sz w:val="28"/>
          <w:szCs w:val="28"/>
        </w:rPr>
      </w:pPr>
      <w:r>
        <w:rPr>
          <w:rFonts w:ascii="仿宋_GB2312" w:eastAsia="仿宋_GB2312" w:hint="eastAsia"/>
          <w:sz w:val="28"/>
          <w:szCs w:val="28"/>
        </w:rPr>
        <w:t>7、教育支出（类）进修及培训（款）培训支出（项）：反映各部门安排用于培训的支出。教育部门的师资培训，党校、行政学院等专业干部教育机构的支出，以及退役士兵、转业士官的培训支出，不在本科目反映。</w:t>
      </w:r>
    </w:p>
    <w:p w:rsidR="00A44137" w:rsidRDefault="0005354C">
      <w:pPr>
        <w:ind w:firstLineChars="150" w:firstLine="420"/>
        <w:rPr>
          <w:rFonts w:ascii="仿宋_GB2312" w:eastAsia="仿宋_GB2312"/>
          <w:sz w:val="28"/>
          <w:szCs w:val="28"/>
        </w:rPr>
      </w:pPr>
      <w:r>
        <w:rPr>
          <w:rFonts w:ascii="仿宋_GB2312" w:eastAsia="仿宋_GB2312" w:hint="eastAsia"/>
          <w:sz w:val="28"/>
          <w:szCs w:val="28"/>
        </w:rPr>
        <w:t>8、社会保障和就业支出（类）行政事业单位养老支出（款）行政单位离退休（项）：反映行政单位（包括实行公务员管理的事业单位）开支的离退休经费。</w:t>
      </w:r>
    </w:p>
    <w:p w:rsidR="00A44137" w:rsidRDefault="0005354C">
      <w:pPr>
        <w:ind w:firstLineChars="150" w:firstLine="420"/>
        <w:rPr>
          <w:rFonts w:ascii="仿宋_GB2312" w:eastAsia="仿宋_GB2312"/>
          <w:sz w:val="28"/>
          <w:szCs w:val="28"/>
        </w:rPr>
      </w:pPr>
      <w:r>
        <w:rPr>
          <w:rFonts w:ascii="仿宋_GB2312" w:eastAsia="仿宋_GB2312" w:hint="eastAsia"/>
          <w:sz w:val="28"/>
          <w:szCs w:val="28"/>
        </w:rPr>
        <w:t>9、社会保障和就业支出（类）行政事业单位养老支出（款）机关事业单位基本养老保险缴费支出（项）：反映机关事业单位实施养老保险制度由单位实际缴纳的基本养老保险支出。</w:t>
      </w:r>
    </w:p>
    <w:p w:rsidR="00A44137" w:rsidRDefault="0005354C">
      <w:pPr>
        <w:ind w:firstLineChars="150" w:firstLine="420"/>
        <w:rPr>
          <w:rFonts w:ascii="仿宋_GB2312" w:eastAsia="仿宋_GB2312"/>
          <w:sz w:val="28"/>
          <w:szCs w:val="28"/>
        </w:rPr>
      </w:pPr>
      <w:r>
        <w:rPr>
          <w:rFonts w:ascii="仿宋_GB2312" w:eastAsia="仿宋_GB2312" w:hint="eastAsia"/>
          <w:sz w:val="28"/>
          <w:szCs w:val="28"/>
        </w:rPr>
        <w:lastRenderedPageBreak/>
        <w:t>10、社会保障和就业支出（类）行政事业单位养老支出（款）机关事业单位职业年金缴费支出（项）：反映机关事业单位实施养老保险制度由单位实际缴纳的职业年金支出。</w:t>
      </w:r>
    </w:p>
    <w:p w:rsidR="00A44137" w:rsidRDefault="0005354C">
      <w:pPr>
        <w:ind w:firstLineChars="150" w:firstLine="420"/>
        <w:rPr>
          <w:rFonts w:ascii="仿宋_GB2312" w:eastAsia="仿宋_GB2312"/>
          <w:sz w:val="28"/>
          <w:szCs w:val="28"/>
        </w:rPr>
      </w:pPr>
      <w:r>
        <w:rPr>
          <w:rFonts w:ascii="仿宋_GB2312" w:eastAsia="仿宋_GB2312" w:hint="eastAsia"/>
          <w:sz w:val="28"/>
          <w:szCs w:val="28"/>
        </w:rPr>
        <w:t>11、社会保障和就业支出（类）行政事业单位养老支出（款）其他行政事业单位养老支出（项）：反映出上述项目以外其他用于行政事业单位养老方面的支出。</w:t>
      </w:r>
    </w:p>
    <w:p w:rsidR="00A44137" w:rsidRDefault="0005354C">
      <w:pPr>
        <w:ind w:firstLineChars="150" w:firstLine="420"/>
        <w:rPr>
          <w:rFonts w:ascii="仿宋_GB2312" w:eastAsia="仿宋_GB2312"/>
          <w:sz w:val="28"/>
          <w:szCs w:val="28"/>
        </w:rPr>
      </w:pPr>
      <w:r>
        <w:rPr>
          <w:rFonts w:ascii="仿宋_GB2312" w:eastAsia="仿宋_GB2312" w:hint="eastAsia"/>
          <w:sz w:val="28"/>
          <w:szCs w:val="28"/>
        </w:rPr>
        <w:t>12、卫生健康支出（类）行政事业单位医疗（款）行政单位医疗（项）：反映财政部门安排的行政单位（包括实行公务员管理的事业单位，下同）基本医疗保险缴费经费，未参加医疗保险的行政单位的公费医疗经费，按国际规定享受离休人员、红军老战士待遇人员的医疗经费。</w:t>
      </w:r>
    </w:p>
    <w:p w:rsidR="00A44137" w:rsidRDefault="0005354C">
      <w:pPr>
        <w:ind w:firstLineChars="150" w:firstLine="420"/>
        <w:rPr>
          <w:rFonts w:ascii="仿宋_GB2312" w:eastAsia="仿宋_GB2312"/>
          <w:sz w:val="28"/>
          <w:szCs w:val="28"/>
        </w:rPr>
      </w:pPr>
      <w:r>
        <w:rPr>
          <w:rFonts w:ascii="仿宋_GB2312" w:eastAsia="仿宋_GB2312" w:hint="eastAsia"/>
          <w:sz w:val="28"/>
          <w:szCs w:val="28"/>
        </w:rPr>
        <w:t>13、卫生健康支出（类）行政事业单位医疗（款）公务员医疗补助（项）：反映财政部门安排的公务员医疗补助经费。</w:t>
      </w:r>
    </w:p>
    <w:p w:rsidR="00A44137" w:rsidRDefault="0005354C">
      <w:pPr>
        <w:ind w:firstLineChars="150" w:firstLine="420"/>
        <w:rPr>
          <w:rFonts w:ascii="仿宋_GB2312" w:eastAsia="仿宋_GB2312"/>
          <w:sz w:val="28"/>
          <w:szCs w:val="28"/>
        </w:rPr>
      </w:pPr>
      <w:r>
        <w:rPr>
          <w:rFonts w:ascii="仿宋_GB2312" w:eastAsia="仿宋_GB2312" w:hint="eastAsia"/>
          <w:sz w:val="28"/>
          <w:szCs w:val="28"/>
        </w:rPr>
        <w:t>14、交通运输支出（类）公路水路运输（款）其他公路水路运输支出（项）：反映出上述项目以外其他用于公路水路运输方面的支出。</w:t>
      </w:r>
    </w:p>
    <w:p w:rsidR="00A44137" w:rsidRDefault="0005354C">
      <w:pPr>
        <w:ind w:firstLineChars="150" w:firstLine="420"/>
        <w:rPr>
          <w:rFonts w:ascii="仿宋_GB2312" w:eastAsia="仿宋_GB2312"/>
          <w:sz w:val="32"/>
          <w:szCs w:val="28"/>
        </w:rPr>
      </w:pPr>
      <w:r>
        <w:rPr>
          <w:rFonts w:ascii="仿宋_GB2312" w:eastAsia="仿宋_GB2312" w:hint="eastAsia"/>
          <w:sz w:val="28"/>
          <w:szCs w:val="28"/>
        </w:rPr>
        <w:t>15、交通运输支出（类）其他交通运输支出（款）其他交通运输支出（项）：反映其他交通运输支出中除对公共交通运营补助以外的其他支出。</w:t>
      </w:r>
    </w:p>
    <w:p w:rsidR="00A44137" w:rsidRDefault="00A44137">
      <w:pPr>
        <w:ind w:firstLineChars="200" w:firstLine="560"/>
        <w:rPr>
          <w:rFonts w:ascii="仿宋_GB2312" w:eastAsia="仿宋_GB2312"/>
          <w:sz w:val="28"/>
          <w:szCs w:val="28"/>
        </w:rPr>
      </w:pPr>
    </w:p>
    <w:p w:rsidR="00A44137" w:rsidRDefault="00A44137">
      <w:pPr>
        <w:rPr>
          <w:rFonts w:ascii="仿宋_GB2312" w:eastAsia="仿宋_GB2312"/>
          <w:sz w:val="28"/>
          <w:szCs w:val="28"/>
        </w:rPr>
      </w:pPr>
    </w:p>
    <w:p w:rsidR="00A44137" w:rsidRDefault="00A44137">
      <w:pPr>
        <w:ind w:firstLineChars="200" w:firstLine="634"/>
        <w:rPr>
          <w:rFonts w:ascii="仿宋_GB2312" w:eastAsia="仿宋_GB2312"/>
          <w:b/>
          <w:color w:val="000000"/>
          <w:spacing w:val="-2"/>
          <w:sz w:val="32"/>
          <w:szCs w:val="32"/>
        </w:rPr>
      </w:pPr>
    </w:p>
    <w:p w:rsidR="00A44137" w:rsidRDefault="00A44137">
      <w:pPr>
        <w:ind w:firstLineChars="200" w:firstLine="640"/>
        <w:jc w:val="center"/>
        <w:rPr>
          <w:rFonts w:ascii="黑体" w:eastAsia="黑体"/>
          <w:sz w:val="32"/>
          <w:szCs w:val="32"/>
        </w:rPr>
      </w:pPr>
    </w:p>
    <w:p w:rsidR="00A44137" w:rsidRDefault="00A44137">
      <w:pPr>
        <w:ind w:firstLineChars="200" w:firstLine="640"/>
        <w:jc w:val="center"/>
        <w:rPr>
          <w:rFonts w:ascii="黑体" w:eastAsia="黑体"/>
          <w:sz w:val="32"/>
          <w:szCs w:val="32"/>
        </w:rPr>
      </w:pPr>
    </w:p>
    <w:p w:rsidR="00A44137" w:rsidRDefault="0005354C">
      <w:pPr>
        <w:ind w:firstLineChars="200" w:firstLine="640"/>
        <w:jc w:val="center"/>
        <w:rPr>
          <w:rFonts w:ascii="黑体" w:eastAsia="黑体"/>
          <w:sz w:val="32"/>
          <w:szCs w:val="32"/>
        </w:rPr>
      </w:pPr>
      <w:r>
        <w:rPr>
          <w:rFonts w:ascii="黑体" w:eastAsia="黑体" w:hint="eastAsia"/>
          <w:sz w:val="32"/>
          <w:szCs w:val="32"/>
        </w:rPr>
        <w:t>第四部分  2023年度部门绩效评价情况</w:t>
      </w:r>
    </w:p>
    <w:p w:rsidR="00A44137" w:rsidRDefault="00A44137">
      <w:pPr>
        <w:ind w:firstLineChars="200" w:firstLine="560"/>
        <w:rPr>
          <w:rFonts w:ascii="黑体" w:eastAsia="黑体"/>
          <w:sz w:val="28"/>
          <w:szCs w:val="28"/>
          <w:highlight w:val="yellow"/>
        </w:rPr>
      </w:pPr>
    </w:p>
    <w:p w:rsidR="00A44137" w:rsidRDefault="0005354C">
      <w:pPr>
        <w:ind w:firstLineChars="150" w:firstLine="420"/>
        <w:rPr>
          <w:rFonts w:ascii="仿宋_GB2312" w:eastAsia="仿宋_GB2312"/>
          <w:sz w:val="28"/>
          <w:szCs w:val="28"/>
        </w:rPr>
      </w:pPr>
      <w:r>
        <w:rPr>
          <w:rFonts w:ascii="仿宋_GB2312" w:eastAsia="仿宋_GB2312" w:hint="eastAsia"/>
          <w:sz w:val="28"/>
          <w:szCs w:val="28"/>
        </w:rPr>
        <w:t>项目支出绩效自评表详见附件。</w:t>
      </w:r>
    </w:p>
    <w:p w:rsidR="00A44137" w:rsidRDefault="00A44137">
      <w:pPr>
        <w:pStyle w:val="2"/>
        <w:ind w:firstLine="560"/>
      </w:pPr>
    </w:p>
    <w:p w:rsidR="00A44137" w:rsidRDefault="00A44137"/>
    <w:p w:rsidR="00A44137" w:rsidRDefault="00A44137">
      <w:pPr>
        <w:pStyle w:val="2"/>
      </w:pPr>
    </w:p>
    <w:p w:rsidR="00A44137" w:rsidRDefault="00A44137"/>
    <w:sectPr w:rsidR="00A44137">
      <w:footerReference w:type="even" r:id="rId9"/>
      <w:footerReference w:type="default" r:id="rId10"/>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7787" w:rsidRDefault="00A47787">
      <w:r>
        <w:separator/>
      </w:r>
    </w:p>
  </w:endnote>
  <w:endnote w:type="continuationSeparator" w:id="0">
    <w:p w:rsidR="00A47787" w:rsidRDefault="00A47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Droid Sans">
    <w:altName w:val="思源黑体 CN Normal"/>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137" w:rsidRDefault="0005354C">
    <w:pPr>
      <w:pStyle w:val="a7"/>
      <w:framePr w:wrap="around" w:vAnchor="text" w:hAnchor="margin" w:xAlign="center" w:y="1"/>
      <w:rPr>
        <w:rStyle w:val="ad"/>
      </w:rPr>
    </w:pPr>
    <w:r>
      <w:fldChar w:fldCharType="begin"/>
    </w:r>
    <w:r>
      <w:rPr>
        <w:rStyle w:val="ad"/>
      </w:rPr>
      <w:instrText xml:space="preserve">PAGE  </w:instrText>
    </w:r>
    <w:r>
      <w:fldChar w:fldCharType="separate"/>
    </w:r>
    <w:r w:rsidR="00932BC3">
      <w:rPr>
        <w:rStyle w:val="ad"/>
        <w:noProof/>
      </w:rPr>
      <w:t>3</w:t>
    </w:r>
    <w:r>
      <w:fldChar w:fldCharType="end"/>
    </w:r>
  </w:p>
  <w:p w:rsidR="00A44137" w:rsidRDefault="00A44137">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137" w:rsidRDefault="0005354C">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rsidR="00A44137" w:rsidRDefault="00A44137">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137" w:rsidRDefault="0005354C">
    <w:pPr>
      <w:pStyle w:val="a7"/>
      <w:framePr w:wrap="around" w:vAnchor="text" w:hAnchor="margin" w:xAlign="center" w:y="1"/>
      <w:rPr>
        <w:rStyle w:val="ad"/>
      </w:rPr>
    </w:pPr>
    <w:r>
      <w:fldChar w:fldCharType="begin"/>
    </w:r>
    <w:r>
      <w:rPr>
        <w:rStyle w:val="ad"/>
      </w:rPr>
      <w:instrText xml:space="preserve">PAGE  </w:instrText>
    </w:r>
    <w:r>
      <w:fldChar w:fldCharType="separate"/>
    </w:r>
    <w:r w:rsidR="00932BC3">
      <w:rPr>
        <w:rStyle w:val="ad"/>
        <w:noProof/>
      </w:rPr>
      <w:t>13</w:t>
    </w:r>
    <w:r>
      <w:fldChar w:fldCharType="end"/>
    </w:r>
  </w:p>
  <w:p w:rsidR="00A44137" w:rsidRDefault="00A44137">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7787" w:rsidRDefault="00A47787">
      <w:r>
        <w:separator/>
      </w:r>
    </w:p>
  </w:footnote>
  <w:footnote w:type="continuationSeparator" w:id="0">
    <w:p w:rsidR="00A47787" w:rsidRDefault="00A47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llYzM1YWMyYjc1MGJhOTg5ZTdmYTM3ZDhjZGUzMWM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5354C"/>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1097"/>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04FA5"/>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2BC3"/>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137"/>
    <w:rsid w:val="00A44E87"/>
    <w:rsid w:val="00A477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66B56"/>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7F7"/>
    <w:rsid w:val="00E54F7E"/>
    <w:rsid w:val="00E560CE"/>
    <w:rsid w:val="00E5674E"/>
    <w:rsid w:val="00E63783"/>
    <w:rsid w:val="00E63F90"/>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9CB4812"/>
    <w:rsid w:val="0A324AD7"/>
    <w:rsid w:val="0F8E2C57"/>
    <w:rsid w:val="1059665E"/>
    <w:rsid w:val="10AC13BA"/>
    <w:rsid w:val="1AEC0734"/>
    <w:rsid w:val="1DEF20B0"/>
    <w:rsid w:val="1E761E86"/>
    <w:rsid w:val="20EE1D50"/>
    <w:rsid w:val="214243FA"/>
    <w:rsid w:val="229D0C7B"/>
    <w:rsid w:val="257A14F5"/>
    <w:rsid w:val="25F23247"/>
    <w:rsid w:val="27196C26"/>
    <w:rsid w:val="29EF086F"/>
    <w:rsid w:val="2EFFE297"/>
    <w:rsid w:val="301437CA"/>
    <w:rsid w:val="32F80E1A"/>
    <w:rsid w:val="3C2F3193"/>
    <w:rsid w:val="433E495C"/>
    <w:rsid w:val="4AC27CB3"/>
    <w:rsid w:val="4BF72BEF"/>
    <w:rsid w:val="4C2A3F17"/>
    <w:rsid w:val="4D201F92"/>
    <w:rsid w:val="51DB3C59"/>
    <w:rsid w:val="55762E42"/>
    <w:rsid w:val="559772D7"/>
    <w:rsid w:val="57A7B272"/>
    <w:rsid w:val="58470068"/>
    <w:rsid w:val="5A1720F9"/>
    <w:rsid w:val="5B9C37C2"/>
    <w:rsid w:val="5BA7C654"/>
    <w:rsid w:val="64C0607C"/>
    <w:rsid w:val="676F09E1"/>
    <w:rsid w:val="764159DE"/>
    <w:rsid w:val="78EA20F9"/>
    <w:rsid w:val="7A7F1C49"/>
    <w:rsid w:val="7B5B7AE6"/>
    <w:rsid w:val="7BA7071E"/>
    <w:rsid w:val="7BDF6DA8"/>
    <w:rsid w:val="7C7EDC1A"/>
    <w:rsid w:val="7CCED98D"/>
    <w:rsid w:val="7D08410F"/>
    <w:rsid w:val="7DB96DED"/>
    <w:rsid w:val="7DD3AD81"/>
    <w:rsid w:val="7F2E1EF3"/>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CAE705E-AED7-43DA-A33B-C9680C1C9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webSettings" Target="webSetting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xlsx"/></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___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rtlCol="0" anchor="t" anchorCtr="1"/>
          <a:lstStyle/>
          <a:p>
            <a:pPr algn="l">
              <a:defRPr lang="zh-CN" sz="1800" b="1" i="0" u="none" strike="noStrike" kern="1200" baseline="0">
                <a:solidFill>
                  <a:schemeClr val="tx1"/>
                </a:solidFill>
                <a:latin typeface="+mn-lt"/>
                <a:ea typeface="+mn-ea"/>
                <a:cs typeface="+mn-cs"/>
              </a:defRPr>
            </a:pPr>
            <a:r>
              <a:rPr lang="en-US"/>
              <a:t>收入决算</a:t>
            </a:r>
            <a:endParaRPr lang="en-US" sz="1100"/>
          </a:p>
        </c:rich>
      </c:tx>
      <c:overlay val="0"/>
      <c:spPr>
        <a:noFill/>
        <a:ln>
          <a:noFill/>
        </a:ln>
        <a:effectLst/>
      </c:spPr>
    </c:title>
    <c:autoTitleDeleted val="0"/>
    <c:plotArea>
      <c:layout/>
      <c:pieChart>
        <c:varyColors val="1"/>
        <c:ser>
          <c:idx val="0"/>
          <c:order val="0"/>
          <c:tx>
            <c:strRef>
              <c:f>Sheet1!$B$1</c:f>
              <c:strCache>
                <c:ptCount val="1"/>
                <c:pt idx="0">
                  <c:v>收入</c:v>
                </c:pt>
              </c:strCache>
            </c:strRef>
          </c:tx>
          <c:dPt>
            <c:idx val="0"/>
            <c:bubble3D val="0"/>
            <c:spPr>
              <a:solidFill>
                <a:schemeClr val="accent1"/>
              </a:solidFill>
              <a:ln>
                <a:solidFill>
                  <a:schemeClr val="bg1"/>
                </a:solidFill>
              </a:ln>
              <a:effectLst/>
            </c:spPr>
            <c:extLst>
              <c:ext xmlns:c16="http://schemas.microsoft.com/office/drawing/2014/chart" uri="{C3380CC4-5D6E-409C-BE32-E72D297353CC}">
                <c16:uniqueId val="{00000001-F55B-4F0F-AE2C-212A7DE7FF9A}"/>
              </c:ext>
            </c:extLst>
          </c:dPt>
          <c:dPt>
            <c:idx val="1"/>
            <c:bubble3D val="0"/>
            <c:spPr>
              <a:solidFill>
                <a:schemeClr val="accent2"/>
              </a:solidFill>
              <a:ln>
                <a:solidFill>
                  <a:schemeClr val="bg1"/>
                </a:solidFill>
              </a:ln>
              <a:effectLst/>
            </c:spPr>
            <c:extLst>
              <c:ext xmlns:c16="http://schemas.microsoft.com/office/drawing/2014/chart" uri="{C3380CC4-5D6E-409C-BE32-E72D297353CC}">
                <c16:uniqueId val="{00000003-F55B-4F0F-AE2C-212A7DE7FF9A}"/>
              </c:ext>
            </c:extLst>
          </c:dPt>
          <c:dPt>
            <c:idx val="2"/>
            <c:bubble3D val="0"/>
            <c:spPr>
              <a:solidFill>
                <a:schemeClr val="accent3"/>
              </a:solidFill>
              <a:ln>
                <a:solidFill>
                  <a:schemeClr val="bg1"/>
                </a:solidFill>
              </a:ln>
              <a:effectLst/>
            </c:spPr>
            <c:extLst>
              <c:ext xmlns:c16="http://schemas.microsoft.com/office/drawing/2014/chart" uri="{C3380CC4-5D6E-409C-BE32-E72D297353CC}">
                <c16:uniqueId val="{00000005-F55B-4F0F-AE2C-212A7DE7FF9A}"/>
              </c:ext>
            </c:extLst>
          </c:dPt>
          <c:dPt>
            <c:idx val="3"/>
            <c:bubble3D val="0"/>
            <c:spPr>
              <a:solidFill>
                <a:schemeClr val="accent4"/>
              </a:solidFill>
              <a:ln>
                <a:solidFill>
                  <a:schemeClr val="bg1"/>
                </a:solidFill>
              </a:ln>
              <a:effectLst/>
            </c:spPr>
            <c:extLst>
              <c:ext xmlns:c16="http://schemas.microsoft.com/office/drawing/2014/chart" uri="{C3380CC4-5D6E-409C-BE32-E72D297353CC}">
                <c16:uniqueId val="{00000007-F55B-4F0F-AE2C-212A7DE7FF9A}"/>
              </c:ext>
            </c:extLst>
          </c:dPt>
          <c:dPt>
            <c:idx val="4"/>
            <c:bubble3D val="0"/>
            <c:spPr>
              <a:solidFill>
                <a:schemeClr val="accent5"/>
              </a:solidFill>
              <a:ln>
                <a:solidFill>
                  <a:schemeClr val="bg1"/>
                </a:solidFill>
              </a:ln>
              <a:effectLst/>
            </c:spPr>
            <c:extLst>
              <c:ext xmlns:c16="http://schemas.microsoft.com/office/drawing/2014/chart" uri="{C3380CC4-5D6E-409C-BE32-E72D297353CC}">
                <c16:uniqueId val="{00000009-F55B-4F0F-AE2C-212A7DE7FF9A}"/>
              </c:ext>
            </c:extLst>
          </c:dPt>
          <c:dPt>
            <c:idx val="5"/>
            <c:bubble3D val="0"/>
            <c:spPr>
              <a:solidFill>
                <a:schemeClr val="accent6"/>
              </a:solidFill>
              <a:ln>
                <a:solidFill>
                  <a:schemeClr val="bg1"/>
                </a:solidFill>
              </a:ln>
              <a:effectLst/>
            </c:spPr>
            <c:extLst>
              <c:ext xmlns:c16="http://schemas.microsoft.com/office/drawing/2014/chart" uri="{C3380CC4-5D6E-409C-BE32-E72D297353CC}">
                <c16:uniqueId val="{0000000B-F55B-4F0F-AE2C-212A7DE7FF9A}"/>
              </c:ext>
            </c:extLst>
          </c:dPt>
          <c:dLbls>
            <c:dLbl>
              <c:idx val="0"/>
              <c:layout>
                <c:manualLayout>
                  <c:x val="9.3783354543831195E-3"/>
                  <c:y val="-0.16977984256208001"/>
                </c:manualLayout>
              </c:layout>
              <c:tx>
                <c:rich>
                  <a:bodyPr/>
                  <a:lstStyle/>
                  <a:p>
                    <a:r>
                      <a:rPr lang="en-US" altLang="zh-CN"/>
                      <a:t>99.96</a:t>
                    </a:r>
                    <a:r>
                      <a:rPr lang="en-US"/>
                      <a:t>%</a:t>
                    </a:r>
                  </a:p>
                </c:rich>
              </c:tx>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F55B-4F0F-AE2C-212A7DE7FF9A}"/>
                </c:ext>
              </c:extLst>
            </c:dLbl>
            <c:dLbl>
              <c:idx val="1"/>
              <c:delete val="1"/>
              <c:extLst>
                <c:ext xmlns:c15="http://schemas.microsoft.com/office/drawing/2012/chart" uri="{CE6537A1-D6FC-4f65-9D91-7224C49458BB}"/>
                <c:ext xmlns:c16="http://schemas.microsoft.com/office/drawing/2014/chart" uri="{C3380CC4-5D6E-409C-BE32-E72D297353CC}">
                  <c16:uniqueId val="{00000003-F55B-4F0F-AE2C-212A7DE7FF9A}"/>
                </c:ext>
              </c:extLst>
            </c:dLbl>
            <c:dLbl>
              <c:idx val="2"/>
              <c:delete val="1"/>
              <c:extLst>
                <c:ext xmlns:c15="http://schemas.microsoft.com/office/drawing/2012/chart" uri="{CE6537A1-D6FC-4f65-9D91-7224C49458BB}"/>
                <c:ext xmlns:c16="http://schemas.microsoft.com/office/drawing/2014/chart" uri="{C3380CC4-5D6E-409C-BE32-E72D297353CC}">
                  <c16:uniqueId val="{00000005-F55B-4F0F-AE2C-212A7DE7FF9A}"/>
                </c:ext>
              </c:extLst>
            </c:dLbl>
            <c:dLbl>
              <c:idx val="3"/>
              <c:delete val="1"/>
              <c:extLst>
                <c:ext xmlns:c15="http://schemas.microsoft.com/office/drawing/2012/chart" uri="{CE6537A1-D6FC-4f65-9D91-7224C49458BB}"/>
                <c:ext xmlns:c16="http://schemas.microsoft.com/office/drawing/2014/chart" uri="{C3380CC4-5D6E-409C-BE32-E72D297353CC}">
                  <c16:uniqueId val="{00000007-F55B-4F0F-AE2C-212A7DE7FF9A}"/>
                </c:ext>
              </c:extLst>
            </c:dLbl>
            <c:dLbl>
              <c:idx val="4"/>
              <c:layout>
                <c:manualLayout>
                  <c:x val="-7.1652080536683304E-3"/>
                  <c:y val="0.17596838345225299"/>
                </c:manualLayout>
              </c:layout>
              <c:tx>
                <c:rich>
                  <a:bodyPr/>
                  <a:lstStyle/>
                  <a:p>
                    <a:r>
                      <a:rPr lang="en-US" altLang="zh-CN"/>
                      <a:t>0.04%</a:t>
                    </a:r>
                  </a:p>
                </c:rich>
              </c:tx>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F55B-4F0F-AE2C-212A7DE7FF9A}"/>
                </c:ext>
              </c:extLst>
            </c:dLbl>
            <c:dLbl>
              <c:idx val="5"/>
              <c:delete val="1"/>
              <c:extLst>
                <c:ext xmlns:c15="http://schemas.microsoft.com/office/drawing/2012/chart" uri="{CE6537A1-D6FC-4f65-9D91-7224C49458BB}"/>
                <c:ext xmlns:c16="http://schemas.microsoft.com/office/drawing/2014/chart" uri="{C3380CC4-5D6E-409C-BE32-E72D297353CC}">
                  <c16:uniqueId val="{0000000B-F55B-4F0F-AE2C-212A7DE7FF9A}"/>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prstDash val="solid"/>
                  <a:round/>
                </a:ln>
                <a:effectLst/>
              </c:spPr>
            </c:leaderLines>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3157.31</c:v>
                </c:pt>
                <c:pt idx="1">
                  <c:v>0</c:v>
                </c:pt>
                <c:pt idx="2">
                  <c:v>0</c:v>
                </c:pt>
                <c:pt idx="3">
                  <c:v>0</c:v>
                </c:pt>
                <c:pt idx="4">
                  <c:v>0</c:v>
                </c:pt>
                <c:pt idx="5">
                  <c:v>1.26</c:v>
                </c:pt>
              </c:numCache>
            </c:numRef>
          </c:val>
          <c:extLst>
            <c:ext xmlns:c16="http://schemas.microsoft.com/office/drawing/2014/chart" uri="{C3380CC4-5D6E-409C-BE32-E72D297353CC}">
              <c16:uniqueId val="{0000000C-F55B-4F0F-AE2C-212A7DE7FF9A}"/>
            </c:ext>
          </c:extLst>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1"/>
        <c:delete val="1"/>
      </c:legendEntry>
      <c:legendEntry>
        <c:idx val="2"/>
        <c:delete val="1"/>
      </c:legendEntry>
      <c:legendEntry>
        <c:idx val="3"/>
        <c:delete val="1"/>
      </c:legendEntry>
      <c:legendEntry>
        <c:idx val="4"/>
        <c:delete val="1"/>
      </c:legendEntry>
      <c:legendEntry>
        <c:idx val="5"/>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lang="zh-CN" altLang="en-US">
                <a:solidFill>
                  <a:schemeClr val="bg1">
                    <a:lumMod val="50000"/>
                  </a:schemeClr>
                </a:solidFill>
              </a:rPr>
              <a:t>支出决算</a:t>
            </a:r>
          </a:p>
        </c:rich>
      </c:tx>
      <c:overlay val="0"/>
      <c:spPr>
        <a:noFill/>
        <a:ln>
          <a:noFill/>
        </a:ln>
        <a:effectLst/>
      </c:spPr>
      <c:txPr>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endParaRPr lang="zh-CN"/>
        </a:p>
      </c:tx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7963-40A8-95FB-A6E04FD533BB}"/>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7963-40A8-95FB-A6E04FD533BB}"/>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7963-40A8-95FB-A6E04FD533BB}"/>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7963-40A8-95FB-A6E04FD533BB}"/>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7963-40A8-95FB-A6E04FD533BB}"/>
              </c:ext>
            </c:extLst>
          </c:dPt>
          <c:dLbls>
            <c:dLbl>
              <c:idx val="2"/>
              <c:delete val="1"/>
              <c:extLst>
                <c:ext xmlns:c15="http://schemas.microsoft.com/office/drawing/2012/chart" uri="{CE6537A1-D6FC-4f65-9D91-7224C49458BB}"/>
                <c:ext xmlns:c16="http://schemas.microsoft.com/office/drawing/2014/chart" uri="{C3380CC4-5D6E-409C-BE32-E72D297353CC}">
                  <c16:uniqueId val="{00000005-7963-40A8-95FB-A6E04FD533BB}"/>
                </c:ext>
              </c:extLst>
            </c:dLbl>
            <c:dLbl>
              <c:idx val="3"/>
              <c:delete val="1"/>
              <c:extLst>
                <c:ext xmlns:c15="http://schemas.microsoft.com/office/drawing/2012/chart" uri="{CE6537A1-D6FC-4f65-9D91-7224C49458BB}"/>
                <c:ext xmlns:c16="http://schemas.microsoft.com/office/drawing/2014/chart" uri="{C3380CC4-5D6E-409C-BE32-E72D297353CC}">
                  <c16:uniqueId val="{00000007-7963-40A8-95FB-A6E04FD533BB}"/>
                </c:ext>
              </c:extLst>
            </c:dLbl>
            <c:dLbl>
              <c:idx val="4"/>
              <c:delete val="1"/>
              <c:extLst>
                <c:ext xmlns:c15="http://schemas.microsoft.com/office/drawing/2012/chart" uri="{CE6537A1-D6FC-4f65-9D91-7224C49458BB}"/>
                <c:ext xmlns:c16="http://schemas.microsoft.com/office/drawing/2014/chart" uri="{C3380CC4-5D6E-409C-BE32-E72D297353CC}">
                  <c16:uniqueId val="{00000009-7963-40A8-95FB-A6E04FD533BB}"/>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2498.6</c:v>
                </c:pt>
                <c:pt idx="1">
                  <c:v>3143.31</c:v>
                </c:pt>
                <c:pt idx="2">
                  <c:v>0</c:v>
                </c:pt>
                <c:pt idx="3">
                  <c:v>0</c:v>
                </c:pt>
                <c:pt idx="4">
                  <c:v>0</c:v>
                </c:pt>
              </c:numCache>
            </c:numRef>
          </c:val>
          <c:extLst>
            <c:ext xmlns:c16="http://schemas.microsoft.com/office/drawing/2014/chart" uri="{C3380CC4-5D6E-409C-BE32-E72D297353CC}">
              <c16:uniqueId val="{0000000A-7963-40A8-95FB-A6E04FD533BB}"/>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2"/>
        <c:delete val="1"/>
      </c:legendEntry>
      <c:legendEntry>
        <c:idx val="3"/>
        <c:delete val="1"/>
      </c:legendEntry>
      <c:legendEntry>
        <c:idx val="4"/>
        <c:delete val="1"/>
      </c:legendEntry>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endParaRPr lang="zh-CN"/>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15</Pages>
  <Words>828</Words>
  <Characters>4726</Characters>
  <Application>Microsoft Office Word</Application>
  <DocSecurity>0</DocSecurity>
  <Lines>39</Lines>
  <Paragraphs>11</Paragraphs>
  <ScaleCrop>false</ScaleCrop>
  <Company>Lenovo</Company>
  <LinksUpToDate>false</LinksUpToDate>
  <CharactersWithSpaces>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lenovo</cp:lastModifiedBy>
  <cp:revision>27</cp:revision>
  <cp:lastPrinted>2020-08-07T11:39:00Z</cp:lastPrinted>
  <dcterms:created xsi:type="dcterms:W3CDTF">2017-07-11T15:16:00Z</dcterms:created>
  <dcterms:modified xsi:type="dcterms:W3CDTF">2024-06-05T02:10:00Z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F50075F0A22C4416844B20A5A439A992_13</vt:lpwstr>
  </property>
</Properties>
</file>