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EFA98">
      <w:pPr>
        <w:jc w:val="center"/>
        <w:rPr>
          <w:rFonts w:hint="eastAsia" w:ascii="仿宋_GB2312" w:eastAsia="仿宋_GB2312"/>
          <w:b/>
          <w:sz w:val="32"/>
          <w:szCs w:val="32"/>
          <w:lang w:eastAsia="zh-CN"/>
        </w:rPr>
      </w:pPr>
    </w:p>
    <w:p w14:paraId="2F04B34D">
      <w:pPr>
        <w:jc w:val="center"/>
        <w:rPr>
          <w:rFonts w:ascii="黑体" w:eastAsia="黑体"/>
          <w:sz w:val="72"/>
          <w:szCs w:val="72"/>
        </w:rPr>
      </w:pPr>
    </w:p>
    <w:p w14:paraId="23B7DC47">
      <w:pPr>
        <w:jc w:val="center"/>
        <w:rPr>
          <w:rFonts w:ascii="黑体" w:eastAsia="黑体"/>
          <w:sz w:val="72"/>
          <w:szCs w:val="72"/>
        </w:rPr>
      </w:pPr>
    </w:p>
    <w:p w14:paraId="71E97729">
      <w:pPr>
        <w:jc w:val="center"/>
        <w:rPr>
          <w:rFonts w:ascii="黑体" w:eastAsia="黑体"/>
          <w:sz w:val="72"/>
          <w:szCs w:val="72"/>
        </w:rPr>
      </w:pPr>
    </w:p>
    <w:p w14:paraId="6B50339F">
      <w:pPr>
        <w:jc w:val="center"/>
        <w:rPr>
          <w:rFonts w:ascii="黑体" w:eastAsia="黑体"/>
          <w:sz w:val="72"/>
          <w:szCs w:val="72"/>
        </w:rPr>
      </w:pPr>
    </w:p>
    <w:p w14:paraId="24323F43">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56BB1E5F">
      <w:pPr>
        <w:pStyle w:val="2"/>
        <w:rPr>
          <w:rFonts w:hint="eastAsia" w:ascii="黑体" w:hAnsi="Times New Roman" w:eastAsia="黑体" w:cs="Times New Roman"/>
          <w:kern w:val="2"/>
          <w:sz w:val="72"/>
          <w:szCs w:val="72"/>
          <w:lang w:val="en-US" w:eastAsia="zh-CN" w:bidi="ar-SA"/>
        </w:rPr>
      </w:pPr>
    </w:p>
    <w:p w14:paraId="118F4598">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北京市交通委员会东城运输管理分局</w:t>
      </w:r>
    </w:p>
    <w:p w14:paraId="6D42FD71">
      <w:pPr>
        <w:pStyle w:val="2"/>
        <w:jc w:val="center"/>
      </w:pPr>
    </w:p>
    <w:p w14:paraId="63E1BF9A">
      <w:pPr>
        <w:jc w:val="center"/>
        <w:rPr>
          <w:rFonts w:ascii="黑体" w:eastAsia="黑体"/>
          <w:sz w:val="52"/>
          <w:szCs w:val="52"/>
        </w:rPr>
      </w:pPr>
    </w:p>
    <w:p w14:paraId="02B9FCD0">
      <w:pPr>
        <w:jc w:val="center"/>
        <w:rPr>
          <w:rFonts w:ascii="黑体" w:eastAsia="黑体"/>
          <w:sz w:val="52"/>
          <w:szCs w:val="52"/>
        </w:rPr>
      </w:pPr>
    </w:p>
    <w:p w14:paraId="6A91B35B">
      <w:pPr>
        <w:jc w:val="center"/>
        <w:rPr>
          <w:rFonts w:ascii="黑体" w:eastAsia="黑体"/>
          <w:sz w:val="52"/>
          <w:szCs w:val="52"/>
        </w:rPr>
      </w:pPr>
    </w:p>
    <w:p w14:paraId="0AB928EC">
      <w:pPr>
        <w:jc w:val="center"/>
        <w:rPr>
          <w:rFonts w:ascii="黑体" w:eastAsia="黑体"/>
          <w:sz w:val="52"/>
          <w:szCs w:val="52"/>
        </w:rPr>
      </w:pPr>
    </w:p>
    <w:p w14:paraId="4171579E">
      <w:pPr>
        <w:jc w:val="center"/>
        <w:rPr>
          <w:rFonts w:ascii="黑体" w:eastAsia="黑体"/>
          <w:sz w:val="32"/>
          <w:szCs w:val="32"/>
        </w:rPr>
      </w:pPr>
    </w:p>
    <w:p w14:paraId="63C6590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7AC9984">
      <w:pPr>
        <w:spacing w:line="500" w:lineRule="exact"/>
        <w:ind w:firstLine="645"/>
        <w:jc w:val="center"/>
        <w:rPr>
          <w:rFonts w:ascii="宋体" w:hAnsi="宋体" w:cs="宋体"/>
          <w:b/>
          <w:bCs/>
          <w:kern w:val="0"/>
          <w:sz w:val="36"/>
          <w:szCs w:val="36"/>
        </w:rPr>
      </w:pPr>
    </w:p>
    <w:p w14:paraId="768F7EF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7E5283DD">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0CF0CC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EDF4E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04F339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A82A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3A475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FCA03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6B5E92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89A83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17508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4D8921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600B4AB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55F91E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569A58CC">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0B8B6A64">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186D288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2B6E75E9">
      <w:pPr>
        <w:tabs>
          <w:tab w:val="center" w:pos="6979"/>
        </w:tabs>
        <w:spacing w:before="156" w:beforeLines="50" w:after="156" w:afterLines="50"/>
        <w:jc w:val="center"/>
        <w:rPr>
          <w:rFonts w:ascii="宋体" w:hAnsi="宋体" w:cs="宋体"/>
          <w:b/>
          <w:bCs/>
          <w:spacing w:val="40"/>
          <w:kern w:val="0"/>
          <w:sz w:val="32"/>
          <w:szCs w:val="32"/>
        </w:rPr>
      </w:pPr>
    </w:p>
    <w:p w14:paraId="3B93AB97">
      <w:pPr>
        <w:tabs>
          <w:tab w:val="center" w:pos="6979"/>
        </w:tabs>
        <w:spacing w:before="156" w:beforeLines="50" w:after="156" w:afterLines="50"/>
        <w:jc w:val="center"/>
        <w:rPr>
          <w:rFonts w:ascii="宋体" w:hAnsi="宋体" w:cs="宋体"/>
          <w:b/>
          <w:bCs/>
          <w:spacing w:val="40"/>
          <w:kern w:val="0"/>
          <w:sz w:val="32"/>
          <w:szCs w:val="32"/>
        </w:rPr>
      </w:pPr>
    </w:p>
    <w:p w14:paraId="76641F66">
      <w:pPr>
        <w:tabs>
          <w:tab w:val="center" w:pos="6979"/>
        </w:tabs>
        <w:spacing w:before="156" w:beforeLines="50" w:after="156" w:afterLines="50"/>
        <w:jc w:val="center"/>
        <w:rPr>
          <w:rFonts w:ascii="宋体" w:hAnsi="宋体" w:cs="宋体"/>
          <w:b/>
          <w:bCs/>
          <w:spacing w:val="40"/>
          <w:kern w:val="0"/>
          <w:sz w:val="32"/>
          <w:szCs w:val="32"/>
        </w:rPr>
      </w:pPr>
    </w:p>
    <w:p w14:paraId="393E91CC">
      <w:pPr>
        <w:tabs>
          <w:tab w:val="center" w:pos="6979"/>
        </w:tabs>
        <w:spacing w:before="156" w:beforeLines="50" w:after="156" w:afterLines="50"/>
        <w:jc w:val="center"/>
        <w:rPr>
          <w:rFonts w:ascii="宋体" w:hAnsi="宋体" w:cs="宋体"/>
          <w:b/>
          <w:bCs/>
          <w:spacing w:val="40"/>
          <w:kern w:val="0"/>
          <w:sz w:val="32"/>
          <w:szCs w:val="32"/>
        </w:rPr>
      </w:pPr>
    </w:p>
    <w:p w14:paraId="4C52A3D3">
      <w:pPr>
        <w:tabs>
          <w:tab w:val="center" w:pos="6979"/>
        </w:tabs>
        <w:spacing w:before="156" w:beforeLines="50" w:after="156" w:afterLines="50"/>
        <w:jc w:val="center"/>
        <w:rPr>
          <w:rFonts w:ascii="宋体" w:hAnsi="宋体" w:cs="宋体"/>
          <w:b/>
          <w:bCs/>
          <w:spacing w:val="40"/>
          <w:kern w:val="0"/>
          <w:sz w:val="32"/>
          <w:szCs w:val="32"/>
        </w:rPr>
      </w:pPr>
    </w:p>
    <w:p w14:paraId="654735E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679C3AB9">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6BA67BD1">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3082E1B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14:paraId="0266AFC4">
      <w:pPr>
        <w:tabs>
          <w:tab w:val="center" w:pos="6979"/>
        </w:tabs>
        <w:spacing w:line="580" w:lineRule="exact"/>
        <w:ind w:firstLine="420" w:firstLineChars="150"/>
        <w:rPr>
          <w:rFonts w:hint="eastAsia" w:ascii="仿宋_GB2312" w:eastAsia="仿宋_GB2312"/>
          <w:color w:val="auto"/>
          <w:sz w:val="28"/>
          <w:szCs w:val="28"/>
          <w:lang w:eastAsia="zh-CN"/>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r>
        <w:rPr>
          <w:rFonts w:hint="eastAsia" w:ascii="仿宋_GB2312" w:eastAsia="仿宋_GB2312"/>
          <w:color w:val="auto"/>
          <w:sz w:val="28"/>
          <w:szCs w:val="28"/>
          <w:lang w:eastAsia="zh-CN"/>
        </w:rPr>
        <w:t>根据《北京市交通委员会职能配置、内设机构、人员编制规定》(京办字〔2019〕47号)，按照《中共北京市委机构编制委员会办公室关于核定市交通委派出机构主要职责和机构编制事项的批复》(京编办复〔2022〕169号)设立北京市交通委员会东城运输管理分局。</w:t>
      </w:r>
    </w:p>
    <w:p w14:paraId="5A41F6AF">
      <w:pPr>
        <w:pStyle w:val="2"/>
        <w:rPr>
          <w:rFonts w:hint="eastAsia" w:ascii="仿宋_GB2312" w:hAnsi="Times New Roman" w:eastAsia="仿宋_GB2312" w:cs="Times New Roman"/>
          <w:color w:val="auto"/>
          <w:kern w:val="2"/>
          <w:sz w:val="28"/>
          <w:szCs w:val="28"/>
          <w:lang w:val="en-US" w:eastAsia="zh-CN" w:bidi="ar-SA"/>
        </w:rPr>
      </w:pPr>
      <w:r>
        <w:rPr>
          <w:rFonts w:hint="eastAsia" w:ascii="仿宋_GB2312" w:hAnsi="Times New Roman" w:eastAsia="仿宋_GB2312" w:cs="Times New Roman"/>
          <w:color w:val="auto"/>
          <w:kern w:val="2"/>
          <w:sz w:val="28"/>
          <w:szCs w:val="28"/>
          <w:lang w:val="en-US" w:eastAsia="zh-CN" w:bidi="ar-SA"/>
        </w:rPr>
        <w:t>北京市交通委员会东城运输管理分局下设12个科室。分别为公共交通管理科（场站管理科）、出租（租赁）汽车管理科、道路客运管理科、货物运输管理科、机动车维修管理科、运政管理科、安全监管与应急科、法制科（综合管理科）、水运（海事）与驾培管理科、办公室、政工人事科、财务科。</w:t>
      </w:r>
    </w:p>
    <w:p w14:paraId="62B9CE32">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color w:val="auto"/>
          <w:sz w:val="28"/>
          <w:szCs w:val="28"/>
          <w:lang w:eastAsia="zh-CN"/>
        </w:rPr>
        <w:t>北京市交通委员会东城运输管理分局是北京市交通委员会的派出机构。主要职责是：负责本行政区域和授权区域内道路运输、水路运输、城市公共汽电车客运、出租车、小微型客车租赁等行业管理工作，依法开展相关许可、备案和监督检查，完成市交通委交办的其他任务。</w:t>
      </w:r>
    </w:p>
    <w:p w14:paraId="64CA7DFE">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FE7B773">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55</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51</w:t>
      </w:r>
      <w:r>
        <w:rPr>
          <w:rFonts w:hint="eastAsia" w:ascii="仿宋_GB2312" w:eastAsia="仿宋_GB2312"/>
          <w:kern w:val="0"/>
          <w:sz w:val="28"/>
          <w:szCs w:val="28"/>
        </w:rPr>
        <w:t>人。</w:t>
      </w:r>
    </w:p>
    <w:p w14:paraId="2AF02C30">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BA7434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2712.67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858.87</w:t>
      </w:r>
      <w:r>
        <w:rPr>
          <w:rFonts w:hint="eastAsia" w:ascii="仿宋_GB2312" w:eastAsia="仿宋_GB2312"/>
          <w:sz w:val="28"/>
          <w:szCs w:val="28"/>
        </w:rPr>
        <w:t>万元，下降</w:t>
      </w:r>
      <w:r>
        <w:rPr>
          <w:rFonts w:hint="eastAsia" w:ascii="仿宋_GB2312" w:eastAsia="仿宋_GB2312"/>
          <w:sz w:val="28"/>
          <w:szCs w:val="28"/>
          <w:lang w:val="en-US" w:eastAsia="zh-CN"/>
        </w:rPr>
        <w:t>24.05</w:t>
      </w:r>
      <w:r>
        <w:rPr>
          <w:rFonts w:hint="eastAsia" w:ascii="仿宋_GB2312" w:eastAsia="仿宋_GB2312"/>
          <w:sz w:val="28"/>
          <w:szCs w:val="28"/>
        </w:rPr>
        <w:t>%。</w:t>
      </w:r>
    </w:p>
    <w:p w14:paraId="33A785F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D815139">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2180.12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902.75</w:t>
      </w:r>
      <w:r>
        <w:rPr>
          <w:rFonts w:hint="eastAsia" w:ascii="仿宋_GB2312" w:eastAsia="仿宋_GB2312"/>
          <w:sz w:val="28"/>
          <w:szCs w:val="28"/>
        </w:rPr>
        <w:t>万元，下降</w:t>
      </w:r>
      <w:r>
        <w:rPr>
          <w:rFonts w:hint="eastAsia" w:ascii="仿宋_GB2312" w:eastAsia="仿宋_GB2312"/>
          <w:sz w:val="28"/>
          <w:szCs w:val="28"/>
          <w:lang w:val="en-US" w:eastAsia="zh-CN"/>
        </w:rPr>
        <w:t>29.28</w:t>
      </w:r>
      <w:r>
        <w:rPr>
          <w:rFonts w:hint="eastAsia" w:ascii="仿宋_GB2312" w:eastAsia="仿宋_GB2312"/>
          <w:sz w:val="28"/>
          <w:szCs w:val="28"/>
        </w:rPr>
        <w:t>%</w:t>
      </w:r>
      <w:r>
        <w:rPr>
          <w:rFonts w:hint="eastAsia" w:ascii="仿宋_GB2312" w:eastAsia="仿宋_GB2312"/>
          <w:sz w:val="28"/>
          <w:szCs w:val="28"/>
          <w:lang w:eastAsia="zh-CN"/>
        </w:rPr>
        <w:t>。</w:t>
      </w:r>
    </w:p>
    <w:p w14:paraId="2281F56E">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2179.9</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2179.9</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89D804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EC1276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30D667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2F8FAB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C9948F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0.22</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.01</w:t>
      </w:r>
      <w:r>
        <w:rPr>
          <w:rFonts w:hint="eastAsia" w:ascii="仿宋_GB2312" w:eastAsia="仿宋_GB2312"/>
          <w:sz w:val="28"/>
          <w:szCs w:val="28"/>
        </w:rPr>
        <w:t>%。</w:t>
      </w:r>
    </w:p>
    <w:p w14:paraId="12B98E53">
      <w:pPr>
        <w:pStyle w:val="3"/>
        <w:jc w:val="center"/>
        <w:rPr>
          <w:rFonts w:hint="eastAsia"/>
        </w:rPr>
      </w:pPr>
      <w:r>
        <w:rPr>
          <w:rFonts w:hint="eastAsia" w:ascii="仿宋_GB2312" w:eastAsia="仿宋_GB2312"/>
          <w:color w:val="000000"/>
          <w:sz w:val="32"/>
        </w:rPr>
        <w:t>图1：收入决算</w:t>
      </w:r>
    </w:p>
    <w:p w14:paraId="5FF59114">
      <w:pPr>
        <w:pStyle w:val="2"/>
        <w:ind w:firstLine="420"/>
        <w:jc w:val="cente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B471E3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DFCCFB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2623.72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330.30</w:t>
      </w:r>
      <w:r>
        <w:rPr>
          <w:rFonts w:hint="eastAsia" w:ascii="仿宋_GB2312" w:eastAsia="仿宋_GB2312"/>
          <w:sz w:val="28"/>
          <w:szCs w:val="28"/>
        </w:rPr>
        <w:t>万元，下降</w:t>
      </w:r>
      <w:r>
        <w:rPr>
          <w:rFonts w:hint="eastAsia" w:ascii="仿宋_GB2312" w:eastAsia="仿宋_GB2312"/>
          <w:sz w:val="28"/>
          <w:szCs w:val="28"/>
          <w:lang w:val="en-US" w:eastAsia="zh-CN"/>
        </w:rPr>
        <w:t>11.18</w:t>
      </w:r>
      <w:r>
        <w:rPr>
          <w:rFonts w:hint="eastAsia" w:ascii="仿宋_GB2312" w:eastAsia="仿宋_GB2312"/>
          <w:sz w:val="28"/>
          <w:szCs w:val="28"/>
        </w:rPr>
        <w:t>%，其中：基本支出</w:t>
      </w:r>
      <w:r>
        <w:rPr>
          <w:rFonts w:ascii="仿宋_GB2312" w:eastAsia="仿宋_GB2312"/>
          <w:sz w:val="28"/>
          <w:szCs w:val="28"/>
        </w:rPr>
        <w:t>2009.32</w:t>
      </w:r>
      <w:r>
        <w:rPr>
          <w:rFonts w:hint="eastAsia" w:ascii="仿宋_GB2312" w:eastAsia="仿宋_GB2312"/>
          <w:sz w:val="28"/>
          <w:szCs w:val="28"/>
        </w:rPr>
        <w:t>万元，占支出合计的</w:t>
      </w:r>
      <w:r>
        <w:rPr>
          <w:rFonts w:ascii="仿宋_GB2312" w:eastAsia="仿宋_GB2312"/>
          <w:sz w:val="28"/>
          <w:szCs w:val="28"/>
        </w:rPr>
        <w:t>76.58</w:t>
      </w:r>
      <w:r>
        <w:rPr>
          <w:rFonts w:hint="eastAsia" w:ascii="仿宋_GB2312" w:eastAsia="仿宋_GB2312"/>
          <w:sz w:val="28"/>
          <w:szCs w:val="28"/>
        </w:rPr>
        <w:t>%；项目支出</w:t>
      </w:r>
      <w:r>
        <w:rPr>
          <w:rFonts w:ascii="仿宋_GB2312" w:eastAsia="仿宋_GB2312"/>
          <w:sz w:val="28"/>
          <w:szCs w:val="28"/>
        </w:rPr>
        <w:t>614.4</w:t>
      </w:r>
      <w:r>
        <w:rPr>
          <w:rFonts w:hint="eastAsia" w:ascii="仿宋_GB2312" w:eastAsia="仿宋_GB2312"/>
          <w:sz w:val="28"/>
          <w:szCs w:val="28"/>
        </w:rPr>
        <w:t>万元，占支出合计的</w:t>
      </w:r>
      <w:r>
        <w:rPr>
          <w:rFonts w:ascii="仿宋_GB2312" w:eastAsia="仿宋_GB2312"/>
          <w:sz w:val="28"/>
          <w:szCs w:val="28"/>
        </w:rPr>
        <w:t>23.4</w:t>
      </w:r>
      <w:r>
        <w:rPr>
          <w:rFonts w:hint="eastAsia" w:ascii="仿宋_GB2312" w:eastAsia="仿宋_GB2312"/>
          <w:sz w:val="28"/>
          <w:szCs w:val="28"/>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EC86FDA">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010738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FB8536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B105A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2712.45</w:t>
      </w:r>
      <w:r>
        <w:rPr>
          <w:rFonts w:hint="eastAsia" w:ascii="仿宋_GB2312" w:eastAsia="仿宋_GB2312"/>
          <w:sz w:val="28"/>
          <w:szCs w:val="28"/>
        </w:rPr>
        <w:t>万元，比上年减少</w:t>
      </w:r>
      <w:r>
        <w:rPr>
          <w:rFonts w:hint="eastAsia" w:ascii="仿宋_GB2312" w:eastAsia="仿宋_GB2312"/>
          <w:sz w:val="28"/>
          <w:szCs w:val="28"/>
          <w:lang w:val="en-US" w:eastAsia="zh-CN"/>
        </w:rPr>
        <w:t>848.88</w:t>
      </w:r>
      <w:r>
        <w:rPr>
          <w:rFonts w:hint="eastAsia" w:ascii="仿宋_GB2312" w:eastAsia="仿宋_GB2312"/>
          <w:sz w:val="28"/>
          <w:szCs w:val="28"/>
        </w:rPr>
        <w:t>万元，下降</w:t>
      </w:r>
      <w:r>
        <w:rPr>
          <w:rFonts w:hint="eastAsia" w:ascii="仿宋_GB2312" w:eastAsia="仿宋_GB2312"/>
          <w:sz w:val="28"/>
          <w:szCs w:val="28"/>
          <w:lang w:val="en-US" w:eastAsia="zh-CN"/>
        </w:rPr>
        <w:t>23.84</w:t>
      </w:r>
      <w:r>
        <w:rPr>
          <w:rFonts w:hint="eastAsia" w:ascii="仿宋_GB2312" w:eastAsia="仿宋_GB2312"/>
          <w:sz w:val="28"/>
          <w:szCs w:val="28"/>
        </w:rPr>
        <w:t>%。主要原因：受到北京市纯电动出租汽车推广应用政策影响，燃油出租小轿车数量减少，我分局出租小轿车临时燃油补贴项目预算金额减少。</w:t>
      </w:r>
    </w:p>
    <w:p w14:paraId="0CF6656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1D6324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3FC8E9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2623.5</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2.96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0.11</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2.99万元，占本年财政拨款支出0.11%；交通运输支出2617.55万元，占本年财政拨款支出99.78%</w:t>
      </w:r>
      <w:r>
        <w:rPr>
          <w:rFonts w:hint="eastAsia" w:ascii="仿宋_GB2312" w:eastAsia="仿宋_GB2312"/>
          <w:sz w:val="28"/>
          <w:szCs w:val="28"/>
        </w:rPr>
        <w:t>。</w:t>
      </w:r>
    </w:p>
    <w:p w14:paraId="0B99EC8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48244E0">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0.94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24.10</w:t>
      </w:r>
      <w:r>
        <w:rPr>
          <w:rFonts w:hint="eastAsia" w:ascii="仿宋_GB2312" w:eastAsia="仿宋_GB2312"/>
          <w:color w:val="auto"/>
          <w:sz w:val="28"/>
          <w:szCs w:val="28"/>
        </w:rPr>
        <w:t>%。其中：</w:t>
      </w:r>
    </w:p>
    <w:p w14:paraId="47D22707">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eastAsia="zh-CN"/>
        </w:rPr>
        <w:t>进修及培训</w:t>
      </w:r>
      <w:r>
        <w:rPr>
          <w:rFonts w:hint="eastAsia" w:ascii="仿宋_GB2312" w:eastAsia="仿宋_GB2312"/>
          <w:color w:val="auto"/>
          <w:sz w:val="28"/>
          <w:szCs w:val="28"/>
        </w:rPr>
        <w:t>”（款，下同）202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0.94</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24.10</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严格落实政府过紧日子要求，节约日常经费开支。</w:t>
      </w:r>
    </w:p>
    <w:p w14:paraId="21467E9B">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0.08</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2.48</w:t>
      </w:r>
      <w:r>
        <w:rPr>
          <w:rFonts w:hint="eastAsia" w:ascii="仿宋_GB2312" w:eastAsia="仿宋_GB2312"/>
          <w:color w:val="auto"/>
          <w:sz w:val="28"/>
          <w:szCs w:val="28"/>
        </w:rPr>
        <w:t>%。其中：</w:t>
      </w:r>
    </w:p>
    <w:p w14:paraId="6330C453">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0.08</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2.61</w:t>
      </w:r>
      <w:r>
        <w:rPr>
          <w:rFonts w:hint="eastAsia" w:ascii="仿宋_GB2312" w:eastAsia="仿宋_GB2312"/>
          <w:color w:val="auto"/>
          <w:sz w:val="28"/>
          <w:szCs w:val="28"/>
        </w:rPr>
        <w:t>%。</w:t>
      </w:r>
    </w:p>
    <w:p w14:paraId="0068507B">
      <w:pPr>
        <w:pStyle w:val="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3、“交通运输支出”（类）2023年度决算2617.55万元，比2023年度年初预算减少198.53万元，下降7.05%。其中：</w:t>
      </w:r>
    </w:p>
    <w:p w14:paraId="0796E48D">
      <w:pPr>
        <w:pStyle w:val="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“公路水路运输”（款）2023年度决算2136.67万元，比2023年度年初预算增加9.8万元，增长0.46%。</w:t>
      </w:r>
    </w:p>
    <w:p w14:paraId="4F096A22">
      <w:pPr>
        <w:pStyle w:val="2"/>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其他交通运输支出”（款）2023年度决算480.88万元，比2023年度年初预算减少208.33万元，下降30.23%。主要原因：受到北京市纯电动出租汽车推广应用政策影响，燃油出租小轿车数量减少，我分局出租小轿车临时燃油补贴项目预算金额减少。</w:t>
      </w:r>
    </w:p>
    <w:p w14:paraId="2D64AE8A">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B5156E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政府性基金预算财政拨款支出。</w:t>
      </w:r>
    </w:p>
    <w:p w14:paraId="2E955F03">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048490A">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收入</w:t>
      </w:r>
      <w:r>
        <w:rPr>
          <w:rFonts w:hint="eastAsia" w:ascii="仿宋_GB2312" w:eastAsia="仿宋_GB2312"/>
          <w:sz w:val="28"/>
          <w:szCs w:val="28"/>
          <w:lang w:eastAsia="zh-CN"/>
        </w:rPr>
        <w:t>、支出</w:t>
      </w:r>
      <w:r>
        <w:rPr>
          <w:rFonts w:hint="eastAsia" w:ascii="仿宋_GB2312" w:eastAsia="仿宋_GB2312"/>
          <w:sz w:val="28"/>
          <w:szCs w:val="28"/>
        </w:rPr>
        <w:t>。</w:t>
      </w:r>
    </w:p>
    <w:p w14:paraId="3772C477">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026501D">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2009.18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3CFF965">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5DC493EF">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2F826F50">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3.4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8.24</w:t>
      </w:r>
      <w:r>
        <w:rPr>
          <w:rFonts w:hint="eastAsia" w:ascii="仿宋_GB2312" w:eastAsia="仿宋_GB2312"/>
          <w:sz w:val="28"/>
          <w:szCs w:val="28"/>
        </w:rPr>
        <w:t>万元减少</w:t>
      </w:r>
      <w:r>
        <w:rPr>
          <w:rFonts w:ascii="仿宋_GB2312" w:eastAsia="仿宋_GB2312"/>
          <w:sz w:val="28"/>
          <w:szCs w:val="28"/>
        </w:rPr>
        <w:t>4.84</w:t>
      </w:r>
      <w:r>
        <w:rPr>
          <w:rFonts w:hint="eastAsia" w:ascii="仿宋_GB2312" w:eastAsia="仿宋_GB2312"/>
          <w:sz w:val="28"/>
          <w:szCs w:val="28"/>
        </w:rPr>
        <w:t>万元。其中：</w:t>
      </w:r>
    </w:p>
    <w:p w14:paraId="64ABDDB6">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p>
    <w:p w14:paraId="51CC8CFB">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0.16</w:t>
      </w:r>
      <w:r>
        <w:rPr>
          <w:rFonts w:hint="eastAsia" w:ascii="仿宋_GB2312" w:eastAsia="仿宋_GB2312"/>
          <w:sz w:val="28"/>
          <w:szCs w:val="28"/>
        </w:rPr>
        <w:t>万元减少</w:t>
      </w:r>
      <w:r>
        <w:rPr>
          <w:rFonts w:hint="eastAsia" w:ascii="仿宋_GB2312" w:eastAsia="仿宋_GB2312"/>
          <w:sz w:val="28"/>
          <w:szCs w:val="28"/>
          <w:lang w:val="en-US" w:eastAsia="zh-CN"/>
        </w:rPr>
        <w:t>0.16</w:t>
      </w:r>
      <w:r>
        <w:rPr>
          <w:rFonts w:hint="eastAsia" w:ascii="仿宋_GB2312" w:eastAsia="仿宋_GB2312"/>
          <w:sz w:val="28"/>
          <w:szCs w:val="28"/>
        </w:rPr>
        <w:t>万元。主要原因：我单位继续贯彻落实中央八项规定，响应中央号召，过紧日子，压缩一般性支出。</w:t>
      </w:r>
    </w:p>
    <w:p w14:paraId="7902CD2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4.08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8.08</w:t>
      </w:r>
      <w:r>
        <w:rPr>
          <w:rFonts w:hint="eastAsia" w:ascii="仿宋_GB2312" w:eastAsia="仿宋_GB2312"/>
          <w:sz w:val="28"/>
          <w:szCs w:val="28"/>
        </w:rPr>
        <w:t>万元减少</w:t>
      </w:r>
      <w:r>
        <w:rPr>
          <w:rFonts w:hint="eastAsia" w:ascii="仿宋_GB2312" w:eastAsia="仿宋_GB2312"/>
          <w:sz w:val="28"/>
          <w:szCs w:val="28"/>
          <w:lang w:val="en-US" w:eastAsia="zh-CN"/>
        </w:rPr>
        <w:t>4</w:t>
      </w:r>
      <w:r>
        <w:rPr>
          <w:rFonts w:hint="eastAsia" w:ascii="仿宋_GB2312" w:eastAsia="仿宋_GB2312"/>
          <w:sz w:val="28"/>
          <w:szCs w:val="28"/>
        </w:rPr>
        <w:t>万元。</w:t>
      </w:r>
    </w:p>
    <w:p w14:paraId="6AA4375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w:t>
      </w:r>
      <w:r>
        <w:rPr>
          <w:rFonts w:hint="eastAsia" w:ascii="仿宋_GB2312" w:eastAsia="仿宋_GB2312"/>
          <w:sz w:val="28"/>
          <w:szCs w:val="28"/>
          <w:lang w:eastAsia="zh-CN"/>
        </w:rPr>
        <w:t>：</w:t>
      </w:r>
      <w:r>
        <w:rPr>
          <w:rFonts w:hint="eastAsia" w:ascii="仿宋_GB2312" w:eastAsia="仿宋_GB2312"/>
          <w:sz w:val="28"/>
          <w:szCs w:val="28"/>
        </w:rPr>
        <w:t>本年度无此项经费。公务用车运行维护费202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8.08</w:t>
      </w:r>
      <w:r>
        <w:rPr>
          <w:rFonts w:hint="eastAsia" w:ascii="仿宋_GB2312" w:eastAsia="仿宋_GB2312"/>
          <w:sz w:val="28"/>
          <w:szCs w:val="28"/>
        </w:rPr>
        <w:t>万元减少</w:t>
      </w:r>
      <w:r>
        <w:rPr>
          <w:rFonts w:hint="eastAsia" w:ascii="仿宋_GB2312" w:eastAsia="仿宋_GB2312"/>
          <w:sz w:val="28"/>
          <w:szCs w:val="28"/>
          <w:lang w:val="en-US" w:eastAsia="zh-CN"/>
        </w:rPr>
        <w:t>4.68</w:t>
      </w:r>
      <w:r>
        <w:rPr>
          <w:rFonts w:hint="eastAsia" w:ascii="仿宋_GB2312" w:eastAsia="仿宋_GB2312"/>
          <w:sz w:val="28"/>
          <w:szCs w:val="28"/>
        </w:rPr>
        <w:t>万元，主要原因：我单位加强公务用车管理，严格控制公务车辆运行费用支出。202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1.5</w:t>
      </w:r>
      <w:r>
        <w:rPr>
          <w:rFonts w:hint="eastAsia" w:ascii="仿宋_GB2312" w:eastAsia="仿宋_GB2312"/>
          <w:sz w:val="28"/>
          <w:szCs w:val="28"/>
        </w:rPr>
        <w:t>万元，公务用车维修</w:t>
      </w:r>
      <w:r>
        <w:rPr>
          <w:rFonts w:ascii="仿宋_GB2312" w:eastAsia="仿宋_GB2312"/>
          <w:sz w:val="28"/>
          <w:szCs w:val="28"/>
          <w:highlight w:val="none"/>
        </w:rPr>
        <w:t>0.33</w:t>
      </w:r>
      <w:r>
        <w:rPr>
          <w:rFonts w:hint="eastAsia" w:ascii="仿宋_GB2312" w:eastAsia="仿宋_GB2312"/>
          <w:sz w:val="28"/>
          <w:szCs w:val="28"/>
        </w:rPr>
        <w:t>万元，公务用车保险</w:t>
      </w:r>
      <w:r>
        <w:rPr>
          <w:rFonts w:ascii="仿宋_GB2312" w:eastAsia="仿宋_GB2312"/>
          <w:sz w:val="28"/>
          <w:szCs w:val="28"/>
          <w:highlight w:val="none"/>
        </w:rPr>
        <w:t>0.58</w:t>
      </w:r>
      <w:r>
        <w:rPr>
          <w:rFonts w:hint="eastAsia" w:ascii="仿宋_GB2312" w:eastAsia="仿宋_GB2312"/>
          <w:sz w:val="28"/>
          <w:szCs w:val="28"/>
        </w:rPr>
        <w:t>万元，公务用车其他支出</w:t>
      </w:r>
      <w:r>
        <w:rPr>
          <w:rFonts w:ascii="仿宋_GB2312" w:eastAsia="仿宋_GB2312"/>
          <w:sz w:val="28"/>
          <w:szCs w:val="28"/>
          <w:highlight w:val="none"/>
        </w:rPr>
        <w:t>0.9</w:t>
      </w:r>
      <w:r>
        <w:rPr>
          <w:rFonts w:hint="eastAsia" w:ascii="仿宋_GB2312" w:eastAsia="仿宋_GB2312"/>
          <w:sz w:val="28"/>
          <w:szCs w:val="28"/>
          <w:highlight w:val="none"/>
          <w:lang w:val="en-US" w:eastAsia="zh-CN"/>
        </w:rPr>
        <w:t>9</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6</w:t>
      </w:r>
      <w:r>
        <w:rPr>
          <w:rFonts w:hint="eastAsia" w:ascii="仿宋_GB2312" w:eastAsia="仿宋_GB2312"/>
          <w:sz w:val="28"/>
          <w:szCs w:val="28"/>
        </w:rPr>
        <w:t>辆，车均运行维护费</w:t>
      </w:r>
      <w:r>
        <w:rPr>
          <w:rFonts w:hint="eastAsia" w:ascii="仿宋_GB2312" w:eastAsia="仿宋_GB2312"/>
          <w:sz w:val="28"/>
          <w:szCs w:val="28"/>
          <w:lang w:val="en-US" w:eastAsia="zh-CN"/>
        </w:rPr>
        <w:t>0.57</w:t>
      </w:r>
      <w:r>
        <w:rPr>
          <w:rFonts w:hint="eastAsia" w:ascii="仿宋_GB2312" w:eastAsia="仿宋_GB2312"/>
          <w:sz w:val="28"/>
          <w:szCs w:val="28"/>
        </w:rPr>
        <w:t>万元。</w:t>
      </w:r>
    </w:p>
    <w:p w14:paraId="062E0BE3">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070F5F3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259.71</w:t>
      </w:r>
      <w:r>
        <w:rPr>
          <w:rFonts w:hint="eastAsia" w:ascii="仿宋_GB2312" w:eastAsia="仿宋_GB2312"/>
          <w:sz w:val="28"/>
          <w:szCs w:val="28"/>
        </w:rPr>
        <w:t>万元，比上年增加</w:t>
      </w:r>
      <w:r>
        <w:rPr>
          <w:rFonts w:hint="eastAsia" w:ascii="仿宋_GB2312" w:eastAsia="仿宋_GB2312"/>
          <w:sz w:val="28"/>
          <w:szCs w:val="28"/>
          <w:lang w:val="en-US" w:eastAsia="zh-CN"/>
        </w:rPr>
        <w:t>13.19</w:t>
      </w:r>
      <w:r>
        <w:rPr>
          <w:rFonts w:hint="eastAsia" w:ascii="仿宋_GB2312" w:eastAsia="仿宋_GB2312"/>
          <w:sz w:val="28"/>
          <w:szCs w:val="28"/>
        </w:rPr>
        <w:t>万元，增加原因：机构改革后，由我单位接管原宣教中心所属房屋，相关费用</w:t>
      </w:r>
      <w:r>
        <w:rPr>
          <w:rFonts w:hint="eastAsia" w:ascii="仿宋_GB2312" w:eastAsia="仿宋_GB2312"/>
          <w:sz w:val="28"/>
          <w:szCs w:val="28"/>
          <w:lang w:eastAsia="zh-CN"/>
        </w:rPr>
        <w:t>增加</w:t>
      </w:r>
      <w:r>
        <w:rPr>
          <w:rFonts w:hint="eastAsia" w:ascii="仿宋_GB2312" w:eastAsia="仿宋_GB2312"/>
          <w:sz w:val="28"/>
          <w:szCs w:val="28"/>
        </w:rPr>
        <w:t>。</w:t>
      </w:r>
    </w:p>
    <w:p w14:paraId="28A9FA9E">
      <w:pPr>
        <w:ind w:left="540"/>
        <w:rPr>
          <w:rFonts w:ascii="黑体" w:eastAsia="黑体"/>
          <w:sz w:val="28"/>
          <w:szCs w:val="28"/>
        </w:rPr>
      </w:pPr>
      <w:r>
        <w:rPr>
          <w:rFonts w:hint="eastAsia" w:ascii="黑体" w:eastAsia="黑体"/>
          <w:sz w:val="28"/>
          <w:szCs w:val="28"/>
        </w:rPr>
        <w:t>三、政府采购支出情况</w:t>
      </w:r>
    </w:p>
    <w:p w14:paraId="5CEF681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31.51</w:t>
      </w:r>
      <w:r>
        <w:rPr>
          <w:rFonts w:hint="eastAsia" w:ascii="仿宋_GB2312" w:eastAsia="仿宋_GB2312"/>
          <w:sz w:val="28"/>
          <w:szCs w:val="28"/>
        </w:rPr>
        <w:t>万元，其中：政府采购货物支出</w:t>
      </w:r>
      <w:r>
        <w:rPr>
          <w:rFonts w:ascii="仿宋_GB2312" w:eastAsia="仿宋_GB2312"/>
          <w:sz w:val="28"/>
          <w:szCs w:val="28"/>
        </w:rPr>
        <w:t>0.5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31.01</w:t>
      </w:r>
      <w:r>
        <w:rPr>
          <w:rFonts w:hint="eastAsia" w:ascii="仿宋_GB2312" w:eastAsia="仿宋_GB2312"/>
          <w:sz w:val="28"/>
          <w:szCs w:val="28"/>
        </w:rPr>
        <w:t>万元。授予中小企业合同金额</w:t>
      </w:r>
      <w:r>
        <w:rPr>
          <w:rFonts w:ascii="仿宋_GB2312" w:eastAsia="仿宋_GB2312"/>
          <w:sz w:val="28"/>
          <w:szCs w:val="28"/>
          <w:highlight w:val="none"/>
        </w:rPr>
        <w:t>27.14</w:t>
      </w:r>
      <w:r>
        <w:rPr>
          <w:rFonts w:hint="eastAsia" w:ascii="仿宋_GB2312" w:eastAsia="仿宋_GB2312"/>
          <w:sz w:val="28"/>
          <w:szCs w:val="28"/>
        </w:rPr>
        <w:t>万元，占政府采购支出总额的</w:t>
      </w:r>
      <w:r>
        <w:rPr>
          <w:rFonts w:ascii="仿宋_GB2312" w:eastAsia="仿宋_GB2312"/>
          <w:sz w:val="28"/>
          <w:szCs w:val="28"/>
          <w:highlight w:val="none"/>
        </w:rPr>
        <w:t>86.1</w:t>
      </w:r>
      <w:r>
        <w:rPr>
          <w:rFonts w:hint="eastAsia" w:ascii="仿宋_GB2312" w:eastAsia="仿宋_GB2312"/>
          <w:sz w:val="28"/>
          <w:szCs w:val="28"/>
          <w:highlight w:val="none"/>
          <w:lang w:val="en-US" w:eastAsia="zh-CN"/>
        </w:rPr>
        <w:t>3</w:t>
      </w:r>
      <w:r>
        <w:rPr>
          <w:rFonts w:hint="eastAsia" w:ascii="仿宋_GB2312" w:eastAsia="仿宋_GB2312"/>
          <w:sz w:val="28"/>
          <w:szCs w:val="28"/>
        </w:rPr>
        <w:t>%，其中：授予小微企业合同金额</w:t>
      </w:r>
      <w:r>
        <w:rPr>
          <w:rFonts w:ascii="仿宋_GB2312" w:eastAsia="仿宋_GB2312"/>
          <w:sz w:val="28"/>
          <w:szCs w:val="28"/>
          <w:highlight w:val="none"/>
        </w:rPr>
        <w:t>2.27</w:t>
      </w:r>
      <w:r>
        <w:rPr>
          <w:rFonts w:hint="eastAsia" w:ascii="仿宋_GB2312" w:eastAsia="仿宋_GB2312"/>
          <w:sz w:val="28"/>
          <w:szCs w:val="28"/>
        </w:rPr>
        <w:t>万元，占政府采购支出总额的</w:t>
      </w:r>
      <w:r>
        <w:rPr>
          <w:rFonts w:ascii="仿宋_GB2312" w:eastAsia="仿宋_GB2312"/>
          <w:sz w:val="28"/>
          <w:szCs w:val="28"/>
          <w:highlight w:val="none"/>
        </w:rPr>
        <w:t>7.2</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13D2F09D">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BE823D1">
      <w:pPr>
        <w:ind w:firstLine="560" w:firstLineChars="200"/>
        <w:rPr>
          <w:rFonts w:ascii="仿宋_GB2312" w:eastAsia="仿宋_GB2312"/>
          <w:sz w:val="32"/>
          <w:szCs w:val="32"/>
        </w:rPr>
      </w:pPr>
      <w:r>
        <w:rPr>
          <w:rFonts w:hint="eastAsia" w:ascii="仿宋_GB2312" w:eastAsia="仿宋_GB2312"/>
          <w:sz w:val="28"/>
          <w:szCs w:val="28"/>
          <w:lang w:val="en-US" w:eastAsia="zh-CN"/>
        </w:rPr>
        <w:t>2023年度无新购置车辆</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 无</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12月31日，北京市交通委员会</w:t>
      </w:r>
      <w:r>
        <w:rPr>
          <w:rFonts w:hint="eastAsia" w:ascii="仿宋_GB2312" w:eastAsia="仿宋_GB2312"/>
          <w:sz w:val="28"/>
          <w:szCs w:val="28"/>
          <w:lang w:eastAsia="zh-CN"/>
        </w:rPr>
        <w:t>东城运输管理分局共有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76.99</w:t>
      </w:r>
      <w:r>
        <w:rPr>
          <w:rFonts w:hint="eastAsia" w:ascii="仿宋_GB2312" w:eastAsia="仿宋_GB2312"/>
          <w:sz w:val="28"/>
          <w:szCs w:val="28"/>
        </w:rPr>
        <w:t>万元；</w:t>
      </w:r>
      <w:r>
        <w:rPr>
          <w:rFonts w:hint="eastAsia" w:ascii="仿宋_GB2312" w:eastAsia="仿宋_GB2312"/>
          <w:sz w:val="28"/>
          <w:szCs w:val="28"/>
          <w:lang w:eastAsia="zh-CN"/>
        </w:rPr>
        <w:t>无</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p>
    <w:p w14:paraId="60DBFB7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A89F0E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92.31</w:t>
      </w:r>
      <w:r>
        <w:rPr>
          <w:rFonts w:hint="eastAsia" w:ascii="仿宋_GB2312" w:eastAsia="仿宋_GB2312"/>
          <w:sz w:val="28"/>
          <w:szCs w:val="28"/>
        </w:rPr>
        <w:t>万元。</w:t>
      </w:r>
    </w:p>
    <w:p w14:paraId="73D0B2B3">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1DC4662">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EF4BB16">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EEBDC00">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4F8A2BD">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6CC5BC6">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75DEB08">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190C273">
      <w:pPr>
        <w:rPr>
          <w:rFonts w:ascii="仿宋_GB2312" w:eastAsia="仿宋_GB2312"/>
          <w:sz w:val="28"/>
          <w:szCs w:val="28"/>
        </w:rPr>
      </w:pPr>
    </w:p>
    <w:p w14:paraId="138FFB16">
      <w:pPr>
        <w:ind w:firstLine="632" w:firstLineChars="200"/>
        <w:rPr>
          <w:rFonts w:ascii="仿宋_GB2312" w:eastAsia="仿宋_GB2312"/>
          <w:b/>
          <w:color w:val="000000"/>
          <w:spacing w:val="-2"/>
          <w:sz w:val="32"/>
          <w:szCs w:val="32"/>
        </w:rPr>
      </w:pPr>
    </w:p>
    <w:p w14:paraId="6D40B0D6">
      <w:pPr>
        <w:ind w:firstLine="640" w:firstLineChars="200"/>
        <w:jc w:val="center"/>
        <w:rPr>
          <w:rFonts w:ascii="黑体" w:eastAsia="黑体"/>
          <w:sz w:val="32"/>
          <w:szCs w:val="32"/>
        </w:rPr>
      </w:pPr>
    </w:p>
    <w:p w14:paraId="18FE1265">
      <w:pPr>
        <w:ind w:firstLine="640" w:firstLineChars="200"/>
        <w:jc w:val="center"/>
        <w:rPr>
          <w:rFonts w:ascii="黑体" w:eastAsia="黑体"/>
          <w:sz w:val="32"/>
          <w:szCs w:val="32"/>
        </w:rPr>
      </w:pPr>
    </w:p>
    <w:p w14:paraId="42A936A3">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1B379E49">
      <w:pPr>
        <w:ind w:firstLine="560" w:firstLineChars="200"/>
        <w:rPr>
          <w:rFonts w:ascii="黑体" w:eastAsia="黑体"/>
          <w:sz w:val="28"/>
          <w:szCs w:val="28"/>
          <w:highlight w:val="yellow"/>
        </w:rPr>
      </w:pPr>
    </w:p>
    <w:p w14:paraId="65E54CC0">
      <w:pPr>
        <w:tabs>
          <w:tab w:val="center" w:pos="6979"/>
        </w:tabs>
        <w:spacing w:line="360" w:lineRule="auto"/>
        <w:ind w:firstLine="800" w:firstLineChars="200"/>
        <w:rPr>
          <w:rFonts w:hint="eastAsia" w:ascii="仿宋_GB2312" w:hAnsi="宋体" w:eastAsia="仿宋_GB2312" w:cs="宋体"/>
          <w:bCs/>
          <w:spacing w:val="40"/>
          <w:kern w:val="0"/>
          <w:sz w:val="32"/>
          <w:szCs w:val="32"/>
        </w:rPr>
      </w:pPr>
      <w:r>
        <w:rPr>
          <w:rFonts w:hint="eastAsia" w:ascii="仿宋_GB2312" w:hAnsi="宋体" w:eastAsia="仿宋_GB2312" w:cs="宋体"/>
          <w:bCs/>
          <w:spacing w:val="40"/>
          <w:kern w:val="0"/>
          <w:sz w:val="32"/>
          <w:szCs w:val="32"/>
        </w:rPr>
        <w:t>项目支出绩效自评表详见附件。</w:t>
      </w:r>
    </w:p>
    <w:p w14:paraId="08978F7A">
      <w:pPr>
        <w:pStyle w:val="3"/>
        <w:ind w:firstLine="560"/>
      </w:pPr>
      <w:bookmarkStart w:id="0" w:name="_GoBack"/>
      <w:bookmarkEnd w:id="0"/>
    </w:p>
    <w:p w14:paraId="0CAB9E82"/>
    <w:p w14:paraId="3ABF07AF">
      <w:pPr>
        <w:pStyle w:val="3"/>
      </w:pPr>
    </w:p>
    <w:p w14:paraId="335296B1"/>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278C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CFF884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D681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71EFE5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212F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86814C8">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kMTE5NTQ5ZmQ0NGM1ZGU5ZWY1MWNmYjI5ODdjYzQ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3CD5AC9"/>
    <w:rsid w:val="4AC27CB3"/>
    <w:rsid w:val="4BF72BEF"/>
    <w:rsid w:val="51DB3C59"/>
    <w:rsid w:val="550C0952"/>
    <w:rsid w:val="55762E42"/>
    <w:rsid w:val="57A7B272"/>
    <w:rsid w:val="58470068"/>
    <w:rsid w:val="5A1720F9"/>
    <w:rsid w:val="5B9C37C2"/>
    <w:rsid w:val="5BA7C654"/>
    <w:rsid w:val="64C0607C"/>
    <w:rsid w:val="676F09E1"/>
    <w:rsid w:val="790F44CA"/>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99.99</a:t>
                    </a:r>
                    <a:r>
                      <a:t>%</a:t>
                    </a:r>
                  </a:p>
                </c:rich>
              </c:tx>
              <c:dLblPos val="inEnd"/>
              <c:showLegendKey val="0"/>
              <c:showVal val="0"/>
              <c:showCatName val="0"/>
              <c:showSerName val="0"/>
              <c:showPercent val="1"/>
              <c:showBubbleSize val="0"/>
              <c:extLst>
                <c:ext xmlns:c15="http://schemas.microsoft.com/office/drawing/2012/chart" uri="{CE6537A1-D6FC-4f65-9D91-7224C49458BB}">
                  <c15:layout>
                    <c:manualLayout>
                      <c:w val="0.150511306351721"/>
                      <c:h val="0.0686827268067658"/>
                    </c:manualLayout>
                  </c15:layout>
                </c:ext>
              </c:extLst>
            </c:dLbl>
            <c:dLbl>
              <c:idx val="1"/>
              <c:delete val="1"/>
            </c:dLbl>
            <c:dLbl>
              <c:idx val="2"/>
              <c:delete val="1"/>
            </c:dLbl>
            <c:dLbl>
              <c:idx val="3"/>
              <c:delete val="1"/>
            </c:dLbl>
            <c:dLbl>
              <c:idx val="4"/>
              <c:layout>
                <c:manualLayout>
                  <c:x val="0.0016021828941413"/>
                  <c:y val="0.114465183802428"/>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0</a:t>
                    </a:r>
                    <a:r>
                      <a:rPr lang="en-US" altLang="zh-CN"/>
                      <a:t>.01</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1306351721158"/>
                      <c:h val="0.0381855458739108"/>
                    </c:manualLayout>
                  </c15:layout>
                </c:ext>
              </c:extLst>
            </c:dLbl>
            <c:dLbl>
              <c:idx val="5"/>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2179.9</c:v>
                </c:pt>
                <c:pt idx="1">
                  <c:v>0</c:v>
                </c:pt>
                <c:pt idx="2">
                  <c:v>0</c:v>
                </c:pt>
                <c:pt idx="3">
                  <c:v>0</c:v>
                </c:pt>
                <c:pt idx="4">
                  <c:v>0</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ysClr val="windowText" lastClr="000000"/>
                        </a:solidFill>
                        <a:latin typeface="+mn-lt"/>
                        <a:ea typeface="+mn-ea"/>
                        <a:cs typeface="+mn-cs"/>
                      </a:defRPr>
                    </a:pPr>
                    <a:r>
                      <a:rPr>
                        <a:solidFill>
                          <a:sysClr val="windowText" lastClr="000000"/>
                        </a:solidFill>
                      </a:rPr>
                      <a:t>7</a:t>
                    </a:r>
                    <a:r>
                      <a:rPr lang="en-US" altLang="zh-CN">
                        <a:solidFill>
                          <a:sysClr val="windowText" lastClr="000000"/>
                        </a:solidFill>
                      </a:rPr>
                      <a:t>6.58</a:t>
                    </a:r>
                    <a:r>
                      <a:rPr>
                        <a:solidFill>
                          <a:sysClr val="windowText" lastClr="000000"/>
                        </a:solidFill>
                      </a:rPr>
                      <a:t>%</a:t>
                    </a:r>
                    <a:endParaRPr>
                      <a:solidFill>
                        <a:sysClr val="windowText" lastClr="000000"/>
                      </a:solidFill>
                    </a:endParaRP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112361111111111"/>
                      <c:h val="0.0613425925925926"/>
                    </c:manualLayout>
                  </c15:layout>
                </c:ext>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ysClr val="windowText" lastClr="000000"/>
                        </a:solidFill>
                        <a:latin typeface="+mn-lt"/>
                        <a:ea typeface="+mn-ea"/>
                        <a:cs typeface="+mn-cs"/>
                      </a:defRPr>
                    </a:pPr>
                    <a:r>
                      <a:rPr>
                        <a:solidFill>
                          <a:sysClr val="windowText" lastClr="000000"/>
                        </a:solidFill>
                      </a:rPr>
                      <a:t>23</a:t>
                    </a:r>
                    <a:r>
                      <a:rPr lang="en-US" altLang="zh-CN">
                        <a:solidFill>
                          <a:sysClr val="windowText" lastClr="000000"/>
                        </a:solidFill>
                      </a:rPr>
                      <a:t>.42</a:t>
                    </a:r>
                    <a:r>
                      <a:rPr>
                        <a:solidFill>
                          <a:sysClr val="windowText" lastClr="000000"/>
                        </a:solidFill>
                      </a:rPr>
                      <a:t>%</a:t>
                    </a:r>
                    <a:endParaRPr>
                      <a:solidFill>
                        <a:sysClr val="windowText" lastClr="000000"/>
                      </a:solidFill>
                    </a:endParaRP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166805555555556"/>
                      <c:h val="0.0770833333333333"/>
                    </c:manualLayout>
                  </c15:layout>
                </c:ext>
              </c:extLst>
            </c:dLbl>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2009.32</c:v>
                </c:pt>
                <c:pt idx="1">
                  <c:v>614.4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3753</Words>
  <Characters>4255</Characters>
  <Lines>44</Lines>
  <Paragraphs>12</Paragraphs>
  <TotalTime>0</TotalTime>
  <ScaleCrop>false</ScaleCrop>
  <LinksUpToDate>false</LinksUpToDate>
  <CharactersWithSpaces>4274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2024-08-15T08:26:03Z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EF7A3950445E47D39D0A6FA1540AF246_13</vt:lpwstr>
  </property>
</Properties>
</file>