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北京市交通委员会通州公路分局</w:t>
      </w:r>
    </w:p>
    <w:p>
      <w:pPr>
        <w:spacing w:line="48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480" w:lineRule="auto"/>
        <w:ind w:firstLine="640" w:firstLineChars="200"/>
        <w:jc w:val="center"/>
        <w:rPr>
          <w:rFonts w:ascii="方正小标宋简体" w:eastAsia="方正小标宋简体"/>
          <w:color w:val="000000"/>
          <w:sz w:val="32"/>
          <w:szCs w:val="32"/>
        </w:rPr>
      </w:pPr>
    </w:p>
    <w:p>
      <w:pPr>
        <w:spacing w:line="480" w:lineRule="auto"/>
        <w:ind w:firstLine="640" w:firstLineChars="200"/>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480" w:lineRule="auto"/>
        <w:ind w:firstLine="640" w:firstLineChars="200"/>
        <w:jc w:val="center"/>
        <w:rPr>
          <w:rFonts w:ascii="方正小标宋简体" w:eastAsia="方正小标宋简体"/>
          <w:color w:val="000000"/>
          <w:sz w:val="32"/>
          <w:szCs w:val="32"/>
        </w:rPr>
      </w:pPr>
    </w:p>
    <w:p>
      <w:pPr>
        <w:spacing w:line="480" w:lineRule="auto"/>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480" w:lineRule="auto"/>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二、收入总表    </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七、一般公共预算财政拨款支出表</w:t>
      </w:r>
    </w:p>
    <w:p>
      <w:pPr>
        <w:autoSpaceDE w:val="0"/>
        <w:autoSpaceDN w:val="0"/>
        <w:adjustRightInd w:val="0"/>
        <w:spacing w:line="480" w:lineRule="auto"/>
        <w:ind w:firstLine="576"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480" w:lineRule="auto"/>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480" w:lineRule="auto"/>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480" w:lineRule="auto"/>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pPr>
        <w:autoSpaceDE w:val="0"/>
        <w:autoSpaceDN w:val="0"/>
        <w:adjustRightInd w:val="0"/>
        <w:spacing w:line="480" w:lineRule="auto"/>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根据《中共北京市委机构编制委员会办公室关于核定市交通委派出机构主要职责和机构编制事项的批复》（京编办复〔2022〕169号），北京市交通委员会通州公路分局是北京市交通委员会的派出机构。主要职责是：负责本行政区域内公路行业管理工作，拟订公路建设和养护的规划、计划并组织实施，负责公路建设、养护质量安全等的监督管理，承担公路应急处置等工作，完成市交通委交办的其他任务。</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480" w:lineRule="auto"/>
        <w:ind w:firstLine="640" w:firstLineChars="200"/>
        <w:rPr>
          <w:rFonts w:ascii="仿宋_GB2312" w:hAnsi="仿宋" w:eastAsia="仿宋_GB2312"/>
          <w:sz w:val="32"/>
          <w:szCs w:val="32"/>
        </w:rPr>
      </w:pPr>
      <w:r>
        <w:rPr>
          <w:rFonts w:hint="eastAsia" w:ascii="仿宋_GB2312" w:hAnsi="仿宋" w:eastAsia="仿宋_GB2312"/>
          <w:sz w:val="32"/>
          <w:szCs w:val="32"/>
        </w:rPr>
        <w:t>市交通委通州公路分局设立12个职能科室，分别为办公室，法制科，规划计划科，工程管理科，养护管理科，城市道路管理科，路网服务与科技科，安全质量监管与应急科，乡村公路管理科，财务科，党群工作科，人事科。</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市交通委通州公路分局事业编制67名，年末在职人数63人。退休人员115人，遗属3人。</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2023年度收入预算18935.02万元，比2022年年初预算数41111.27万元增加减少22176.25万元，下降53.94%。主要原因是公路建设和公路养护部分项目计划未下达，未申报预算。</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（一）本年财政拨款收入18268.47万元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1.一般公共预算拨款收入16268.47万元。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2.政府性基金预算拨款收入2000.00万元。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3.国有资本经营预算拨款收入0万元。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（二）本年其他资金收入2.00万元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4.财政专户管理资金收入0万元。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0</w:t>
      </w:r>
      <w:r>
        <w:rPr>
          <w:rFonts w:hint="eastAsia" w:ascii="仿宋_GB2312" w:eastAsia="仿宋_GB2312"/>
          <w:sz w:val="32"/>
          <w:szCs w:val="32"/>
        </w:rPr>
        <w:t>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w:t>
      </w:r>
      <w:r>
        <w:rPr>
          <w:rFonts w:hint="eastAsia" w:ascii="仿宋_GB2312" w:eastAsia="仿宋_GB2312"/>
          <w:sz w:val="32"/>
          <w:szCs w:val="32"/>
        </w:rPr>
        <w:t>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w:t>
      </w:r>
      <w:r>
        <w:rPr>
          <w:rFonts w:hint="eastAsia" w:ascii="仿宋_GB2312" w:eastAsia="仿宋_GB2312"/>
          <w:sz w:val="32"/>
          <w:szCs w:val="32"/>
        </w:rPr>
        <w:t>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w:t>
      </w:r>
      <w:r>
        <w:rPr>
          <w:rFonts w:hint="eastAsia" w:ascii="仿宋_GB2312" w:eastAsia="仿宋_GB2312"/>
          <w:sz w:val="32"/>
          <w:szCs w:val="32"/>
        </w:rPr>
        <w:t>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9.其他收入2.00万元。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（三）上年结转结余664.55万元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10.上年结转结余664.55万元。</w:t>
      </w:r>
    </w:p>
    <w:p>
      <w:pPr>
        <w:pStyle w:val="2"/>
        <w:spacing w:line="480" w:lineRule="auto"/>
        <w:ind w:firstLine="1285" w:firstLineChars="400"/>
        <w:rPr>
          <w:rFonts w:ascii="仿宋_GB2312" w:eastAsia="仿宋_GB2312"/>
          <w:sz w:val="32"/>
        </w:rPr>
      </w:pPr>
      <w:r>
        <w:rPr>
          <w:rFonts w:hint="eastAsia" w:ascii="仿宋_GB2312" w:eastAsia="仿宋_GB2312"/>
          <w:sz w:val="32"/>
        </w:rPr>
        <w:t>图1：收入预算情况</w:t>
      </w:r>
    </w:p>
    <w:p>
      <w:pPr>
        <w:pStyle w:val="2"/>
      </w:pPr>
      <w:r>
        <w:drawing>
          <wp:inline distT="0" distB="0" distL="0" distR="0">
            <wp:extent cx="5274310" cy="3076575"/>
            <wp:effectExtent l="0" t="0" r="254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
      <w:pPr>
        <w:spacing w:line="480" w:lineRule="auto"/>
        <w:ind w:firstLine="640" w:firstLineChars="200"/>
        <w:rPr>
          <w:rFonts w:ascii="黑体" w:eastAsia="黑体"/>
          <w:sz w:val="32"/>
          <w:szCs w:val="32"/>
        </w:rPr>
      </w:pPr>
      <w:r>
        <w:rPr>
          <w:rFonts w:hint="eastAsia" w:ascii="黑体" w:eastAsia="黑体"/>
          <w:sz w:val="32"/>
          <w:szCs w:val="32"/>
        </w:rPr>
        <w:t>三、支出预算情况说明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2023年支出预算18935.02万元，比2022年年初预算数41111.27万元减少22176.25万元，下降53.94%。主要原因是公路建设和公路养护部分项目计划未下达，未申报预算。</w:t>
      </w:r>
    </w:p>
    <w:p>
      <w:pPr>
        <w:spacing w:line="480" w:lineRule="auto"/>
        <w:ind w:firstLine="640" w:firstLineChars="20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基本支出预算2360.72万元，占总支出预算12.46%，比2022年年初预算数2247.15万元增加113.57万元，增长5.05%。</w:t>
      </w:r>
    </w:p>
    <w:p>
      <w:pPr>
        <w:spacing w:line="480" w:lineRule="auto"/>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项目支出预算16574.30万元，比2022年年初预算数38864.12万元减少22289.82万元，下降57.35%。其中：</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1.事业单位经营支出0万元。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2.上缴上级支出0万元。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3.对附属单位补助支出0万元。</w:t>
      </w:r>
    </w:p>
    <w:p>
      <w:pPr>
        <w:pStyle w:val="2"/>
        <w:spacing w:line="480" w:lineRule="auto"/>
        <w:ind w:firstLine="1285" w:firstLineChars="400"/>
        <w:rPr>
          <w:rFonts w:ascii="仿宋_GB2312" w:eastAsia="仿宋_GB2312"/>
          <w:sz w:val="32"/>
        </w:rPr>
      </w:pPr>
      <w:r>
        <w:rPr>
          <w:rFonts w:hint="eastAsia" w:ascii="仿宋_GB2312" w:eastAsia="仿宋_GB2312"/>
          <w:sz w:val="32"/>
        </w:rPr>
        <w:t>图2：基本支出和项目支出情况</w:t>
      </w:r>
    </w:p>
    <w:p>
      <w:r>
        <w:drawing>
          <wp:inline distT="0" distB="0" distL="0" distR="0">
            <wp:extent cx="5274310" cy="3076575"/>
            <wp:effectExtent l="0" t="0" r="254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480" w:lineRule="auto"/>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本单位因公出国（境）费用、公务接待费、公务用车购置和运行维护费开支单位包括1个</w:t>
      </w:r>
      <w:bookmarkStart w:id="1" w:name="_GoBack"/>
      <w:bookmarkEnd w:id="1"/>
      <w:r>
        <w:rPr>
          <w:rFonts w:hint="eastAsia" w:ascii="仿宋_GB2312" w:eastAsia="仿宋_GB2312"/>
          <w:sz w:val="32"/>
          <w:szCs w:val="32"/>
        </w:rPr>
        <w:t>单位。</w:t>
      </w:r>
    </w:p>
    <w:p>
      <w:pPr>
        <w:spacing w:line="480" w:lineRule="auto"/>
        <w:ind w:firstLine="640" w:firstLineChars="200"/>
        <w:rPr>
          <w:rFonts w:ascii="仿宋_GB2312" w:eastAsia="仿宋_GB2312"/>
          <w:sz w:val="32"/>
          <w:szCs w:val="32"/>
        </w:rPr>
      </w:pPr>
      <w:r>
        <w:rPr>
          <w:rFonts w:hint="eastAsia" w:ascii="楷体_GB2312" w:eastAsia="楷体_GB2312"/>
          <w:sz w:val="32"/>
          <w:szCs w:val="32"/>
        </w:rPr>
        <w:t>（二）财政拨款“三公”经费预算情况说明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2023年财政拨款“三公”经费预算6.80万元，比2022年财政拨款“三公”经费预算减少3.55万元。其中：</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1.因公出国（境）费用。2023年预算数0万元，与2022年年初预算数0万元持平。</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2.公务接待费。2023年预算数0.10万元，比2022年年初预算数0.35万元减少0.25万元，主要原因：落实政府过“紧日子”要求，进一步压减一般性支出。</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公务用车购置和运行维护费。2023年预算数6.70万元，其中，公务用车购置费2023年预算数0万元，与2022年年初预算数0万元持平；公务用车运行维护费2023年预算数6.70万元，其中：公务用车燃油1.20万元，公务用车维修4.50万元，公务用车保险0万元，其他支出1.00万元。公务用车运行维护费2023年预算数比2022年年初预算数10.00万元减少3.30万元。主要原因：落实政府过“紧日子”要求，进一步压减一般性支出。</w:t>
      </w:r>
    </w:p>
    <w:p>
      <w:pPr>
        <w:spacing w:line="480" w:lineRule="auto"/>
        <w:ind w:firstLine="640" w:firstLineChars="200"/>
        <w:rPr>
          <w:rFonts w:ascii="黑体" w:eastAsia="黑体"/>
          <w:sz w:val="32"/>
          <w:szCs w:val="32"/>
        </w:rPr>
      </w:pPr>
      <w:r>
        <w:rPr>
          <w:rFonts w:hint="eastAsia" w:ascii="黑体" w:eastAsia="黑体"/>
          <w:sz w:val="32"/>
          <w:szCs w:val="32"/>
        </w:rPr>
        <w:t>五、其他情况说明</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2023年本单位政府采购预算总额110.72万元，其中：政府采购货物预算20.36万元，政府采购工程预算0万元，政府采购服务预算90.36万元。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2023年本单位政府购买服务预算总额152.28万元。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2023年本单位1家参公管理事业单位的机关运行经费财政拨款预算437.67万元。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2023年，本单位填报绩效目标的预算项目10个，占本单位本年预算项目10个的100%。填报绩效目标的项目支出预算15909.75万元，占本单位本年项目支出预算的100%。</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480" w:lineRule="auto"/>
        <w:ind w:firstLine="640" w:firstLineChars="200"/>
      </w:pPr>
      <w:r>
        <w:rPr>
          <w:rFonts w:hint="eastAsia" w:ascii="仿宋_GB2312" w:eastAsia="仿宋_GB2312"/>
          <w:sz w:val="32"/>
          <w:szCs w:val="32"/>
        </w:rPr>
        <w:t>本单位2023年无重点行政事业性收费。</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r>
        <w:rPr>
          <w:rFonts w:ascii="仿宋_GB2312" w:eastAsia="仿宋_GB2312"/>
          <w:color w:val="000000"/>
          <w:sz w:val="32"/>
          <w:szCs w:val="32"/>
        </w:rPr>
        <w:t xml:space="preserve"> </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截至2022年底，本单位共有车辆6台，共计96.74万元；单位价值50万元以上的通用设备0台（套），共计0万元，单位价值100万元以上的专用设备6台（套）、共计1137.34万元。</w:t>
      </w:r>
    </w:p>
    <w:p>
      <w:pPr>
        <w:spacing w:line="480" w:lineRule="auto"/>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pStyle w:val="2"/>
      </w:pPr>
    </w:p>
    <w:p/>
    <w:p>
      <w:pPr>
        <w:spacing w:line="48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附件：北京市交通委员会通州公路分局2023年度单位预算报表</w:t>
      </w:r>
      <w:r>
        <w:rPr>
          <w:rFonts w:hint="eastAsia" w:ascii="仿宋_GB2312" w:eastAsia="仿宋_GB2312" w:cs="宋体"/>
          <w:color w:val="000000"/>
          <w:kern w:val="0"/>
          <w:sz w:val="32"/>
          <w:szCs w:val="32"/>
          <w:lang w:val="zh-CN"/>
        </w:rPr>
        <w:t xml:space="preserve"> </w:t>
      </w:r>
      <w:bookmarkStart w:id="0" w:name="chaosong"/>
      <w:bookmarkEnd w:id="0"/>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316687"/>
      <w:docPartObj>
        <w:docPartGallery w:val="autotext"/>
      </w:docPartObj>
    </w:sdtPr>
    <w:sdtEndPr>
      <w:rPr>
        <w:rFonts w:hint="eastAsia" w:asciiTheme="minorEastAsia" w:hAnsiTheme="minorEastAsia" w:eastAsiaTheme="minorEastAsia"/>
        <w:sz w:val="28"/>
        <w:szCs w:val="28"/>
      </w:rPr>
    </w:sdtEndPr>
    <w:sdtContent>
      <w:p>
        <w:pPr>
          <w:pStyle w:val="4"/>
          <w:jc w:val="right"/>
          <w:rPr>
            <w:rFonts w:asciiTheme="minorEastAsia" w:hAnsiTheme="minorEastAsia" w:eastAsiaTheme="minorEastAsia"/>
            <w:sz w:val="28"/>
            <w:szCs w:val="28"/>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7 -</w:t>
        </w:r>
        <w:r>
          <w:rPr>
            <w:rFonts w:hint="eastAsia" w:asciiTheme="minorEastAsia" w:hAnsiTheme="minorEastAsia" w:eastAsiaTheme="minorEastAsia"/>
            <w:sz w:val="28"/>
            <w:szCs w:val="28"/>
          </w:rP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eastAsiaTheme="minorEastAsia"/>
        <w:sz w:val="28"/>
        <w:szCs w:val="28"/>
      </w:rPr>
      <w:id w:val="26316688"/>
      <w:docPartObj>
        <w:docPartGallery w:val="autotext"/>
      </w:docPartObj>
    </w:sdtPr>
    <w:sdtEndPr>
      <w:rPr>
        <w:rFonts w:asciiTheme="minorEastAsia" w:hAnsiTheme="minorEastAsia" w:eastAsiaTheme="minorEastAsia"/>
        <w:sz w:val="28"/>
        <w:szCs w:val="28"/>
      </w:rPr>
    </w:sdtEndPr>
    <w:sdtContent>
      <w:p>
        <w:pPr>
          <w:pStyle w:val="4"/>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8 -</w:t>
        </w:r>
        <w:r>
          <w:rPr>
            <w:rFonts w:asciiTheme="minorEastAsia" w:hAnsiTheme="minorEastAsia" w:eastAsiaTheme="minorEastAsia"/>
            <w:sz w:val="28"/>
            <w:szCs w:val="28"/>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Y3NGM3NDI2NGJmYmIwNjIzYTc3OWI5OGViNzAxY2IifQ=="/>
  </w:docVars>
  <w:rsids>
    <w:rsidRoot w:val="00117A53"/>
    <w:rsid w:val="00024E72"/>
    <w:rsid w:val="00040262"/>
    <w:rsid w:val="000726CC"/>
    <w:rsid w:val="0007322F"/>
    <w:rsid w:val="000C48E1"/>
    <w:rsid w:val="00117A53"/>
    <w:rsid w:val="00126991"/>
    <w:rsid w:val="00247991"/>
    <w:rsid w:val="0027649F"/>
    <w:rsid w:val="002E277F"/>
    <w:rsid w:val="003379C0"/>
    <w:rsid w:val="00377BBB"/>
    <w:rsid w:val="004038C6"/>
    <w:rsid w:val="004567C3"/>
    <w:rsid w:val="00466F40"/>
    <w:rsid w:val="004700CF"/>
    <w:rsid w:val="004A0DBF"/>
    <w:rsid w:val="00521B6F"/>
    <w:rsid w:val="005650FC"/>
    <w:rsid w:val="005D41F3"/>
    <w:rsid w:val="00613388"/>
    <w:rsid w:val="006657DE"/>
    <w:rsid w:val="0069001B"/>
    <w:rsid w:val="006B692E"/>
    <w:rsid w:val="006E7278"/>
    <w:rsid w:val="006F3824"/>
    <w:rsid w:val="00777318"/>
    <w:rsid w:val="00792D1D"/>
    <w:rsid w:val="007B4406"/>
    <w:rsid w:val="007D31F7"/>
    <w:rsid w:val="008A2730"/>
    <w:rsid w:val="00950EB3"/>
    <w:rsid w:val="009656C4"/>
    <w:rsid w:val="00973D4E"/>
    <w:rsid w:val="009D2871"/>
    <w:rsid w:val="009E3AA5"/>
    <w:rsid w:val="009E793B"/>
    <w:rsid w:val="00A3320C"/>
    <w:rsid w:val="00A63DD6"/>
    <w:rsid w:val="00A71D51"/>
    <w:rsid w:val="00AA5398"/>
    <w:rsid w:val="00AB5F15"/>
    <w:rsid w:val="00AF4746"/>
    <w:rsid w:val="00B10F4E"/>
    <w:rsid w:val="00B35190"/>
    <w:rsid w:val="00B50473"/>
    <w:rsid w:val="00BB5CB2"/>
    <w:rsid w:val="00BE79D0"/>
    <w:rsid w:val="00CA6A24"/>
    <w:rsid w:val="00D05CC5"/>
    <w:rsid w:val="00DB46BF"/>
    <w:rsid w:val="00EB1246"/>
    <w:rsid w:val="00F014FA"/>
    <w:rsid w:val="00F32F78"/>
    <w:rsid w:val="00FA3D0D"/>
    <w:rsid w:val="00FB00B2"/>
    <w:rsid w:val="0FAC5F10"/>
    <w:rsid w:val="6B415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0"/>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semiHidden/>
    <w:uiPriority w:val="99"/>
    <w:rPr>
      <w:sz w:val="18"/>
      <w:szCs w:val="18"/>
    </w:rPr>
  </w:style>
  <w:style w:type="character" w:customStyle="1" w:styleId="9">
    <w:name w:val="页脚 字符"/>
    <w:basedOn w:val="7"/>
    <w:link w:val="4"/>
    <w:uiPriority w:val="99"/>
    <w:rPr>
      <w:sz w:val="18"/>
      <w:szCs w:val="18"/>
    </w:rPr>
  </w:style>
  <w:style w:type="character" w:customStyle="1" w:styleId="10">
    <w:name w:val="标题 2 字符"/>
    <w:basedOn w:val="7"/>
    <w:link w:val="2"/>
    <w:uiPriority w:val="0"/>
    <w:rPr>
      <w:rFonts w:ascii="Cambria" w:hAnsi="Cambria" w:eastAsia="黑体" w:cs="Times New Roman"/>
      <w:b/>
      <w:bCs/>
      <w:kern w:val="0"/>
      <w:sz w:val="36"/>
      <w:szCs w:val="32"/>
    </w:rPr>
  </w:style>
  <w:style w:type="character" w:customStyle="1" w:styleId="11">
    <w:name w:val="批注框文本 字符"/>
    <w:basedOn w:val="7"/>
    <w:link w:val="3"/>
    <w:semiHidden/>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收入预算</c:v>
                </c:pt>
              </c:strCache>
            </c:strRef>
          </c:tx>
          <c:explosion val="0"/>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Sheet1!$A$2:$A$5</c:f>
              <c:strCache>
                <c:ptCount val="4"/>
                <c:pt idx="0">
                  <c:v>一般公共拨款</c:v>
                </c:pt>
                <c:pt idx="1">
                  <c:v>政府性基金</c:v>
                </c:pt>
                <c:pt idx="2">
                  <c:v>其他收入</c:v>
                </c:pt>
                <c:pt idx="3">
                  <c:v>上年结转结余</c:v>
                </c:pt>
              </c:strCache>
            </c:strRef>
          </c:cat>
          <c:val>
            <c:numRef>
              <c:f>Sheet1!$B$2:$B$5</c:f>
              <c:numCache>
                <c:formatCode>General</c:formatCode>
                <c:ptCount val="4"/>
                <c:pt idx="0">
                  <c:v>16268.47</c:v>
                </c:pt>
                <c:pt idx="1">
                  <c:v>2000</c:v>
                </c:pt>
                <c:pt idx="2">
                  <c:v>2</c:v>
                </c:pt>
                <c:pt idx="3">
                  <c:v>664.55</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基本支出和项目支出情况表</c:v>
                </c:pt>
              </c:strCache>
            </c:strRef>
          </c:tx>
          <c:explosion val="0"/>
          <c:dPt>
            <c:idx val="0"/>
            <c:bubble3D val="0"/>
          </c:dPt>
          <c:dPt>
            <c:idx val="1"/>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基本支出</c:v>
                </c:pt>
                <c:pt idx="1">
                  <c:v>项目支出</c:v>
                </c:pt>
              </c:strCache>
            </c:strRef>
          </c:cat>
          <c:val>
            <c:numRef>
              <c:f>Sheet1!$B$2:$B$3</c:f>
              <c:numCache>
                <c:formatCode>General</c:formatCode>
                <c:ptCount val="2"/>
                <c:pt idx="0">
                  <c:v>2360.72</c:v>
                </c:pt>
                <c:pt idx="1">
                  <c:v>16574.3</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2401</Words>
  <Characters>2749</Characters>
  <Lines>20</Lines>
  <Paragraphs>5</Paragraphs>
  <TotalTime>0</TotalTime>
  <ScaleCrop>false</ScaleCrop>
  <LinksUpToDate>false</LinksUpToDate>
  <CharactersWithSpaces>2764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2023-02-21T08:14:00Z</dcterms:created>
  <dc:creator>任邯丽</dc:creator>
  <cp:lastModifiedBy>陈劲松</cp:lastModifiedBy>
  <cp:lastPrinted>2023-03-01T07:53:00Z</cp:lastPrinted>
  <dcterms:modified xsi:type="dcterms:W3CDTF">2023-03-07T03:22:37Z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7158AC2BA0B446C0807E76B40A13602A</vt:lpwstr>
  </property>
</Properties>
</file>