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北京市交通委员会本级2023年财政预算信息公开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北京市交通委员会本级是负责本市城乡交通统筹发展、交通运输和交通基础设施综合管理的市政府组成部门。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贯彻落实国家关于交通运输方面的法律法规、规章和政策，起草本市相关地方性法规草案、政府规章草案和政策措施，并组织实施。拟订交通运输发展战略，对交通运输行业改革与发展中的重大问题进行调查研究，并提出对策建议。</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组织编制本市交通基础设施建设和交通运输行业的中长期发展规划。参与编制综合交通规划、交通专项规划、城市轨道交通建设规划及相关规划实施的评估工作。负责大型城建项目交通影响评价的审核。负责市管道路建设项目规划设计方案中交通内容的审查。参与市级交通基础设施建设项目初步设计的审查。统筹推进重大交通基础设施建设，会同相关部门建立交通基础设施建设项目库。</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组织编制市级交通基础设施建设项目前期工作建议计划和年度建设建议计划。组织编制交通基础设施维修养护以及交通运输行业年度计划，并组织实施和监督管理。负责提出交通基础设施建设和维修养护财政性资金安排意见。参与交通发展建设投融资政策的研究和实施。负责城市轨道交通和其他公共交通特许经营项目的具体实施和监督管理工作。提出交通运输行业收费政策及标准的建议。</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负责推进区域交通一体化协同发展。负责本行政区域内铁路、民航和邮政等综合运输的协调工作。组织拟订各类重点交通运输服务保障方案，并监督实施。参与编制现代物流业发展战略和规划，并提出有关政策和标准建议。</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负责本市交通基础设施的监督管理和交通运输业的行业管理，拟订有关政策和标准。负责公路建设市场和道路、水路运输市场监督管理，协调推进交通运输产业发展。负责交通运输行业的行政许可和信用体系建设工作。指导交通运输行业节能减排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6.负责本市交通基础设施和交通运输行业安全生产的监督管理。负责交通运输安全应急方面的组织协调，协助有关部门调查处理交通运输行业重大安全事故。负责重大突发事件中的运输组织和交通设施保障。负责铁路监护道口安全的管理工作。承担北京市交通安全应急指挥部的具体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7.负责组织协调本市交通综合治理工作。负责统筹停车管理工作，负责互联网租赁自行车的行业管理。</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8.负责本市地方海事工作。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9.制定本市交通运输科技和智能交通发展规划、年度计划、政策。组织指导交通运输信息化建设，推动智能交通系统建设。组织指导重大交通科技项目立项、研究、开发和成果推广、应用工作。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10.负责本市交通运输行业的宣传教育工作，组织开展交通运输行业精神文明建设工作。负责交通运输行业对外交流与合作。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11.指导本市交通运输综合执法工作。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12.指导、协调和监督各区的交通运输工作。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13.承担北京市国防动员委员会交通战备办公室工作。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14.完成市委、市政府交办的其他任务。</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根据《中共北京市委办公厅 北京市人民政府办公厅关于印发&lt;北京市交通委员会职能配置、内设机构和人员编制规定&gt;的通知》（京办字〔2019〕47号），北京市交通委员会本级内设处室39个，包括：办公室、法制处、研究室、综合规划处、发展计划处、行业监督处（行政审批服务处）、安全监督与应急处、宣传处、科技处、交通综合治理处、协同发展处、综合运输处、绿色交通发展处（北京市机动车调控管理办公室）、静态交通管理处、交通战备处、路政综合协调处（铁路道口管理办公室）、工程协调与市场监管处、工程设计处、城市道路建设处、公路建设处、城市道路管理处、公路管理处、治超工作处（农村交通办公室）、客运综合协调处、公共交通设施设备管理处、地面公交运营管理处、轨道交通运营管理处、出租（租赁）汽车管理处、道路客运管理处、货物运输管理处、水路运输管理处（北京市地方海事局）、机动车维修管理处、驾驶员培训管理处、财务处（审计处）、人事处、机关党委（党建工作处）、机关纪委、工会、离退休干部处。</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北京市交通委员会本级单位行政编制</w:t>
      </w:r>
      <w:r>
        <w:rPr>
          <w:rFonts w:ascii="仿宋_GB2312" w:eastAsia="仿宋_GB2312"/>
          <w:color w:val="000000"/>
          <w:sz w:val="32"/>
          <w:szCs w:val="32"/>
        </w:rPr>
        <w:t>397</w:t>
      </w:r>
      <w:r>
        <w:rPr>
          <w:rFonts w:hint="eastAsia" w:ascii="仿宋_GB2312" w:eastAsia="仿宋_GB2312"/>
          <w:color w:val="000000"/>
          <w:sz w:val="32"/>
          <w:szCs w:val="32"/>
        </w:rPr>
        <w:t>人，实有人数386人；离退休人员188人，其中：离休10人，退休178人。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2023年度收入预算</w:t>
      </w:r>
      <w:r>
        <w:rPr>
          <w:rFonts w:ascii="仿宋_GB2312" w:eastAsia="仿宋_GB2312"/>
          <w:sz w:val="32"/>
          <w:szCs w:val="32"/>
        </w:rPr>
        <w:t>903839.42</w:t>
      </w:r>
      <w:r>
        <w:rPr>
          <w:rFonts w:hint="eastAsia" w:ascii="仿宋_GB2312" w:eastAsia="仿宋_GB2312"/>
          <w:sz w:val="32"/>
          <w:szCs w:val="32"/>
        </w:rPr>
        <w:t>万元，比2022年年初预算数</w:t>
      </w:r>
      <w:r>
        <w:rPr>
          <w:rFonts w:ascii="仿宋_GB2312" w:eastAsia="仿宋_GB2312"/>
          <w:sz w:val="32"/>
          <w:szCs w:val="32"/>
        </w:rPr>
        <w:t>1158777.67</w:t>
      </w:r>
      <w:r>
        <w:rPr>
          <w:rFonts w:hint="eastAsia" w:ascii="仿宋_GB2312" w:eastAsia="仿宋_GB2312"/>
          <w:sz w:val="32"/>
          <w:szCs w:val="32"/>
        </w:rPr>
        <w:t>万元减少</w:t>
      </w:r>
      <w:r>
        <w:rPr>
          <w:rFonts w:ascii="仿宋_GB2312" w:eastAsia="仿宋_GB2312"/>
          <w:sz w:val="32"/>
          <w:szCs w:val="32"/>
        </w:rPr>
        <w:t>254938.25</w:t>
      </w:r>
      <w:r>
        <w:rPr>
          <w:rFonts w:hint="eastAsia" w:ascii="仿宋_GB2312" w:eastAsia="仿宋_GB2312"/>
          <w:sz w:val="32"/>
          <w:szCs w:val="32"/>
        </w:rPr>
        <w:t>万元，下降22.00%。主要原因是: 上年安排的京雄高速公路（北京段）等重点工程本年无预算安排。</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楷体_GB2312" w:eastAsia="楷体_GB2312"/>
          <w:sz w:val="32"/>
          <w:szCs w:val="32"/>
        </w:rPr>
        <w:t>891862.20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891862.20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819.56</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819.56</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11157.6</w:t>
      </w:r>
      <w:r>
        <w:rPr>
          <w:rFonts w:hint="eastAsia" w:ascii="楷体_GB2312" w:eastAsia="楷体_GB2312"/>
          <w:sz w:val="32"/>
          <w:szCs w:val="32"/>
        </w:rPr>
        <w:t>6万元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ascii="仿宋_GB2312" w:eastAsia="仿宋_GB2312"/>
          <w:sz w:val="32"/>
          <w:szCs w:val="32"/>
        </w:rPr>
        <w:t>11157.6</w:t>
      </w:r>
      <w:r>
        <w:rPr>
          <w:rFonts w:hint="eastAsia" w:ascii="仿宋_GB2312" w:eastAsia="仿宋_GB2312"/>
          <w:sz w:val="32"/>
          <w:szCs w:val="32"/>
        </w:rPr>
        <w:t>6万元。</w:t>
      </w:r>
    </w:p>
    <w:p>
      <w:pPr>
        <w:pStyle w:val="2"/>
        <w:jc w:val="center"/>
        <w:rPr>
          <w:rFonts w:ascii="仿宋_GB2312" w:eastAsia="仿宋_GB2312"/>
          <w:b w:val="0"/>
          <w:bCs w:val="0"/>
        </w:rPr>
      </w:pPr>
      <w:r>
        <w:rPr>
          <w:rFonts w:hint="eastAsia" w:ascii="仿宋_GB2312" w:eastAsia="仿宋_GB2312"/>
        </w:rPr>
        <w:t>图1：收入预算</w:t>
      </w:r>
    </w:p>
    <w:p>
      <w:pPr>
        <w:pStyle w:val="2"/>
        <w:jc w:val="center"/>
      </w:pPr>
      <w:r>
        <w:drawing>
          <wp:inline distT="0" distB="0" distL="0" distR="0">
            <wp:extent cx="4572000" cy="2743200"/>
            <wp:effectExtent l="57150" t="0" r="57150" b="11430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w:t>
      </w:r>
      <w:r>
        <w:rPr>
          <w:rFonts w:ascii="仿宋_GB2312" w:eastAsia="仿宋_GB2312"/>
          <w:sz w:val="32"/>
          <w:szCs w:val="32"/>
        </w:rPr>
        <w:t>903839.42</w:t>
      </w:r>
      <w:r>
        <w:rPr>
          <w:rFonts w:hint="eastAsia" w:ascii="仿宋_GB2312" w:eastAsia="仿宋_GB2312"/>
          <w:sz w:val="32"/>
          <w:szCs w:val="32"/>
        </w:rPr>
        <w:t>万元，比2022年年初预算数</w:t>
      </w:r>
      <w:r>
        <w:rPr>
          <w:rFonts w:ascii="仿宋_GB2312" w:eastAsia="仿宋_GB2312"/>
          <w:sz w:val="32"/>
          <w:szCs w:val="32"/>
        </w:rPr>
        <w:t>1158777.67</w:t>
      </w:r>
      <w:r>
        <w:rPr>
          <w:rFonts w:hint="eastAsia" w:ascii="仿宋_GB2312" w:eastAsia="仿宋_GB2312"/>
          <w:sz w:val="32"/>
          <w:szCs w:val="32"/>
        </w:rPr>
        <w:t>万元减少</w:t>
      </w:r>
      <w:r>
        <w:rPr>
          <w:rFonts w:ascii="仿宋_GB2312" w:eastAsia="仿宋_GB2312"/>
          <w:sz w:val="32"/>
          <w:szCs w:val="32"/>
        </w:rPr>
        <w:t>254938.25</w:t>
      </w:r>
      <w:r>
        <w:rPr>
          <w:rFonts w:hint="eastAsia" w:ascii="仿宋_GB2312" w:eastAsia="仿宋_GB2312"/>
          <w:sz w:val="32"/>
          <w:szCs w:val="32"/>
        </w:rPr>
        <w:t>万元，下降22.00%。主要原因是: 上年安排的京雄高速公路（北京段）等重点工程本年无预算安排。</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18677.90</w:t>
      </w:r>
      <w:r>
        <w:rPr>
          <w:rFonts w:hint="eastAsia" w:ascii="仿宋_GB2312" w:eastAsia="仿宋_GB2312"/>
          <w:sz w:val="32"/>
          <w:szCs w:val="32"/>
        </w:rPr>
        <w:t>万元，占总支出预算2.07%，比2022年年初预算数</w:t>
      </w:r>
      <w:r>
        <w:rPr>
          <w:rFonts w:ascii="仿宋_GB2312" w:eastAsia="仿宋_GB2312"/>
          <w:sz w:val="32"/>
          <w:szCs w:val="32"/>
        </w:rPr>
        <w:t>17211.62</w:t>
      </w:r>
      <w:r>
        <w:rPr>
          <w:rFonts w:hint="eastAsia" w:ascii="仿宋_GB2312" w:eastAsia="仿宋_GB2312"/>
          <w:sz w:val="32"/>
          <w:szCs w:val="32"/>
        </w:rPr>
        <w:t>万元增加</w:t>
      </w:r>
      <w:r>
        <w:rPr>
          <w:rFonts w:ascii="仿宋_GB2312" w:eastAsia="仿宋_GB2312"/>
          <w:sz w:val="32"/>
          <w:szCs w:val="32"/>
        </w:rPr>
        <w:t>1466.28</w:t>
      </w:r>
      <w:r>
        <w:rPr>
          <w:rFonts w:hint="eastAsia" w:ascii="仿宋_GB2312" w:eastAsia="仿宋_GB2312"/>
          <w:sz w:val="32"/>
          <w:szCs w:val="32"/>
        </w:rPr>
        <w:t>万元，增长8.52%。</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885161.5</w:t>
      </w:r>
      <w:r>
        <w:rPr>
          <w:rFonts w:hint="eastAsia" w:ascii="仿宋_GB2312" w:eastAsia="仿宋_GB2312"/>
          <w:sz w:val="32"/>
          <w:szCs w:val="32"/>
        </w:rPr>
        <w:t>2万元，比2022年年初预算数</w:t>
      </w:r>
      <w:r>
        <w:rPr>
          <w:rFonts w:ascii="仿宋_GB2312" w:eastAsia="仿宋_GB2312"/>
          <w:sz w:val="32"/>
          <w:szCs w:val="32"/>
        </w:rPr>
        <w:t>1141566.05</w:t>
      </w:r>
      <w:r>
        <w:rPr>
          <w:rFonts w:hint="eastAsia" w:ascii="仿宋_GB2312" w:eastAsia="仿宋_GB2312"/>
          <w:sz w:val="32"/>
          <w:szCs w:val="32"/>
        </w:rPr>
        <w:t>万元减少</w:t>
      </w:r>
      <w:r>
        <w:rPr>
          <w:rFonts w:ascii="仿宋_GB2312" w:eastAsia="仿宋_GB2312"/>
          <w:sz w:val="32"/>
          <w:szCs w:val="32"/>
        </w:rPr>
        <w:t>256404.53</w:t>
      </w:r>
      <w:r>
        <w:rPr>
          <w:rFonts w:hint="eastAsia" w:ascii="仿宋_GB2312" w:eastAsia="仿宋_GB2312"/>
          <w:sz w:val="32"/>
          <w:szCs w:val="32"/>
        </w:rPr>
        <w:t>万元，下降</w:t>
      </w:r>
      <w:r>
        <w:rPr>
          <w:rFonts w:ascii="仿宋_GB2312" w:eastAsia="仿宋_GB2312"/>
          <w:sz w:val="32"/>
          <w:szCs w:val="32"/>
        </w:rPr>
        <w:t>22.46</w:t>
      </w: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3.对附属单位补助支出0万元。</w:t>
      </w:r>
    </w:p>
    <w:p>
      <w:pPr>
        <w:pStyle w:val="2"/>
        <w:ind w:firstLine="642"/>
        <w:jc w:val="center"/>
        <w:rPr>
          <w:rFonts w:ascii="仿宋_GB2312" w:eastAsia="仿宋_GB2312"/>
        </w:rPr>
      </w:pPr>
      <w:r>
        <w:rPr>
          <w:rFonts w:hint="eastAsia" w:ascii="仿宋_GB2312" w:eastAsia="仿宋_GB2312"/>
        </w:rPr>
        <w:t>图2：基本支出和项目支出情况</w:t>
      </w:r>
    </w:p>
    <w:p>
      <w:pPr>
        <w:pStyle w:val="2"/>
        <w:jc w:val="center"/>
        <w:rPr>
          <w:rFonts w:eastAsia="黑体"/>
        </w:rPr>
      </w:pPr>
      <w:r>
        <w:drawing>
          <wp:inline distT="0" distB="0" distL="0" distR="0">
            <wp:extent cx="4572000" cy="27432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color w:val="auto"/>
          <w:sz w:val="32"/>
          <w:szCs w:val="32"/>
        </w:rPr>
      </w:pPr>
      <w:bookmarkStart w:id="1" w:name="_GoBack"/>
      <w:r>
        <w:rPr>
          <w:rFonts w:hint="eastAsia" w:ascii="仿宋_GB2312" w:eastAsia="仿宋_GB2312"/>
          <w:color w:val="auto"/>
          <w:sz w:val="32"/>
          <w:szCs w:val="32"/>
        </w:rPr>
        <w:t>北京市交通委员会本级因公出国（境）费用开支单位包括北京市交通委员会本级等22个所属单位</w:t>
      </w:r>
      <w:r>
        <w:rPr>
          <w:rFonts w:hint="eastAsia" w:ascii="仿宋_GB2312" w:eastAsia="仿宋_GB2312"/>
          <w:color w:val="auto"/>
          <w:sz w:val="32"/>
          <w:szCs w:val="32"/>
          <w:lang w:eastAsia="zh-CN"/>
        </w:rPr>
        <w:t>；</w:t>
      </w:r>
      <w:r>
        <w:rPr>
          <w:rFonts w:hint="eastAsia" w:ascii="仿宋_GB2312" w:eastAsia="仿宋_GB2312"/>
          <w:color w:val="auto"/>
          <w:sz w:val="32"/>
          <w:szCs w:val="32"/>
        </w:rPr>
        <w:t>公务接待费、公务用车购置和运行维护费开支单位包括1个单位。</w:t>
      </w:r>
    </w:p>
    <w:bookmarkEnd w:id="1"/>
    <w:p>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2023年财政拨款“三公”经费预算</w:t>
      </w:r>
      <w:r>
        <w:rPr>
          <w:rFonts w:ascii="仿宋_GB2312" w:eastAsia="仿宋_GB2312"/>
          <w:sz w:val="32"/>
          <w:szCs w:val="32"/>
        </w:rPr>
        <w:t>308.97</w:t>
      </w:r>
      <w:r>
        <w:rPr>
          <w:rFonts w:hint="eastAsia" w:ascii="仿宋_GB2312" w:eastAsia="仿宋_GB2312"/>
          <w:sz w:val="32"/>
          <w:szCs w:val="32"/>
        </w:rPr>
        <w:t>万元，比2022年财政拨款“三公”经费预算减少</w:t>
      </w:r>
      <w:r>
        <w:rPr>
          <w:rFonts w:ascii="仿宋_GB2312" w:eastAsia="仿宋_GB2312"/>
          <w:sz w:val="32"/>
          <w:szCs w:val="32"/>
        </w:rPr>
        <w:t>15.28</w:t>
      </w:r>
      <w:r>
        <w:rPr>
          <w:rFonts w:hint="eastAsia" w:ascii="仿宋_GB2312" w:eastAsia="仿宋_GB2312"/>
          <w:sz w:val="32"/>
          <w:szCs w:val="32"/>
        </w:rPr>
        <w:t>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1.因公出国（境）费用。2023年预算数</w:t>
      </w:r>
      <w:r>
        <w:rPr>
          <w:rFonts w:ascii="仿宋_GB2312" w:eastAsia="仿宋_GB2312"/>
          <w:sz w:val="32"/>
          <w:szCs w:val="32"/>
        </w:rPr>
        <w:t>185.53</w:t>
      </w:r>
      <w:r>
        <w:rPr>
          <w:rFonts w:hint="eastAsia" w:ascii="仿宋_GB2312" w:eastAsia="仿宋_GB2312"/>
          <w:sz w:val="32"/>
          <w:szCs w:val="32"/>
        </w:rPr>
        <w:t>万元，比2022年年初预算数195.30万元减少9.77万元，主要原因：落实政府过“紧日子”要求，进一步压减一般性支出。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2.公务接待费。2023年预算数1.94万元，比2022年年初预算数2.05万元减少0.11万元，主要原因：我单位进一步压缩各类公务接待费用。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3.公务用车购置和运行维护费。2023年预算数121.50万元，其中，公务用车购置费2023年预算数0万元，与2022年年初预算数0万元持平；公务用车运行维护费2023年预算数121.50万元，其中：公务用车燃油</w:t>
      </w:r>
      <w:r>
        <w:rPr>
          <w:rFonts w:ascii="仿宋_GB2312" w:eastAsia="仿宋_GB2312"/>
          <w:sz w:val="32"/>
          <w:szCs w:val="32"/>
        </w:rPr>
        <w:t>64.40</w:t>
      </w:r>
      <w:r>
        <w:rPr>
          <w:rFonts w:hint="eastAsia" w:ascii="仿宋_GB2312" w:eastAsia="仿宋_GB2312"/>
          <w:sz w:val="32"/>
          <w:szCs w:val="32"/>
        </w:rPr>
        <w:t>万元，公务用车维修</w:t>
      </w:r>
      <w:r>
        <w:rPr>
          <w:rFonts w:ascii="仿宋_GB2312" w:eastAsia="仿宋_GB2312"/>
          <w:sz w:val="32"/>
          <w:szCs w:val="32"/>
        </w:rPr>
        <w:t>20.66</w:t>
      </w:r>
      <w:r>
        <w:rPr>
          <w:rFonts w:hint="eastAsia" w:ascii="仿宋_GB2312" w:eastAsia="仿宋_GB2312"/>
          <w:sz w:val="32"/>
          <w:szCs w:val="32"/>
        </w:rPr>
        <w:t>万元，公务用车保险</w:t>
      </w:r>
      <w:r>
        <w:rPr>
          <w:rFonts w:ascii="仿宋_GB2312" w:eastAsia="仿宋_GB2312"/>
          <w:sz w:val="32"/>
          <w:szCs w:val="32"/>
        </w:rPr>
        <w:t>20.66</w:t>
      </w:r>
      <w:r>
        <w:rPr>
          <w:rFonts w:hint="eastAsia" w:ascii="仿宋_GB2312" w:eastAsia="仿宋_GB2312"/>
          <w:sz w:val="32"/>
          <w:szCs w:val="32"/>
        </w:rPr>
        <w:t>万元，其他支出</w:t>
      </w:r>
      <w:r>
        <w:rPr>
          <w:rFonts w:ascii="仿宋_GB2312" w:eastAsia="仿宋_GB2312"/>
          <w:sz w:val="32"/>
          <w:szCs w:val="32"/>
        </w:rPr>
        <w:t>15.80</w:t>
      </w:r>
      <w:r>
        <w:rPr>
          <w:rFonts w:hint="eastAsia" w:ascii="仿宋_GB2312" w:eastAsia="仿宋_GB2312"/>
          <w:sz w:val="32"/>
          <w:szCs w:val="32"/>
        </w:rPr>
        <w:t>万元。公务用车运行维护费2023年预算数比2022年年初预算数126.90万元减少5.40万元。主要原因：我单位进一步压减一般性支出。</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2023年北京市交通委员会本级政府采购预算总额</w:t>
      </w:r>
      <w:r>
        <w:rPr>
          <w:rFonts w:ascii="仿宋_GB2312" w:eastAsia="仿宋_GB2312"/>
          <w:sz w:val="32"/>
          <w:szCs w:val="32"/>
        </w:rPr>
        <w:t>13168.9</w:t>
      </w:r>
      <w:r>
        <w:rPr>
          <w:rFonts w:hint="eastAsia" w:ascii="仿宋_GB2312" w:eastAsia="仿宋_GB2312"/>
          <w:sz w:val="32"/>
          <w:szCs w:val="32"/>
        </w:rPr>
        <w:t>3万元，其中：政府采购货物预算</w:t>
      </w:r>
      <w:r>
        <w:rPr>
          <w:rFonts w:ascii="仿宋_GB2312" w:eastAsia="仿宋_GB2312"/>
          <w:sz w:val="32"/>
          <w:szCs w:val="32"/>
        </w:rPr>
        <w:t>207.72</w:t>
      </w:r>
      <w:r>
        <w:rPr>
          <w:rFonts w:hint="eastAsia" w:ascii="仿宋_GB2312" w:eastAsia="仿宋_GB2312"/>
          <w:sz w:val="32"/>
          <w:szCs w:val="32"/>
        </w:rPr>
        <w:t>万元，政府采购工程预算0万元，政府采购服务预算</w:t>
      </w:r>
      <w:r>
        <w:rPr>
          <w:rFonts w:ascii="仿宋_GB2312" w:eastAsia="仿宋_GB2312"/>
          <w:sz w:val="32"/>
          <w:szCs w:val="32"/>
        </w:rPr>
        <w:t>12961.2</w:t>
      </w:r>
      <w:r>
        <w:rPr>
          <w:rFonts w:hint="eastAsia" w:ascii="仿宋_GB2312" w:eastAsia="仿宋_GB2312"/>
          <w:sz w:val="32"/>
          <w:szCs w:val="32"/>
        </w:rPr>
        <w:t>1万元。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2023年北京市交通委员会本级政府购买服务预算总额</w:t>
      </w:r>
      <w:r>
        <w:rPr>
          <w:rFonts w:ascii="仿宋_GB2312" w:eastAsia="仿宋_GB2312"/>
          <w:sz w:val="32"/>
          <w:szCs w:val="32"/>
        </w:rPr>
        <w:t>20228.7</w:t>
      </w:r>
      <w:r>
        <w:rPr>
          <w:rFonts w:hint="eastAsia" w:ascii="仿宋_GB2312" w:eastAsia="仿宋_GB2312"/>
          <w:sz w:val="32"/>
          <w:szCs w:val="32"/>
        </w:rPr>
        <w:t>7万元。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2023年北京市交通委员会本级1家行政单位的机关运行经费财政拨款预算</w:t>
      </w:r>
      <w:r>
        <w:rPr>
          <w:rFonts w:ascii="仿宋_GB2312" w:eastAsia="仿宋_GB2312"/>
          <w:sz w:val="32"/>
          <w:szCs w:val="32"/>
        </w:rPr>
        <w:t>2965.87</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2023年，北京市交通委员会本级填报绩效目标的预算项目173个，占本单位本年预算项目173个的100%。填报绩效目标的项目支出预算874003.86万元，占本单位本年项目支出预算的100%。</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项目名称：城市道路挖掘修复费</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收费依据：《北京市财政局</w:t>
      </w:r>
      <w:r>
        <w:rPr>
          <w:rFonts w:ascii="仿宋_GB2312" w:eastAsia="仿宋_GB2312"/>
          <w:sz w:val="32"/>
          <w:szCs w:val="32"/>
        </w:rPr>
        <w:t xml:space="preserve"> </w:t>
      </w:r>
      <w:r>
        <w:rPr>
          <w:rFonts w:hint="eastAsia" w:ascii="仿宋_GB2312" w:eastAsia="仿宋_GB2312"/>
          <w:sz w:val="32"/>
          <w:szCs w:val="32"/>
        </w:rPr>
        <w:t>北京市发展和改革委员会关于同意城市道路挖掘修复收费立项的函》（京财综〔</w:t>
      </w:r>
      <w:r>
        <w:rPr>
          <w:rFonts w:ascii="仿宋_GB2312" w:eastAsia="仿宋_GB2312"/>
          <w:sz w:val="32"/>
          <w:szCs w:val="32"/>
        </w:rPr>
        <w:t>2010</w:t>
      </w:r>
      <w:r>
        <w:rPr>
          <w:rFonts w:hint="eastAsia" w:ascii="仿宋_GB2312" w:eastAsia="仿宋_GB2312"/>
          <w:sz w:val="32"/>
          <w:szCs w:val="32"/>
        </w:rPr>
        <w:t>〕</w:t>
      </w:r>
      <w:r>
        <w:rPr>
          <w:rFonts w:ascii="仿宋_GB2312" w:eastAsia="仿宋_GB2312"/>
          <w:sz w:val="32"/>
          <w:szCs w:val="32"/>
        </w:rPr>
        <w:t>1615</w:t>
      </w:r>
      <w:r>
        <w:rPr>
          <w:rFonts w:hint="eastAsia" w:ascii="仿宋_GB2312" w:eastAsia="仿宋_GB2312"/>
          <w:sz w:val="32"/>
          <w:szCs w:val="32"/>
        </w:rPr>
        <w:t>号）</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执收主体</w:t>
      </w:r>
      <w:r>
        <w:rPr>
          <w:rFonts w:ascii="仿宋_GB2312" w:eastAsia="仿宋_GB2312"/>
          <w:sz w:val="32"/>
          <w:szCs w:val="32"/>
        </w:rPr>
        <w:t xml:space="preserve">: </w:t>
      </w:r>
      <w:r>
        <w:rPr>
          <w:rFonts w:hint="eastAsia" w:ascii="仿宋_GB2312" w:eastAsia="仿宋_GB2312"/>
          <w:sz w:val="32"/>
          <w:szCs w:val="32"/>
        </w:rPr>
        <w:t>北京市交通委员会</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收费部门：北京市交通委员会</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收费标准：《北京市交通委员会关于调整城市道路挖掘修复费收费标准的通知》（京交财发〔</w:t>
      </w:r>
      <w:r>
        <w:rPr>
          <w:rFonts w:ascii="仿宋_GB2312" w:eastAsia="仿宋_GB2312"/>
          <w:sz w:val="32"/>
          <w:szCs w:val="32"/>
        </w:rPr>
        <w:t>2011</w:t>
      </w:r>
      <w:r>
        <w:rPr>
          <w:rFonts w:hint="eastAsia" w:ascii="仿宋_GB2312" w:eastAsia="仿宋_GB2312"/>
          <w:sz w:val="32"/>
          <w:szCs w:val="32"/>
        </w:rPr>
        <w:t>〕</w:t>
      </w:r>
      <w:r>
        <w:rPr>
          <w:rFonts w:ascii="仿宋_GB2312" w:eastAsia="仿宋_GB2312"/>
          <w:sz w:val="32"/>
          <w:szCs w:val="32"/>
        </w:rPr>
        <w:t>144</w:t>
      </w:r>
      <w:r>
        <w:rPr>
          <w:rFonts w:hint="eastAsia" w:ascii="仿宋_GB2312" w:eastAsia="仿宋_GB2312"/>
          <w:sz w:val="32"/>
          <w:szCs w:val="32"/>
        </w:rPr>
        <w:t>号）</w:t>
      </w:r>
    </w:p>
    <w:tbl>
      <w:tblPr>
        <w:tblStyle w:val="6"/>
        <w:tblW w:w="5000" w:type="pct"/>
        <w:tblInd w:w="0" w:type="dxa"/>
        <w:tblLayout w:type="autofit"/>
        <w:tblCellMar>
          <w:top w:w="0" w:type="dxa"/>
          <w:left w:w="108" w:type="dxa"/>
          <w:bottom w:w="0" w:type="dxa"/>
          <w:right w:w="108" w:type="dxa"/>
        </w:tblCellMar>
      </w:tblPr>
      <w:tblGrid>
        <w:gridCol w:w="750"/>
        <w:gridCol w:w="2961"/>
        <w:gridCol w:w="3700"/>
        <w:gridCol w:w="1111"/>
      </w:tblGrid>
      <w:tr>
        <w:tblPrEx>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vAlign w:val="center"/>
          </w:tcPr>
          <w:p>
            <w:pPr>
              <w:widowControl/>
              <w:jc w:val="center"/>
              <w:rPr>
                <w:rFonts w:ascii="宋体" w:cs="宋体"/>
                <w:b/>
                <w:bCs/>
                <w:kern w:val="0"/>
                <w:sz w:val="28"/>
                <w:szCs w:val="28"/>
              </w:rPr>
            </w:pPr>
            <w:r>
              <w:rPr>
                <w:rFonts w:hint="eastAsia" w:ascii="宋体" w:hAnsi="宋体" w:cs="宋体"/>
                <w:b/>
                <w:bCs/>
                <w:kern w:val="0"/>
                <w:sz w:val="28"/>
                <w:szCs w:val="28"/>
              </w:rPr>
              <w:t>北京市城市道路挖掘修复费标准</w:t>
            </w:r>
          </w:p>
        </w:tc>
      </w:tr>
      <w:tr>
        <w:tblPrEx>
          <w:tblCellMar>
            <w:top w:w="0" w:type="dxa"/>
            <w:left w:w="108" w:type="dxa"/>
            <w:bottom w:w="0" w:type="dxa"/>
            <w:right w:w="108" w:type="dxa"/>
          </w:tblCellMar>
        </w:tblPrEx>
        <w:trPr>
          <w:trHeight w:val="480" w:hRule="atLeast"/>
        </w:trPr>
        <w:tc>
          <w:tcPr>
            <w:tcW w:w="44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bCs/>
                <w:kern w:val="0"/>
                <w:sz w:val="20"/>
              </w:rPr>
            </w:pPr>
            <w:r>
              <w:rPr>
                <w:rFonts w:hint="eastAsia" w:ascii="宋体" w:hAnsi="宋体" w:cs="宋体"/>
                <w:b/>
                <w:bCs/>
                <w:kern w:val="0"/>
                <w:sz w:val="20"/>
              </w:rPr>
              <w:t>序号</w:t>
            </w:r>
          </w:p>
        </w:tc>
        <w:tc>
          <w:tcPr>
            <w:tcW w:w="1737" w:type="pct"/>
            <w:tcBorders>
              <w:top w:val="single" w:color="auto" w:sz="4" w:space="0"/>
              <w:left w:val="nil"/>
              <w:bottom w:val="single" w:color="auto" w:sz="4" w:space="0"/>
              <w:right w:val="single" w:color="auto" w:sz="4" w:space="0"/>
            </w:tcBorders>
            <w:vAlign w:val="center"/>
          </w:tcPr>
          <w:p>
            <w:pPr>
              <w:widowControl/>
              <w:jc w:val="center"/>
              <w:rPr>
                <w:rFonts w:ascii="宋体" w:cs="宋体"/>
                <w:b/>
                <w:bCs/>
                <w:kern w:val="0"/>
                <w:sz w:val="20"/>
              </w:rPr>
            </w:pPr>
            <w:r>
              <w:rPr>
                <w:rFonts w:hint="eastAsia" w:ascii="宋体" w:hAnsi="宋体" w:cs="宋体"/>
                <w:b/>
                <w:bCs/>
                <w:kern w:val="0"/>
                <w:sz w:val="20"/>
              </w:rPr>
              <w:t>项目名称</w:t>
            </w:r>
          </w:p>
        </w:tc>
        <w:tc>
          <w:tcPr>
            <w:tcW w:w="2171" w:type="pct"/>
            <w:tcBorders>
              <w:top w:val="single" w:color="auto" w:sz="4" w:space="0"/>
              <w:left w:val="nil"/>
              <w:bottom w:val="single" w:color="auto" w:sz="4" w:space="0"/>
              <w:right w:val="single" w:color="auto" w:sz="4" w:space="0"/>
            </w:tcBorders>
            <w:vAlign w:val="center"/>
          </w:tcPr>
          <w:p>
            <w:pPr>
              <w:widowControl/>
              <w:jc w:val="center"/>
              <w:rPr>
                <w:rFonts w:ascii="宋体" w:cs="宋体"/>
                <w:b/>
                <w:bCs/>
                <w:color w:val="000000"/>
                <w:kern w:val="0"/>
                <w:sz w:val="20"/>
              </w:rPr>
            </w:pPr>
            <w:r>
              <w:rPr>
                <w:rFonts w:hint="eastAsia" w:ascii="宋体" w:hAnsi="宋体" w:cs="宋体"/>
                <w:b/>
                <w:bCs/>
                <w:color w:val="000000"/>
                <w:kern w:val="0"/>
                <w:sz w:val="20"/>
              </w:rPr>
              <w:t>结构内容</w:t>
            </w:r>
          </w:p>
        </w:tc>
        <w:tc>
          <w:tcPr>
            <w:tcW w:w="652" w:type="pct"/>
            <w:tcBorders>
              <w:top w:val="single" w:color="auto" w:sz="4" w:space="0"/>
              <w:left w:val="nil"/>
              <w:bottom w:val="single" w:color="auto" w:sz="4" w:space="0"/>
              <w:right w:val="single" w:color="auto" w:sz="4" w:space="0"/>
            </w:tcBorders>
            <w:noWrap/>
            <w:vAlign w:val="center"/>
          </w:tcPr>
          <w:p>
            <w:pPr>
              <w:widowControl/>
              <w:jc w:val="center"/>
              <w:rPr>
                <w:rFonts w:ascii="宋体" w:cs="宋体"/>
                <w:b/>
                <w:bCs/>
                <w:kern w:val="0"/>
                <w:sz w:val="20"/>
              </w:rPr>
            </w:pPr>
            <w:r>
              <w:rPr>
                <w:rFonts w:hint="eastAsia" w:ascii="宋体" w:hAnsi="宋体" w:cs="宋体"/>
                <w:b/>
                <w:bCs/>
                <w:kern w:val="0"/>
                <w:sz w:val="20"/>
              </w:rPr>
              <w:t>收费标准</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1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快速路、主干路沥青路面</w:t>
            </w:r>
          </w:p>
        </w:tc>
        <w:tc>
          <w:tcPr>
            <w:tcW w:w="2171" w:type="pct"/>
            <w:tcBorders>
              <w:top w:val="nil"/>
              <w:left w:val="nil"/>
              <w:bottom w:val="single" w:color="auto" w:sz="4" w:space="0"/>
              <w:right w:val="single" w:color="auto" w:sz="4" w:space="0"/>
            </w:tcBorders>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沥青砼</w:t>
            </w:r>
            <w:r>
              <w:rPr>
                <w:rFonts w:ascii="宋体" w:hAnsi="宋体" w:cs="宋体"/>
                <w:color w:val="000000"/>
                <w:kern w:val="0"/>
                <w:sz w:val="18"/>
                <w:szCs w:val="18"/>
              </w:rPr>
              <w:t>15cm+</w:t>
            </w:r>
            <w:r>
              <w:rPr>
                <w:rFonts w:hint="eastAsia" w:ascii="宋体" w:hAnsi="宋体" w:cs="宋体"/>
                <w:color w:val="000000"/>
                <w:kern w:val="0"/>
                <w:sz w:val="18"/>
                <w:szCs w:val="18"/>
              </w:rPr>
              <w:t>水稳</w:t>
            </w:r>
            <w:r>
              <w:rPr>
                <w:rFonts w:ascii="宋体" w:hAnsi="宋体" w:cs="宋体"/>
                <w:color w:val="000000"/>
                <w:kern w:val="0"/>
                <w:sz w:val="18"/>
                <w:szCs w:val="18"/>
              </w:rPr>
              <w:t>18cm+</w:t>
            </w:r>
            <w:r>
              <w:rPr>
                <w:rFonts w:hint="eastAsia" w:ascii="宋体" w:hAnsi="宋体" w:cs="宋体"/>
                <w:color w:val="000000"/>
                <w:kern w:val="0"/>
                <w:sz w:val="18"/>
                <w:szCs w:val="18"/>
              </w:rPr>
              <w:t>无机料</w:t>
            </w:r>
            <w:r>
              <w:rPr>
                <w:rFonts w:ascii="宋体" w:hAnsi="宋体" w:cs="宋体"/>
                <w:color w:val="000000"/>
                <w:kern w:val="0"/>
                <w:sz w:val="18"/>
                <w:szCs w:val="18"/>
              </w:rPr>
              <w:t>36cm</w:t>
            </w:r>
            <w:r>
              <w:rPr>
                <w:rFonts w:hint="eastAsia" w:ascii="宋体" w:hAnsi="宋体" w:cs="宋体"/>
                <w:color w:val="000000"/>
                <w:kern w:val="0"/>
                <w:sz w:val="18"/>
                <w:szCs w:val="18"/>
              </w:rPr>
              <w:t>（</w:t>
            </w:r>
            <w:r>
              <w:rPr>
                <w:rFonts w:ascii="宋体" w:hAnsi="宋体" w:cs="宋体"/>
                <w:color w:val="000000"/>
                <w:kern w:val="0"/>
                <w:sz w:val="18"/>
                <w:szCs w:val="18"/>
              </w:rPr>
              <w:t>69cm</w:t>
            </w:r>
            <w:r>
              <w:rPr>
                <w:rFonts w:hint="eastAsia" w:ascii="宋体" w:hAnsi="宋体" w:cs="宋体"/>
                <w:color w:val="000000"/>
                <w:kern w:val="0"/>
                <w:sz w:val="18"/>
                <w:szCs w:val="18"/>
              </w:rPr>
              <w:t>）</w:t>
            </w:r>
          </w:p>
        </w:tc>
        <w:tc>
          <w:tcPr>
            <w:tcW w:w="652" w:type="pct"/>
            <w:tcBorders>
              <w:top w:val="nil"/>
              <w:left w:val="nil"/>
              <w:bottom w:val="single" w:color="auto" w:sz="4" w:space="0"/>
              <w:right w:val="single" w:color="auto" w:sz="4" w:space="0"/>
            </w:tcBorders>
            <w:vAlign w:val="center"/>
          </w:tcPr>
          <w:p>
            <w:pPr>
              <w:jc w:val="center"/>
              <w:rPr>
                <w:rFonts w:ascii="仿宋_GB2312" w:hAnsi="宋体"/>
                <w:sz w:val="18"/>
                <w:szCs w:val="18"/>
              </w:rPr>
            </w:pPr>
            <w:r>
              <w:rPr>
                <w:rFonts w:ascii="宋体" w:hAnsi="宋体" w:cs="宋体"/>
                <w:kern w:val="0"/>
                <w:sz w:val="18"/>
                <w:szCs w:val="18"/>
              </w:rPr>
              <w:t>342</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2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次干路沥青路面</w:t>
            </w:r>
          </w:p>
        </w:tc>
        <w:tc>
          <w:tcPr>
            <w:tcW w:w="2171" w:type="pct"/>
            <w:tcBorders>
              <w:top w:val="nil"/>
              <w:left w:val="nil"/>
              <w:bottom w:val="single" w:color="auto" w:sz="4" w:space="0"/>
              <w:right w:val="single" w:color="auto" w:sz="4" w:space="0"/>
            </w:tcBorders>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沥青砼</w:t>
            </w:r>
            <w:r>
              <w:rPr>
                <w:rFonts w:ascii="宋体" w:hAnsi="宋体" w:cs="宋体"/>
                <w:color w:val="000000"/>
                <w:kern w:val="0"/>
                <w:sz w:val="18"/>
                <w:szCs w:val="18"/>
              </w:rPr>
              <w:t>12cm+</w:t>
            </w:r>
            <w:r>
              <w:rPr>
                <w:rFonts w:hint="eastAsia" w:ascii="宋体" w:hAnsi="宋体" w:cs="宋体"/>
                <w:color w:val="000000"/>
                <w:kern w:val="0"/>
                <w:sz w:val="18"/>
                <w:szCs w:val="18"/>
              </w:rPr>
              <w:t>水稳</w:t>
            </w:r>
            <w:r>
              <w:rPr>
                <w:rFonts w:ascii="宋体" w:hAnsi="宋体" w:cs="宋体"/>
                <w:color w:val="000000"/>
                <w:kern w:val="0"/>
                <w:sz w:val="18"/>
                <w:szCs w:val="18"/>
              </w:rPr>
              <w:t>18cm+</w:t>
            </w:r>
            <w:r>
              <w:rPr>
                <w:rFonts w:hint="eastAsia" w:ascii="宋体" w:hAnsi="宋体" w:cs="宋体"/>
                <w:color w:val="000000"/>
                <w:kern w:val="0"/>
                <w:sz w:val="18"/>
                <w:szCs w:val="18"/>
              </w:rPr>
              <w:t>无机料</w:t>
            </w:r>
            <w:r>
              <w:rPr>
                <w:rFonts w:ascii="宋体" w:hAnsi="宋体" w:cs="宋体"/>
                <w:color w:val="000000"/>
                <w:kern w:val="0"/>
                <w:sz w:val="18"/>
                <w:szCs w:val="18"/>
              </w:rPr>
              <w:t>36cm(66cm)</w:t>
            </w:r>
          </w:p>
        </w:tc>
        <w:tc>
          <w:tcPr>
            <w:tcW w:w="652" w:type="pct"/>
            <w:tcBorders>
              <w:top w:val="nil"/>
              <w:left w:val="nil"/>
              <w:bottom w:val="single" w:color="auto" w:sz="4" w:space="0"/>
              <w:right w:val="single" w:color="auto" w:sz="4" w:space="0"/>
            </w:tcBorders>
            <w:vAlign w:val="center"/>
          </w:tcPr>
          <w:p>
            <w:pPr>
              <w:jc w:val="center"/>
              <w:rPr>
                <w:rFonts w:ascii="仿宋_GB2312" w:hAnsi="宋体"/>
                <w:sz w:val="18"/>
                <w:szCs w:val="18"/>
              </w:rPr>
            </w:pPr>
            <w:r>
              <w:rPr>
                <w:rFonts w:ascii="宋体" w:hAnsi="宋体" w:cs="宋体"/>
                <w:kern w:val="0"/>
                <w:sz w:val="18"/>
                <w:szCs w:val="18"/>
              </w:rPr>
              <w:t>312</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3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支路沥青路面</w:t>
            </w:r>
          </w:p>
        </w:tc>
        <w:tc>
          <w:tcPr>
            <w:tcW w:w="2171" w:type="pct"/>
            <w:tcBorders>
              <w:top w:val="nil"/>
              <w:left w:val="nil"/>
              <w:bottom w:val="single" w:color="auto" w:sz="4" w:space="0"/>
              <w:right w:val="single" w:color="auto" w:sz="4" w:space="0"/>
            </w:tcBorders>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沥青砼</w:t>
            </w:r>
            <w:r>
              <w:rPr>
                <w:rFonts w:ascii="宋体" w:hAnsi="宋体" w:cs="宋体"/>
                <w:color w:val="000000"/>
                <w:kern w:val="0"/>
                <w:sz w:val="18"/>
                <w:szCs w:val="18"/>
              </w:rPr>
              <w:t>12cm+</w:t>
            </w:r>
            <w:r>
              <w:rPr>
                <w:rFonts w:hint="eastAsia" w:ascii="宋体" w:hAnsi="宋体" w:cs="宋体"/>
                <w:color w:val="000000"/>
                <w:kern w:val="0"/>
                <w:sz w:val="18"/>
                <w:szCs w:val="18"/>
              </w:rPr>
              <w:t>水稳</w:t>
            </w:r>
            <w:r>
              <w:rPr>
                <w:rFonts w:ascii="宋体" w:hAnsi="宋体" w:cs="宋体"/>
                <w:color w:val="000000"/>
                <w:kern w:val="0"/>
                <w:sz w:val="18"/>
                <w:szCs w:val="18"/>
              </w:rPr>
              <w:t>18cm+</w:t>
            </w:r>
            <w:r>
              <w:rPr>
                <w:rFonts w:hint="eastAsia" w:ascii="宋体" w:hAnsi="宋体" w:cs="宋体"/>
                <w:color w:val="000000"/>
                <w:kern w:val="0"/>
                <w:sz w:val="18"/>
                <w:szCs w:val="18"/>
              </w:rPr>
              <w:t>无机料</w:t>
            </w:r>
            <w:r>
              <w:rPr>
                <w:rFonts w:ascii="宋体" w:hAnsi="宋体" w:cs="宋体"/>
                <w:color w:val="000000"/>
                <w:kern w:val="0"/>
                <w:sz w:val="18"/>
                <w:szCs w:val="18"/>
              </w:rPr>
              <w:t>20cm(50cm)</w:t>
            </w:r>
          </w:p>
        </w:tc>
        <w:tc>
          <w:tcPr>
            <w:tcW w:w="652" w:type="pct"/>
            <w:tcBorders>
              <w:top w:val="nil"/>
              <w:left w:val="nil"/>
              <w:bottom w:val="single" w:color="auto" w:sz="4" w:space="0"/>
              <w:right w:val="single" w:color="auto" w:sz="4" w:space="0"/>
            </w:tcBorders>
            <w:vAlign w:val="center"/>
          </w:tcPr>
          <w:p>
            <w:pPr>
              <w:jc w:val="center"/>
              <w:rPr>
                <w:rFonts w:ascii="仿宋_GB2312" w:hAnsi="宋体"/>
                <w:sz w:val="18"/>
                <w:szCs w:val="18"/>
              </w:rPr>
            </w:pPr>
            <w:r>
              <w:rPr>
                <w:rFonts w:ascii="宋体" w:hAnsi="宋体" w:cs="宋体"/>
                <w:kern w:val="0"/>
                <w:sz w:val="18"/>
                <w:szCs w:val="18"/>
              </w:rPr>
              <w:t>277</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4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水泥混凝土路面</w:t>
            </w:r>
          </w:p>
        </w:tc>
        <w:tc>
          <w:tcPr>
            <w:tcW w:w="2171" w:type="pct"/>
            <w:tcBorders>
              <w:top w:val="nil"/>
              <w:left w:val="nil"/>
              <w:bottom w:val="single" w:color="auto" w:sz="4" w:space="0"/>
              <w:right w:val="single" w:color="auto" w:sz="4" w:space="0"/>
            </w:tcBorders>
            <w:vAlign w:val="center"/>
          </w:tcPr>
          <w:p>
            <w:pPr>
              <w:widowControl/>
              <w:rPr>
                <w:rFonts w:ascii="宋体" w:cs="宋体"/>
                <w:color w:val="000000"/>
                <w:kern w:val="0"/>
                <w:sz w:val="18"/>
                <w:szCs w:val="18"/>
              </w:rPr>
            </w:pPr>
            <w:r>
              <w:rPr>
                <w:rFonts w:ascii="宋体" w:hAnsi="宋体" w:cs="宋体"/>
                <w:color w:val="000000"/>
                <w:kern w:val="0"/>
                <w:sz w:val="18"/>
                <w:szCs w:val="18"/>
              </w:rPr>
              <w:t>30cm</w:t>
            </w:r>
            <w:r>
              <w:rPr>
                <w:rFonts w:hint="eastAsia" w:ascii="宋体" w:hAnsi="宋体" w:cs="宋体"/>
                <w:color w:val="000000"/>
                <w:kern w:val="0"/>
                <w:sz w:val="18"/>
                <w:szCs w:val="18"/>
              </w:rPr>
              <w:t>无机结合料，</w:t>
            </w:r>
            <w:r>
              <w:rPr>
                <w:rFonts w:ascii="宋体" w:hAnsi="宋体" w:cs="宋体"/>
                <w:color w:val="000000"/>
                <w:kern w:val="0"/>
                <w:sz w:val="18"/>
                <w:szCs w:val="18"/>
              </w:rPr>
              <w:t xml:space="preserve"> 22cm</w:t>
            </w:r>
            <w:r>
              <w:rPr>
                <w:rFonts w:hint="eastAsia" w:ascii="宋体" w:hAnsi="宋体" w:cs="宋体"/>
                <w:color w:val="000000"/>
                <w:kern w:val="0"/>
                <w:sz w:val="18"/>
                <w:szCs w:val="18"/>
              </w:rPr>
              <w:t>水泥砼面层</w:t>
            </w:r>
          </w:p>
        </w:tc>
        <w:tc>
          <w:tcPr>
            <w:tcW w:w="652" w:type="pct"/>
            <w:tcBorders>
              <w:top w:val="nil"/>
              <w:left w:val="nil"/>
              <w:bottom w:val="single" w:color="auto" w:sz="4" w:space="0"/>
              <w:right w:val="single" w:color="auto" w:sz="4" w:space="0"/>
            </w:tcBorders>
            <w:vAlign w:val="center"/>
          </w:tcPr>
          <w:p>
            <w:pPr>
              <w:jc w:val="center"/>
              <w:rPr>
                <w:rFonts w:ascii="仿宋_GB2312" w:hAnsi="宋体"/>
                <w:sz w:val="18"/>
                <w:szCs w:val="18"/>
              </w:rPr>
            </w:pPr>
            <w:r>
              <w:rPr>
                <w:rFonts w:ascii="宋体" w:hAnsi="宋体" w:cs="宋体"/>
                <w:kern w:val="0"/>
                <w:sz w:val="18"/>
                <w:szCs w:val="18"/>
              </w:rPr>
              <w:t>255</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5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彩色方砖路面</w:t>
            </w:r>
          </w:p>
        </w:tc>
        <w:tc>
          <w:tcPr>
            <w:tcW w:w="2171" w:type="pct"/>
            <w:tcBorders>
              <w:top w:val="nil"/>
              <w:left w:val="nil"/>
              <w:bottom w:val="single" w:color="auto" w:sz="4" w:space="0"/>
              <w:right w:val="single" w:color="auto" w:sz="4" w:space="0"/>
            </w:tcBorders>
            <w:vAlign w:val="center"/>
          </w:tcPr>
          <w:p>
            <w:pPr>
              <w:widowControl/>
              <w:rPr>
                <w:rFonts w:ascii="宋体" w:cs="宋体"/>
                <w:color w:val="000000"/>
                <w:kern w:val="0"/>
                <w:sz w:val="18"/>
                <w:szCs w:val="18"/>
              </w:rPr>
            </w:pPr>
            <w:r>
              <w:rPr>
                <w:rFonts w:ascii="宋体" w:hAnsi="宋体" w:cs="宋体"/>
                <w:color w:val="000000"/>
                <w:kern w:val="0"/>
                <w:sz w:val="18"/>
                <w:szCs w:val="18"/>
              </w:rPr>
              <w:t>30cm</w:t>
            </w:r>
            <w:r>
              <w:rPr>
                <w:rFonts w:hint="eastAsia" w:ascii="宋体" w:hAnsi="宋体" w:cs="宋体"/>
                <w:color w:val="000000"/>
                <w:kern w:val="0"/>
                <w:sz w:val="18"/>
                <w:szCs w:val="18"/>
              </w:rPr>
              <w:t>无机结合料、</w:t>
            </w:r>
            <w:r>
              <w:rPr>
                <w:rFonts w:ascii="宋体" w:hAnsi="宋体" w:cs="宋体"/>
                <w:color w:val="000000"/>
                <w:kern w:val="0"/>
                <w:sz w:val="18"/>
                <w:szCs w:val="18"/>
              </w:rPr>
              <w:t>7cm</w:t>
            </w:r>
            <w:r>
              <w:rPr>
                <w:rFonts w:hint="eastAsia" w:ascii="宋体" w:hAnsi="宋体" w:cs="宋体"/>
                <w:color w:val="000000"/>
                <w:kern w:val="0"/>
                <w:sz w:val="18"/>
                <w:szCs w:val="18"/>
              </w:rPr>
              <w:t>面层</w:t>
            </w:r>
          </w:p>
        </w:tc>
        <w:tc>
          <w:tcPr>
            <w:tcW w:w="652" w:type="pct"/>
            <w:tcBorders>
              <w:top w:val="nil"/>
              <w:left w:val="nil"/>
              <w:bottom w:val="nil"/>
              <w:right w:val="single" w:color="auto" w:sz="4" w:space="0"/>
            </w:tcBorders>
            <w:vAlign w:val="center"/>
          </w:tcPr>
          <w:p>
            <w:pPr>
              <w:jc w:val="center"/>
              <w:rPr>
                <w:rFonts w:ascii="仿宋_GB2312" w:hAnsi="宋体"/>
                <w:sz w:val="18"/>
                <w:szCs w:val="18"/>
              </w:rPr>
            </w:pPr>
            <w:r>
              <w:rPr>
                <w:rFonts w:ascii="宋体" w:hAnsi="宋体" w:cs="宋体"/>
                <w:kern w:val="0"/>
                <w:sz w:val="18"/>
                <w:szCs w:val="18"/>
              </w:rPr>
              <w:t>190</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6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盲道砖路面</w:t>
            </w:r>
          </w:p>
        </w:tc>
        <w:tc>
          <w:tcPr>
            <w:tcW w:w="2171" w:type="pct"/>
            <w:tcBorders>
              <w:top w:val="nil"/>
              <w:left w:val="nil"/>
              <w:bottom w:val="single" w:color="auto" w:sz="4" w:space="0"/>
              <w:right w:val="single" w:color="auto" w:sz="4" w:space="0"/>
            </w:tcBorders>
            <w:vAlign w:val="center"/>
          </w:tcPr>
          <w:p>
            <w:pPr>
              <w:widowControl/>
              <w:rPr>
                <w:rFonts w:ascii="宋体" w:cs="宋体"/>
                <w:color w:val="000000"/>
                <w:kern w:val="0"/>
                <w:sz w:val="18"/>
                <w:szCs w:val="18"/>
              </w:rPr>
            </w:pPr>
            <w:r>
              <w:rPr>
                <w:rFonts w:ascii="宋体" w:hAnsi="宋体" w:cs="宋体"/>
                <w:color w:val="000000"/>
                <w:kern w:val="0"/>
                <w:sz w:val="18"/>
                <w:szCs w:val="18"/>
              </w:rPr>
              <w:t>30cm</w:t>
            </w:r>
            <w:r>
              <w:rPr>
                <w:rFonts w:hint="eastAsia" w:ascii="宋体" w:hAnsi="宋体" w:cs="宋体"/>
                <w:color w:val="000000"/>
                <w:kern w:val="0"/>
                <w:sz w:val="18"/>
                <w:szCs w:val="18"/>
              </w:rPr>
              <w:t>无机结合料、</w:t>
            </w:r>
            <w:r>
              <w:rPr>
                <w:rFonts w:ascii="宋体" w:hAnsi="宋体" w:cs="宋体"/>
                <w:color w:val="000000"/>
                <w:kern w:val="0"/>
                <w:sz w:val="18"/>
                <w:szCs w:val="18"/>
              </w:rPr>
              <w:t>7cm</w:t>
            </w:r>
            <w:r>
              <w:rPr>
                <w:rFonts w:hint="eastAsia" w:ascii="宋体" w:hAnsi="宋体" w:cs="宋体"/>
                <w:color w:val="000000"/>
                <w:kern w:val="0"/>
                <w:sz w:val="18"/>
                <w:szCs w:val="18"/>
              </w:rPr>
              <w:t>面层</w:t>
            </w:r>
          </w:p>
        </w:tc>
        <w:tc>
          <w:tcPr>
            <w:tcW w:w="652" w:type="pct"/>
            <w:tcBorders>
              <w:top w:val="single" w:color="auto" w:sz="4" w:space="0"/>
              <w:left w:val="nil"/>
              <w:bottom w:val="single" w:color="auto" w:sz="4" w:space="0"/>
              <w:right w:val="single" w:color="auto" w:sz="4" w:space="0"/>
            </w:tcBorders>
            <w:vAlign w:val="center"/>
          </w:tcPr>
          <w:p>
            <w:pPr>
              <w:jc w:val="center"/>
              <w:rPr>
                <w:rFonts w:ascii="仿宋_GB2312" w:hAnsi="宋体"/>
                <w:sz w:val="18"/>
                <w:szCs w:val="18"/>
              </w:rPr>
            </w:pPr>
            <w:r>
              <w:rPr>
                <w:rFonts w:ascii="宋体" w:hAnsi="宋体" w:cs="宋体"/>
                <w:kern w:val="0"/>
                <w:sz w:val="18"/>
                <w:szCs w:val="18"/>
              </w:rPr>
              <w:t>225</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7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水泥方砖路面</w:t>
            </w:r>
          </w:p>
        </w:tc>
        <w:tc>
          <w:tcPr>
            <w:tcW w:w="2171" w:type="pct"/>
            <w:tcBorders>
              <w:top w:val="nil"/>
              <w:left w:val="nil"/>
              <w:bottom w:val="single" w:color="auto" w:sz="4" w:space="0"/>
              <w:right w:val="single" w:color="auto" w:sz="4" w:space="0"/>
            </w:tcBorders>
            <w:vAlign w:val="center"/>
          </w:tcPr>
          <w:p>
            <w:pPr>
              <w:widowControl/>
              <w:rPr>
                <w:rFonts w:ascii="宋体" w:cs="宋体"/>
                <w:color w:val="000000"/>
                <w:kern w:val="0"/>
                <w:sz w:val="18"/>
                <w:szCs w:val="18"/>
              </w:rPr>
            </w:pPr>
            <w:r>
              <w:rPr>
                <w:rFonts w:ascii="宋体" w:hAnsi="宋体" w:cs="宋体"/>
                <w:color w:val="000000"/>
                <w:kern w:val="0"/>
                <w:sz w:val="18"/>
                <w:szCs w:val="18"/>
              </w:rPr>
              <w:t>30cm</w:t>
            </w:r>
            <w:r>
              <w:rPr>
                <w:rFonts w:hint="eastAsia" w:ascii="宋体" w:hAnsi="宋体" w:cs="宋体"/>
                <w:color w:val="000000"/>
                <w:kern w:val="0"/>
                <w:sz w:val="18"/>
                <w:szCs w:val="18"/>
              </w:rPr>
              <w:t>无机结合料，</w:t>
            </w:r>
            <w:r>
              <w:rPr>
                <w:rFonts w:ascii="宋体" w:hAnsi="宋体" w:cs="宋体"/>
                <w:color w:val="000000"/>
                <w:kern w:val="0"/>
                <w:sz w:val="18"/>
                <w:szCs w:val="18"/>
              </w:rPr>
              <w:t xml:space="preserve"> 50</w:t>
            </w:r>
            <w:r>
              <w:rPr>
                <w:rFonts w:hint="eastAsia" w:ascii="宋体" w:hAnsi="宋体" w:cs="宋体"/>
                <w:color w:val="000000"/>
                <w:kern w:val="0"/>
                <w:sz w:val="18"/>
                <w:szCs w:val="18"/>
              </w:rPr>
              <w:t>×</w:t>
            </w:r>
            <w:r>
              <w:rPr>
                <w:rFonts w:ascii="宋体" w:hAnsi="宋体" w:cs="宋体"/>
                <w:color w:val="000000"/>
                <w:kern w:val="0"/>
                <w:sz w:val="18"/>
                <w:szCs w:val="18"/>
              </w:rPr>
              <w:t>50</w:t>
            </w:r>
            <w:r>
              <w:rPr>
                <w:rFonts w:hint="eastAsia" w:ascii="宋体" w:hAnsi="宋体" w:cs="宋体"/>
                <w:color w:val="000000"/>
                <w:kern w:val="0"/>
                <w:sz w:val="18"/>
                <w:szCs w:val="18"/>
              </w:rPr>
              <w:t>×</w:t>
            </w:r>
            <w:r>
              <w:rPr>
                <w:rFonts w:ascii="宋体" w:hAnsi="宋体" w:cs="宋体"/>
                <w:color w:val="000000"/>
                <w:kern w:val="0"/>
                <w:sz w:val="18"/>
                <w:szCs w:val="18"/>
              </w:rPr>
              <w:t>10</w:t>
            </w:r>
            <w:r>
              <w:rPr>
                <w:rFonts w:hint="eastAsia" w:ascii="宋体" w:hAnsi="宋体" w:cs="宋体"/>
                <w:color w:val="000000"/>
                <w:kern w:val="0"/>
                <w:sz w:val="18"/>
                <w:szCs w:val="18"/>
              </w:rPr>
              <w:t>大方砖</w:t>
            </w:r>
          </w:p>
        </w:tc>
        <w:tc>
          <w:tcPr>
            <w:tcW w:w="652" w:type="pct"/>
            <w:tcBorders>
              <w:top w:val="nil"/>
              <w:left w:val="nil"/>
              <w:bottom w:val="single" w:color="auto" w:sz="4" w:space="0"/>
              <w:right w:val="single" w:color="auto" w:sz="4" w:space="0"/>
            </w:tcBorders>
            <w:vAlign w:val="center"/>
          </w:tcPr>
          <w:p>
            <w:pPr>
              <w:jc w:val="center"/>
              <w:rPr>
                <w:rFonts w:ascii="仿宋_GB2312" w:hAnsi="宋体"/>
                <w:sz w:val="18"/>
                <w:szCs w:val="18"/>
              </w:rPr>
            </w:pPr>
            <w:r>
              <w:rPr>
                <w:rFonts w:ascii="宋体" w:hAnsi="宋体" w:cs="宋体"/>
                <w:kern w:val="0"/>
                <w:sz w:val="18"/>
                <w:szCs w:val="18"/>
              </w:rPr>
              <w:t>182</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8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石材路面</w:t>
            </w:r>
          </w:p>
        </w:tc>
        <w:tc>
          <w:tcPr>
            <w:tcW w:w="2171" w:type="pct"/>
            <w:tcBorders>
              <w:top w:val="nil"/>
              <w:left w:val="nil"/>
              <w:bottom w:val="single" w:color="auto" w:sz="4" w:space="0"/>
              <w:right w:val="single" w:color="auto" w:sz="4" w:space="0"/>
            </w:tcBorders>
            <w:vAlign w:val="center"/>
          </w:tcPr>
          <w:p>
            <w:pPr>
              <w:widowControl/>
              <w:rPr>
                <w:rFonts w:ascii="宋体" w:cs="宋体"/>
                <w:color w:val="000000"/>
                <w:kern w:val="0"/>
                <w:sz w:val="18"/>
                <w:szCs w:val="18"/>
              </w:rPr>
            </w:pPr>
            <w:r>
              <w:rPr>
                <w:rFonts w:ascii="宋体" w:hAnsi="宋体" w:cs="宋体"/>
                <w:color w:val="000000"/>
                <w:kern w:val="0"/>
                <w:sz w:val="18"/>
                <w:szCs w:val="18"/>
              </w:rPr>
              <w:t>30cm</w:t>
            </w:r>
            <w:r>
              <w:rPr>
                <w:rFonts w:hint="eastAsia" w:ascii="宋体" w:hAnsi="宋体" w:cs="宋体"/>
                <w:color w:val="000000"/>
                <w:kern w:val="0"/>
                <w:sz w:val="18"/>
                <w:szCs w:val="18"/>
              </w:rPr>
              <w:t>无机结合料、</w:t>
            </w:r>
            <w:r>
              <w:rPr>
                <w:rFonts w:ascii="宋体" w:hAnsi="宋体" w:cs="宋体"/>
                <w:color w:val="000000"/>
                <w:kern w:val="0"/>
                <w:sz w:val="18"/>
                <w:szCs w:val="18"/>
              </w:rPr>
              <w:t>8cm</w:t>
            </w:r>
            <w:r>
              <w:rPr>
                <w:rFonts w:hint="eastAsia" w:ascii="宋体" w:hAnsi="宋体" w:cs="宋体"/>
                <w:color w:val="000000"/>
                <w:kern w:val="0"/>
                <w:sz w:val="18"/>
                <w:szCs w:val="18"/>
              </w:rPr>
              <w:t>面层</w:t>
            </w:r>
          </w:p>
        </w:tc>
        <w:tc>
          <w:tcPr>
            <w:tcW w:w="652" w:type="pct"/>
            <w:tcBorders>
              <w:top w:val="nil"/>
              <w:left w:val="nil"/>
              <w:bottom w:val="nil"/>
              <w:right w:val="single" w:color="auto" w:sz="4" w:space="0"/>
            </w:tcBorders>
            <w:vAlign w:val="center"/>
          </w:tcPr>
          <w:p>
            <w:pPr>
              <w:jc w:val="center"/>
              <w:rPr>
                <w:rFonts w:ascii="仿宋_GB2312" w:hAnsi="宋体"/>
                <w:sz w:val="18"/>
                <w:szCs w:val="18"/>
              </w:rPr>
            </w:pPr>
            <w:r>
              <w:rPr>
                <w:rFonts w:ascii="宋体" w:hAnsi="宋体" w:cs="宋体"/>
                <w:kern w:val="0"/>
                <w:sz w:val="18"/>
                <w:szCs w:val="18"/>
              </w:rPr>
              <w:t>468</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9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混凝土缘石</w:t>
            </w:r>
          </w:p>
        </w:tc>
        <w:tc>
          <w:tcPr>
            <w:tcW w:w="2171"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ascii="宋体" w:hAnsi="宋体" w:cs="宋体"/>
                <w:kern w:val="0"/>
                <w:sz w:val="18"/>
                <w:szCs w:val="18"/>
              </w:rPr>
              <w:t>49.5</w:t>
            </w:r>
            <w:r>
              <w:rPr>
                <w:rFonts w:hint="eastAsia" w:ascii="宋体" w:hAnsi="宋体" w:cs="宋体"/>
                <w:kern w:val="0"/>
                <w:sz w:val="18"/>
                <w:szCs w:val="18"/>
              </w:rPr>
              <w:t>×</w:t>
            </w:r>
            <w:r>
              <w:rPr>
                <w:rFonts w:ascii="宋体" w:hAnsi="宋体" w:cs="宋体"/>
                <w:kern w:val="0"/>
                <w:sz w:val="18"/>
                <w:szCs w:val="18"/>
              </w:rPr>
              <w:t>20</w:t>
            </w:r>
            <w:r>
              <w:rPr>
                <w:rFonts w:hint="eastAsia" w:ascii="宋体" w:hAnsi="宋体" w:cs="宋体"/>
                <w:kern w:val="0"/>
                <w:sz w:val="18"/>
                <w:szCs w:val="18"/>
              </w:rPr>
              <w:t>×</w:t>
            </w:r>
            <w:r>
              <w:rPr>
                <w:rFonts w:ascii="宋体" w:hAnsi="宋体" w:cs="宋体"/>
                <w:kern w:val="0"/>
                <w:sz w:val="18"/>
                <w:szCs w:val="18"/>
              </w:rPr>
              <w:t>10</w:t>
            </w:r>
            <w:r>
              <w:rPr>
                <w:rFonts w:hint="eastAsia" w:ascii="宋体" w:hAnsi="宋体" w:cs="宋体"/>
                <w:kern w:val="0"/>
                <w:sz w:val="18"/>
                <w:szCs w:val="18"/>
              </w:rPr>
              <w:t>缘石</w:t>
            </w:r>
            <w:r>
              <w:rPr>
                <w:rFonts w:ascii="宋体" w:hAnsi="宋体" w:cs="宋体"/>
                <w:kern w:val="0"/>
                <w:sz w:val="18"/>
                <w:szCs w:val="18"/>
              </w:rPr>
              <w:t xml:space="preserve"> </w:t>
            </w:r>
          </w:p>
        </w:tc>
        <w:tc>
          <w:tcPr>
            <w:tcW w:w="652" w:type="pct"/>
            <w:tcBorders>
              <w:top w:val="single" w:color="auto" w:sz="4" w:space="0"/>
              <w:left w:val="nil"/>
              <w:bottom w:val="nil"/>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46</w:t>
            </w:r>
            <w:r>
              <w:rPr>
                <w:rFonts w:hint="eastAsia" w:ascii="宋体" w:hAnsi="宋体" w:cs="宋体"/>
                <w:kern w:val="0"/>
                <w:sz w:val="18"/>
                <w:szCs w:val="18"/>
              </w:rPr>
              <w:t>元</w:t>
            </w:r>
            <w:r>
              <w:rPr>
                <w:rFonts w:ascii="宋体" w:hAnsi="宋体" w:cs="宋体"/>
                <w:kern w:val="0"/>
                <w:sz w:val="18"/>
                <w:szCs w:val="18"/>
              </w:rPr>
              <w:t>/m</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10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花岗岩缘石</w:t>
            </w:r>
          </w:p>
        </w:tc>
        <w:tc>
          <w:tcPr>
            <w:tcW w:w="2171" w:type="pct"/>
            <w:tcBorders>
              <w:top w:val="nil"/>
              <w:left w:val="nil"/>
              <w:bottom w:val="single" w:color="auto" w:sz="4" w:space="0"/>
              <w:right w:val="single" w:color="auto" w:sz="4" w:space="0"/>
            </w:tcBorders>
            <w:vAlign w:val="center"/>
          </w:tcPr>
          <w:p>
            <w:pPr>
              <w:widowControl/>
              <w:jc w:val="left"/>
              <w:rPr>
                <w:rFonts w:ascii="宋体" w:cs="宋体"/>
                <w:color w:val="000000"/>
                <w:kern w:val="0"/>
                <w:sz w:val="18"/>
                <w:szCs w:val="18"/>
              </w:rPr>
            </w:pPr>
            <w:r>
              <w:rPr>
                <w:rFonts w:hint="eastAsia" w:ascii="宋体" w:hAnsi="宋体" w:cs="宋体"/>
                <w:color w:val="000000"/>
                <w:kern w:val="0"/>
                <w:sz w:val="18"/>
                <w:szCs w:val="18"/>
              </w:rPr>
              <w:t>豆石混凝土花岗岩缘石</w:t>
            </w:r>
          </w:p>
        </w:tc>
        <w:tc>
          <w:tcPr>
            <w:tcW w:w="652" w:type="pct"/>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188</w:t>
            </w:r>
            <w:r>
              <w:rPr>
                <w:rFonts w:hint="eastAsia" w:ascii="宋体" w:hAnsi="宋体" w:cs="宋体"/>
                <w:kern w:val="0"/>
                <w:sz w:val="18"/>
                <w:szCs w:val="18"/>
              </w:rPr>
              <w:t>元</w:t>
            </w:r>
            <w:r>
              <w:rPr>
                <w:rFonts w:ascii="宋体" w:hAnsi="宋体" w:cs="宋体"/>
                <w:kern w:val="0"/>
                <w:sz w:val="18"/>
                <w:szCs w:val="18"/>
              </w:rPr>
              <w:t>/m</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11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混凝土树池</w:t>
            </w:r>
          </w:p>
        </w:tc>
        <w:tc>
          <w:tcPr>
            <w:tcW w:w="2171" w:type="pct"/>
            <w:tcBorders>
              <w:top w:val="nil"/>
              <w:left w:val="nil"/>
              <w:bottom w:val="single" w:color="auto" w:sz="4" w:space="0"/>
              <w:right w:val="single" w:color="auto" w:sz="4" w:space="0"/>
            </w:tcBorders>
            <w:vAlign w:val="center"/>
          </w:tcPr>
          <w:p>
            <w:pPr>
              <w:widowControl/>
              <w:jc w:val="left"/>
              <w:rPr>
                <w:rFonts w:ascii="宋体" w:cs="宋体"/>
                <w:color w:val="000000"/>
                <w:kern w:val="0"/>
                <w:sz w:val="18"/>
                <w:szCs w:val="18"/>
              </w:rPr>
            </w:pPr>
            <w:r>
              <w:rPr>
                <w:rFonts w:ascii="宋体" w:hAnsi="宋体" w:cs="宋体"/>
                <w:color w:val="000000"/>
                <w:kern w:val="0"/>
                <w:sz w:val="18"/>
                <w:szCs w:val="18"/>
              </w:rPr>
              <w:t>1.5</w:t>
            </w:r>
            <w:r>
              <w:rPr>
                <w:rFonts w:hint="eastAsia" w:ascii="宋体" w:hAnsi="宋体" w:cs="宋体"/>
                <w:color w:val="000000"/>
                <w:kern w:val="0"/>
                <w:sz w:val="18"/>
                <w:szCs w:val="18"/>
              </w:rPr>
              <w:t>×</w:t>
            </w:r>
            <w:r>
              <w:rPr>
                <w:rFonts w:ascii="宋体" w:hAnsi="宋体" w:cs="宋体"/>
                <w:color w:val="000000"/>
                <w:kern w:val="0"/>
                <w:sz w:val="18"/>
                <w:szCs w:val="18"/>
              </w:rPr>
              <w:t>1.5</w:t>
            </w:r>
            <w:r>
              <w:rPr>
                <w:rFonts w:hint="eastAsia" w:ascii="宋体" w:hAnsi="宋体" w:cs="宋体"/>
                <w:color w:val="000000"/>
                <w:kern w:val="0"/>
                <w:sz w:val="18"/>
                <w:szCs w:val="18"/>
              </w:rPr>
              <w:t>树池</w:t>
            </w:r>
          </w:p>
        </w:tc>
        <w:tc>
          <w:tcPr>
            <w:tcW w:w="652" w:type="pct"/>
            <w:tcBorders>
              <w:top w:val="nil"/>
              <w:left w:val="nil"/>
              <w:bottom w:val="nil"/>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222</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kern w:val="0"/>
                <w:sz w:val="18"/>
                <w:szCs w:val="18"/>
              </w:rPr>
              <w:t>座</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12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花岗岩树池</w:t>
            </w:r>
          </w:p>
        </w:tc>
        <w:tc>
          <w:tcPr>
            <w:tcW w:w="2171" w:type="pct"/>
            <w:tcBorders>
              <w:top w:val="nil"/>
              <w:left w:val="nil"/>
              <w:bottom w:val="single" w:color="auto" w:sz="4" w:space="0"/>
              <w:right w:val="single" w:color="auto" w:sz="4" w:space="0"/>
            </w:tcBorders>
            <w:vAlign w:val="center"/>
          </w:tcPr>
          <w:p>
            <w:pPr>
              <w:widowControl/>
              <w:jc w:val="left"/>
              <w:rPr>
                <w:rFonts w:ascii="宋体" w:cs="宋体"/>
                <w:color w:val="000000"/>
                <w:kern w:val="0"/>
                <w:sz w:val="18"/>
                <w:szCs w:val="18"/>
              </w:rPr>
            </w:pPr>
            <w:r>
              <w:rPr>
                <w:rFonts w:ascii="宋体" w:hAnsi="宋体" w:cs="宋体"/>
                <w:color w:val="000000"/>
                <w:kern w:val="0"/>
                <w:sz w:val="18"/>
                <w:szCs w:val="18"/>
              </w:rPr>
              <w:t>1.5</w:t>
            </w:r>
            <w:r>
              <w:rPr>
                <w:rFonts w:hint="eastAsia" w:ascii="宋体" w:hAnsi="宋体" w:cs="宋体"/>
                <w:color w:val="000000"/>
                <w:kern w:val="0"/>
                <w:sz w:val="18"/>
                <w:szCs w:val="18"/>
              </w:rPr>
              <w:t>×</w:t>
            </w:r>
            <w:r>
              <w:rPr>
                <w:rFonts w:ascii="宋体" w:hAnsi="宋体" w:cs="宋体"/>
                <w:color w:val="000000"/>
                <w:kern w:val="0"/>
                <w:sz w:val="18"/>
                <w:szCs w:val="18"/>
              </w:rPr>
              <w:t>1.5</w:t>
            </w:r>
            <w:r>
              <w:rPr>
                <w:rFonts w:hint="eastAsia" w:ascii="宋体" w:hAnsi="宋体" w:cs="宋体"/>
                <w:color w:val="000000"/>
                <w:kern w:val="0"/>
                <w:sz w:val="18"/>
                <w:szCs w:val="18"/>
              </w:rPr>
              <w:t>树池</w:t>
            </w:r>
          </w:p>
        </w:tc>
        <w:tc>
          <w:tcPr>
            <w:tcW w:w="652" w:type="pct"/>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417</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kern w:val="0"/>
                <w:sz w:val="18"/>
                <w:szCs w:val="18"/>
              </w:rPr>
              <w:t>座</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13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抗车辙沥青混凝土路面增加费用</w:t>
            </w:r>
            <w:r>
              <w:rPr>
                <w:rFonts w:ascii="宋体" w:hAnsi="宋体" w:cs="宋体"/>
                <w:kern w:val="0"/>
                <w:sz w:val="18"/>
                <w:szCs w:val="18"/>
              </w:rPr>
              <w:t xml:space="preserve"> </w:t>
            </w:r>
          </w:p>
        </w:tc>
        <w:tc>
          <w:tcPr>
            <w:tcW w:w="2171" w:type="pct"/>
            <w:tcBorders>
              <w:top w:val="nil"/>
              <w:left w:val="nil"/>
              <w:bottom w:val="single" w:color="auto" w:sz="4" w:space="0"/>
              <w:right w:val="single" w:color="auto" w:sz="4" w:space="0"/>
            </w:tcBorders>
            <w:noWrap/>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652" w:type="pct"/>
            <w:tcBorders>
              <w:top w:val="nil"/>
              <w:left w:val="nil"/>
              <w:bottom w:val="single" w:color="auto" w:sz="4" w:space="0"/>
              <w:right w:val="single" w:color="auto" w:sz="4" w:space="0"/>
            </w:tcBorders>
            <w:vAlign w:val="center"/>
          </w:tcPr>
          <w:p>
            <w:pPr>
              <w:jc w:val="center"/>
              <w:rPr>
                <w:rFonts w:ascii="仿宋_GB2312" w:hAnsi="宋体"/>
                <w:sz w:val="18"/>
                <w:szCs w:val="18"/>
              </w:rPr>
            </w:pPr>
            <w:r>
              <w:rPr>
                <w:rFonts w:ascii="宋体" w:hAnsi="宋体" w:cs="宋体"/>
                <w:kern w:val="0"/>
                <w:sz w:val="18"/>
                <w:szCs w:val="18"/>
              </w:rPr>
              <w:t>15</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14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改性沥青混凝土路面增加费用</w:t>
            </w:r>
          </w:p>
        </w:tc>
        <w:tc>
          <w:tcPr>
            <w:tcW w:w="2171" w:type="pct"/>
            <w:tcBorders>
              <w:top w:val="nil"/>
              <w:left w:val="nil"/>
              <w:bottom w:val="single" w:color="auto" w:sz="4" w:space="0"/>
              <w:right w:val="single" w:color="auto" w:sz="4" w:space="0"/>
            </w:tcBorders>
            <w:noWrap/>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652" w:type="pct"/>
            <w:tcBorders>
              <w:top w:val="nil"/>
              <w:left w:val="nil"/>
              <w:bottom w:val="single" w:color="auto" w:sz="4" w:space="0"/>
              <w:right w:val="single" w:color="auto" w:sz="4" w:space="0"/>
            </w:tcBorders>
            <w:vAlign w:val="center"/>
          </w:tcPr>
          <w:p>
            <w:pPr>
              <w:jc w:val="center"/>
              <w:rPr>
                <w:rFonts w:ascii="仿宋_GB2312" w:hAnsi="宋体"/>
                <w:sz w:val="18"/>
                <w:szCs w:val="18"/>
              </w:rPr>
            </w:pPr>
            <w:r>
              <w:rPr>
                <w:rFonts w:ascii="宋体" w:hAnsi="宋体" w:cs="宋体"/>
                <w:kern w:val="0"/>
                <w:sz w:val="18"/>
                <w:szCs w:val="18"/>
              </w:rPr>
              <w:t>48</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18"/>
                <w:szCs w:val="18"/>
              </w:rPr>
            </w:pPr>
            <w:r>
              <w:rPr>
                <w:rFonts w:ascii="宋体" w:hAnsi="宋体" w:cs="宋体"/>
                <w:kern w:val="0"/>
                <w:sz w:val="18"/>
                <w:szCs w:val="18"/>
              </w:rPr>
              <w:t xml:space="preserve">15 </w:t>
            </w:r>
          </w:p>
        </w:tc>
        <w:tc>
          <w:tcPr>
            <w:tcW w:w="1737" w:type="pct"/>
            <w:tcBorders>
              <w:top w:val="nil"/>
              <w:left w:val="nil"/>
              <w:bottom w:val="single" w:color="auto" w:sz="4" w:space="0"/>
              <w:right w:val="single" w:color="auto" w:sz="4" w:space="0"/>
            </w:tcBorders>
            <w:vAlign w:val="center"/>
          </w:tcPr>
          <w:p>
            <w:pPr>
              <w:widowControl/>
              <w:jc w:val="left"/>
              <w:rPr>
                <w:rFonts w:ascii="宋体" w:cs="宋体"/>
                <w:kern w:val="0"/>
                <w:sz w:val="18"/>
                <w:szCs w:val="18"/>
              </w:rPr>
            </w:pPr>
            <w:r>
              <w:rPr>
                <w:rFonts w:hint="eastAsia" w:ascii="宋体" w:hAnsi="宋体" w:cs="宋体"/>
                <w:kern w:val="0"/>
                <w:sz w:val="18"/>
                <w:szCs w:val="18"/>
              </w:rPr>
              <w:t>沥青路面铣刨加铺（</w:t>
            </w:r>
            <w:r>
              <w:rPr>
                <w:rFonts w:ascii="宋体" w:hAnsi="宋体" w:cs="宋体"/>
                <w:kern w:val="0"/>
                <w:sz w:val="18"/>
                <w:szCs w:val="18"/>
              </w:rPr>
              <w:t>5cm)</w:t>
            </w:r>
          </w:p>
        </w:tc>
        <w:tc>
          <w:tcPr>
            <w:tcW w:w="2171" w:type="pct"/>
            <w:tcBorders>
              <w:top w:val="nil"/>
              <w:left w:val="nil"/>
              <w:bottom w:val="single" w:color="auto" w:sz="4" w:space="0"/>
              <w:right w:val="single" w:color="auto" w:sz="4" w:space="0"/>
            </w:tcBorders>
            <w:noWrap/>
            <w:vAlign w:val="center"/>
          </w:tcPr>
          <w:p>
            <w:pPr>
              <w:widowControl/>
              <w:jc w:val="left"/>
              <w:rPr>
                <w:rFonts w:ascii="宋体" w:cs="宋体"/>
                <w:kern w:val="0"/>
                <w:sz w:val="18"/>
                <w:szCs w:val="18"/>
              </w:rPr>
            </w:pPr>
            <w:r>
              <w:rPr>
                <w:rFonts w:hint="eastAsia" w:ascii="宋体" w:hAnsi="宋体" w:cs="宋体"/>
                <w:kern w:val="0"/>
                <w:sz w:val="18"/>
                <w:szCs w:val="18"/>
              </w:rPr>
              <w:t>　</w:t>
            </w:r>
          </w:p>
        </w:tc>
        <w:tc>
          <w:tcPr>
            <w:tcW w:w="652" w:type="pct"/>
            <w:tcBorders>
              <w:top w:val="nil"/>
              <w:left w:val="nil"/>
              <w:bottom w:val="single" w:color="auto" w:sz="4" w:space="0"/>
              <w:right w:val="single" w:color="auto" w:sz="4" w:space="0"/>
            </w:tcBorders>
            <w:vAlign w:val="center"/>
          </w:tcPr>
          <w:p>
            <w:pPr>
              <w:jc w:val="center"/>
              <w:rPr>
                <w:rFonts w:ascii="仿宋_GB2312" w:hAnsi="宋体"/>
                <w:sz w:val="18"/>
                <w:szCs w:val="18"/>
              </w:rPr>
            </w:pPr>
            <w:r>
              <w:rPr>
                <w:rFonts w:ascii="宋体" w:hAnsi="宋体" w:cs="宋体"/>
                <w:kern w:val="0"/>
                <w:sz w:val="18"/>
                <w:szCs w:val="18"/>
              </w:rPr>
              <w:t>137</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sz w:val="18"/>
                <w:szCs w:val="18"/>
              </w:rPr>
              <w:t>㎡</w:t>
            </w:r>
          </w:p>
        </w:tc>
      </w:tr>
      <w:tr>
        <w:tblPrEx>
          <w:tblCellMar>
            <w:top w:w="0" w:type="dxa"/>
            <w:left w:w="108" w:type="dxa"/>
            <w:bottom w:w="0" w:type="dxa"/>
            <w:right w:w="108" w:type="dxa"/>
          </w:tblCellMar>
        </w:tblPrEx>
        <w:trPr>
          <w:trHeight w:val="480" w:hRule="atLeast"/>
        </w:trPr>
        <w:tc>
          <w:tcPr>
            <w:tcW w:w="5000" w:type="pct"/>
            <w:gridSpan w:val="4"/>
            <w:tcBorders>
              <w:top w:val="single" w:color="auto" w:sz="4" w:space="0"/>
              <w:left w:val="nil"/>
              <w:bottom w:val="nil"/>
              <w:right w:val="nil"/>
            </w:tcBorders>
            <w:vAlign w:val="center"/>
          </w:tcPr>
          <w:p>
            <w:pPr>
              <w:widowControl/>
              <w:jc w:val="left"/>
              <w:rPr>
                <w:rFonts w:ascii="仿宋_GB2312" w:hAnsi="宋体" w:cs="宋体"/>
                <w:kern w:val="0"/>
                <w:sz w:val="24"/>
              </w:rPr>
            </w:pPr>
            <w:r>
              <w:rPr>
                <w:rFonts w:hint="eastAsia" w:ascii="仿宋_GB2312" w:hAnsi="宋体" w:cs="宋体"/>
                <w:kern w:val="0"/>
                <w:sz w:val="24"/>
              </w:rPr>
              <w:t>说明：单项工程小于</w:t>
            </w:r>
            <w:r>
              <w:rPr>
                <w:rFonts w:ascii="仿宋_GB2312" w:hAnsi="宋体" w:cs="宋体"/>
                <w:kern w:val="0"/>
                <w:sz w:val="24"/>
              </w:rPr>
              <w:t>15</w:t>
            </w:r>
            <w:r>
              <w:rPr>
                <w:rFonts w:hint="eastAsia" w:ascii="仿宋_GB2312" w:hAnsi="宋体" w:cs="宋体"/>
                <w:kern w:val="0"/>
                <w:sz w:val="24"/>
              </w:rPr>
              <w:t>平方米的按</w:t>
            </w:r>
            <w:r>
              <w:rPr>
                <w:rFonts w:ascii="仿宋_GB2312" w:hAnsi="宋体" w:cs="宋体"/>
                <w:kern w:val="0"/>
                <w:sz w:val="24"/>
              </w:rPr>
              <w:t>15</w:t>
            </w:r>
            <w:r>
              <w:rPr>
                <w:rFonts w:hint="eastAsia" w:ascii="仿宋_GB2312" w:hAnsi="宋体" w:cs="宋体"/>
                <w:kern w:val="0"/>
                <w:sz w:val="24"/>
              </w:rPr>
              <w:t>平方米收费。</w:t>
            </w:r>
          </w:p>
        </w:tc>
      </w:tr>
    </w:tbl>
    <w:p>
      <w:pPr>
        <w:spacing w:line="480" w:lineRule="auto"/>
        <w:ind w:firstLine="640" w:firstLineChars="200"/>
        <w:rPr>
          <w:rFonts w:ascii="仿宋_GB2312" w:eastAsia="仿宋_GB2312"/>
          <w:sz w:val="32"/>
          <w:szCs w:val="32"/>
        </w:rPr>
      </w:pPr>
      <w:r>
        <w:rPr>
          <w:rFonts w:hint="eastAsia" w:ascii="仿宋_GB2312" w:eastAsia="仿宋_GB2312"/>
          <w:sz w:val="32"/>
          <w:szCs w:val="32"/>
        </w:rPr>
        <w:t>收入预计：8500万元。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截至2022年底，北京市交通委员会本级共有车辆48台，共计</w:t>
      </w:r>
      <w:r>
        <w:rPr>
          <w:rFonts w:ascii="仿宋_GB2312" w:eastAsia="仿宋_GB2312"/>
          <w:color w:val="000000"/>
          <w:sz w:val="32"/>
          <w:szCs w:val="32"/>
        </w:rPr>
        <w:t>1445.31</w:t>
      </w:r>
      <w:r>
        <w:rPr>
          <w:rFonts w:hint="eastAsia" w:ascii="仿宋_GB2312" w:eastAsia="仿宋_GB2312"/>
          <w:color w:val="000000"/>
          <w:sz w:val="32"/>
          <w:szCs w:val="32"/>
        </w:rPr>
        <w:t>万元；单位价值50万元以上的通用设备10台（套），共计</w:t>
      </w:r>
      <w:r>
        <w:rPr>
          <w:rFonts w:ascii="仿宋_GB2312" w:eastAsia="仿宋_GB2312"/>
          <w:color w:val="000000"/>
          <w:sz w:val="32"/>
          <w:szCs w:val="32"/>
        </w:rPr>
        <w:t>763.14</w:t>
      </w:r>
      <w:r>
        <w:rPr>
          <w:rFonts w:hint="eastAsia" w:ascii="仿宋_GB2312" w:eastAsia="仿宋_GB2312"/>
          <w:color w:val="000000"/>
          <w:sz w:val="32"/>
          <w:szCs w:val="32"/>
        </w:rPr>
        <w:t>万元，单位价值100万元以上的专用设备1台（套）、共计</w:t>
      </w:r>
      <w:r>
        <w:rPr>
          <w:rFonts w:ascii="仿宋_GB2312" w:eastAsia="仿宋_GB2312"/>
          <w:color w:val="000000"/>
          <w:sz w:val="32"/>
          <w:szCs w:val="32"/>
        </w:rPr>
        <w:t>496.77</w:t>
      </w:r>
      <w:r>
        <w:rPr>
          <w:rFonts w:hint="eastAsia" w:ascii="仿宋_GB2312" w:eastAsia="仿宋_GB2312"/>
          <w:color w:val="000000"/>
          <w:sz w:val="32"/>
          <w:szCs w:val="32"/>
        </w:rPr>
        <w:t>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附件：北京市交通委员会本级2023年度单位预算报表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pPr>
        <w:rPr>
          <w:rFonts w:ascii="仿宋_GB2312" w:eastAsia="仿宋_GB2312"/>
          <w:sz w:val="32"/>
          <w:szCs w:val="32"/>
        </w:rPr>
      </w:pPr>
      <w:bookmarkStart w:id="0" w:name="chaosong"/>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Arial Unicode MS"/>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NGM3NDI2NGJmYmIwNjIzYTc3OWI5OGViNzAxY2IifQ=="/>
  </w:docVars>
  <w:rsids>
    <w:rsidRoot w:val="00C520A9"/>
    <w:rsid w:val="00030349"/>
    <w:rsid w:val="000758CB"/>
    <w:rsid w:val="000C750F"/>
    <w:rsid w:val="001203F0"/>
    <w:rsid w:val="0013473F"/>
    <w:rsid w:val="001437E4"/>
    <w:rsid w:val="0018750B"/>
    <w:rsid w:val="001A0033"/>
    <w:rsid w:val="001A7E1F"/>
    <w:rsid w:val="001C0BE6"/>
    <w:rsid w:val="00202EEB"/>
    <w:rsid w:val="00236E02"/>
    <w:rsid w:val="0025765D"/>
    <w:rsid w:val="00273F8E"/>
    <w:rsid w:val="00287F33"/>
    <w:rsid w:val="00291568"/>
    <w:rsid w:val="00315B6D"/>
    <w:rsid w:val="00343DD6"/>
    <w:rsid w:val="0035209E"/>
    <w:rsid w:val="00354599"/>
    <w:rsid w:val="003B7ED8"/>
    <w:rsid w:val="003E7011"/>
    <w:rsid w:val="00412B7B"/>
    <w:rsid w:val="00423D97"/>
    <w:rsid w:val="00457EB4"/>
    <w:rsid w:val="00466A7B"/>
    <w:rsid w:val="004B248F"/>
    <w:rsid w:val="004B3D49"/>
    <w:rsid w:val="004F517B"/>
    <w:rsid w:val="00503E1C"/>
    <w:rsid w:val="00516BE2"/>
    <w:rsid w:val="005230B4"/>
    <w:rsid w:val="00582550"/>
    <w:rsid w:val="005E5B86"/>
    <w:rsid w:val="005E5BBB"/>
    <w:rsid w:val="00602565"/>
    <w:rsid w:val="00610BB2"/>
    <w:rsid w:val="00625B80"/>
    <w:rsid w:val="00687BF1"/>
    <w:rsid w:val="006A7165"/>
    <w:rsid w:val="006D2784"/>
    <w:rsid w:val="006E3F02"/>
    <w:rsid w:val="00722C4B"/>
    <w:rsid w:val="007603D4"/>
    <w:rsid w:val="00765BC9"/>
    <w:rsid w:val="0076660B"/>
    <w:rsid w:val="007F4020"/>
    <w:rsid w:val="00801E84"/>
    <w:rsid w:val="00817026"/>
    <w:rsid w:val="00822DA3"/>
    <w:rsid w:val="008277D6"/>
    <w:rsid w:val="0086293E"/>
    <w:rsid w:val="009518B5"/>
    <w:rsid w:val="00957BD6"/>
    <w:rsid w:val="00980183"/>
    <w:rsid w:val="009913ED"/>
    <w:rsid w:val="009A7E07"/>
    <w:rsid w:val="009B1E6E"/>
    <w:rsid w:val="009F2F9A"/>
    <w:rsid w:val="009F2FE8"/>
    <w:rsid w:val="009F46C9"/>
    <w:rsid w:val="00A3463D"/>
    <w:rsid w:val="00A477EF"/>
    <w:rsid w:val="00A756BC"/>
    <w:rsid w:val="00A903F0"/>
    <w:rsid w:val="00AA4310"/>
    <w:rsid w:val="00AD63CD"/>
    <w:rsid w:val="00AF5F0E"/>
    <w:rsid w:val="00B32D31"/>
    <w:rsid w:val="00B341A2"/>
    <w:rsid w:val="00B37C23"/>
    <w:rsid w:val="00B55636"/>
    <w:rsid w:val="00B60855"/>
    <w:rsid w:val="00BD19C9"/>
    <w:rsid w:val="00BD1B99"/>
    <w:rsid w:val="00BD7295"/>
    <w:rsid w:val="00C35F32"/>
    <w:rsid w:val="00C520A9"/>
    <w:rsid w:val="00C53ADB"/>
    <w:rsid w:val="00C63ACB"/>
    <w:rsid w:val="00C63ED3"/>
    <w:rsid w:val="00C74A11"/>
    <w:rsid w:val="00C97106"/>
    <w:rsid w:val="00CB3B6F"/>
    <w:rsid w:val="00CC6964"/>
    <w:rsid w:val="00D12F54"/>
    <w:rsid w:val="00DA4732"/>
    <w:rsid w:val="00DF5EC3"/>
    <w:rsid w:val="00E25C75"/>
    <w:rsid w:val="00E446EC"/>
    <w:rsid w:val="00E6104D"/>
    <w:rsid w:val="00E860DF"/>
    <w:rsid w:val="00E909C1"/>
    <w:rsid w:val="00EA691E"/>
    <w:rsid w:val="00EF259C"/>
    <w:rsid w:val="00F12B66"/>
    <w:rsid w:val="00F153D6"/>
    <w:rsid w:val="00F339B5"/>
    <w:rsid w:val="00FC4A33"/>
    <w:rsid w:val="00FE4F69"/>
    <w:rsid w:val="0ACE074D"/>
    <w:rsid w:val="128C3415"/>
    <w:rsid w:val="28D31B39"/>
    <w:rsid w:val="3C8671BE"/>
    <w:rsid w:val="671D0E34"/>
    <w:rsid w:val="68A9530D"/>
    <w:rsid w:val="75192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0"/>
    <w:semiHidden/>
    <w:unhideWhenUsed/>
    <w:qFormat/>
    <w:uiPriority w:val="0"/>
    <w:pPr>
      <w:keepNext/>
      <w:keepLines/>
      <w:spacing w:before="260" w:after="260" w:line="415"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2"/>
    <w:semiHidden/>
    <w:qFormat/>
    <w:uiPriority w:val="0"/>
    <w:rPr>
      <w:rFonts w:asciiTheme="majorHAnsi" w:hAnsiTheme="majorHAnsi" w:eastAsiaTheme="majorEastAsia" w:cstheme="majorBidi"/>
      <w:b/>
      <w:bCs/>
      <w:sz w:val="32"/>
      <w:szCs w:val="32"/>
    </w:rPr>
  </w:style>
  <w:style w:type="character" w:customStyle="1" w:styleId="11">
    <w:name w:val="批注框文本 Char"/>
    <w:basedOn w:val="7"/>
    <w:link w:val="3"/>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39044;&#31639;&#20844;&#24320;\&#26032;&#24314;%20Microsoft%20Excel%20&#24037;&#20316;&#349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istrator\Desktop\&#39044;&#31639;&#20844;&#24320;\&#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200" b="0" i="0" u="none" strike="noStrike" kern="1200" baseline="0">
                <a:solidFill>
                  <a:schemeClr val="tx1"/>
                </a:solidFill>
                <a:latin typeface="+mn-lt"/>
                <a:ea typeface="+mn-ea"/>
                <a:cs typeface="+mn-cs"/>
              </a:defRPr>
            </a:pPr>
            <a:r>
              <a:rPr lang="zh-CN" altLang="en-US" sz="1600" b="0"/>
              <a:t>收入预算</a:t>
            </a:r>
            <a:endParaRPr lang="zh-CN" altLang="en-US" sz="1600" b="0"/>
          </a:p>
        </c:rich>
      </c:tx>
      <c:layout/>
      <c:overlay val="0"/>
    </c:title>
    <c:autoTitleDeleted val="0"/>
    <c:plotArea>
      <c:layout/>
      <c:pieChart>
        <c:varyColors val="1"/>
        <c:ser>
          <c:idx val="0"/>
          <c:order val="0"/>
          <c:tx>
            <c:strRef>
              <c:f>Sheet1!$C$31</c:f>
              <c:strCache>
                <c:ptCount val="1"/>
                <c:pt idx="0">
                  <c:v>收入预算</c:v>
                </c:pt>
              </c:strCache>
            </c:strRef>
          </c:tx>
          <c:explosion val="0"/>
          <c:dPt>
            <c:idx val="0"/>
            <c:bubble3D val="0"/>
          </c:dPt>
          <c:dPt>
            <c:idx val="1"/>
            <c:bubble3D val="0"/>
          </c:dPt>
          <c:dPt>
            <c:idx val="2"/>
            <c:bubble3D val="0"/>
          </c:dPt>
          <c:dLbls>
            <c:dLbl>
              <c:idx val="1"/>
              <c:layout>
                <c:manualLayout>
                  <c:x val="-0.0553057742782152"/>
                  <c:y val="0.012130358705161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747165354330709"/>
                  <c:y val="0.0094852726742490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Sheet1!$B$32:$B$34</c:f>
              <c:strCache>
                <c:ptCount val="3"/>
                <c:pt idx="0">
                  <c:v>一般公共预算拨款收入</c:v>
                </c:pt>
                <c:pt idx="1">
                  <c:v>其他收入</c:v>
                </c:pt>
                <c:pt idx="2">
                  <c:v>上年结转结余</c:v>
                </c:pt>
              </c:strCache>
            </c:strRef>
          </c:cat>
          <c:val>
            <c:numRef>
              <c:f>Sheet1!$C$32:$C$34</c:f>
              <c:numCache>
                <c:formatCode>General</c:formatCode>
                <c:ptCount val="3"/>
                <c:pt idx="0">
                  <c:v>891862.2</c:v>
                </c:pt>
                <c:pt idx="1">
                  <c:v>819.56</c:v>
                </c:pt>
                <c:pt idx="2">
                  <c:v>11157.66</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effectLst>
      <a:outerShdw blurRad="50800" dist="50800" dir="5400000" algn="ctr" rotWithShape="0">
        <a:schemeClr val="accent4">
          <a:lumMod val="60000"/>
          <a:lumOff val="40000"/>
        </a:schemeClr>
      </a:outerShdw>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0"/>
          <c:dPt>
            <c:idx val="0"/>
            <c:bubble3D val="0"/>
          </c:dPt>
          <c:dPt>
            <c:idx val="1"/>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Sheet1!$B$47:$B$48</c:f>
              <c:strCache>
                <c:ptCount val="2"/>
                <c:pt idx="0">
                  <c:v>基本支出</c:v>
                </c:pt>
                <c:pt idx="1">
                  <c:v>项目支出</c:v>
                </c:pt>
              </c:strCache>
            </c:strRef>
          </c:cat>
          <c:val>
            <c:numRef>
              <c:f>Sheet1!$C$47:$C$48</c:f>
              <c:numCache>
                <c:formatCode>General</c:formatCode>
                <c:ptCount val="2"/>
                <c:pt idx="0">
                  <c:v>18677.9</c:v>
                </c:pt>
                <c:pt idx="1">
                  <c:v>885161.52</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12</Pages>
  <Words>4219</Words>
  <Characters>4796</Characters>
  <Lines>35</Lines>
  <Paragraphs>10</Paragraphs>
  <TotalTime>0</TotalTime>
  <ScaleCrop>false</ScaleCrop>
  <LinksUpToDate>false</LinksUpToDate>
  <CharactersWithSpaces>4849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2023-02-16T01:34:00Z</dcterms:created>
  <dc:creator>华宁</dc:creator>
  <cp:lastModifiedBy>陈劲松</cp:lastModifiedBy>
  <dcterms:modified xsi:type="dcterms:W3CDTF">2023-03-08T01:48:32Z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2F4DFC09CDDA4FB59C4136BE4D270502</vt:lpwstr>
  </property>
</Properties>
</file>