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北京市交通运输职业资格事务中心</w:t>
      </w:r>
    </w:p>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480" w:lineRule="auto"/>
        <w:ind w:firstLine="640" w:firstLineChars="200"/>
        <w:jc w:val="center"/>
        <w:rPr>
          <w:rFonts w:ascii="方正小标宋简体" w:eastAsia="方正小标宋简体"/>
          <w:color w:val="000000"/>
          <w:sz w:val="32"/>
          <w:szCs w:val="32"/>
        </w:rPr>
      </w:pPr>
    </w:p>
    <w:p>
      <w:pPr>
        <w:spacing w:line="480" w:lineRule="auto"/>
        <w:ind w:firstLine="640" w:firstLineChars="200"/>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480" w:lineRule="auto"/>
        <w:ind w:firstLine="640" w:firstLineChars="200"/>
        <w:jc w:val="center"/>
        <w:rPr>
          <w:rFonts w:ascii="方正小标宋简体" w:eastAsia="方正小标宋简体"/>
          <w:color w:val="000000"/>
          <w:sz w:val="32"/>
          <w:szCs w:val="32"/>
        </w:rPr>
      </w:pPr>
    </w:p>
    <w:p>
      <w:pPr>
        <w:spacing w:line="480" w:lineRule="auto"/>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48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480" w:lineRule="auto"/>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二、收入总表    </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七、一般公共预算财政拨款支出表</w:t>
      </w:r>
    </w:p>
    <w:p>
      <w:pPr>
        <w:autoSpaceDE w:val="0"/>
        <w:autoSpaceDN w:val="0"/>
        <w:adjustRightInd w:val="0"/>
        <w:spacing w:line="480" w:lineRule="auto"/>
        <w:ind w:firstLine="576"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480" w:lineRule="auto"/>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480" w:lineRule="auto"/>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480" w:lineRule="auto"/>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480" w:lineRule="auto"/>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autoSpaceDE w:val="0"/>
        <w:autoSpaceDN w:val="0"/>
        <w:adjustRightInd w:val="0"/>
        <w:spacing w:line="480" w:lineRule="auto"/>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ind w:firstLine="555"/>
        <w:rPr>
          <w:rFonts w:hint="eastAsia" w:ascii="楷体" w:hAnsi="楷体" w:eastAsia="楷体"/>
          <w:sz w:val="32"/>
          <w:szCs w:val="32"/>
        </w:rPr>
      </w:pPr>
      <w:r>
        <w:rPr>
          <w:rFonts w:hint="eastAsia" w:ascii="楷体" w:hAnsi="楷体" w:eastAsia="楷体"/>
          <w:sz w:val="32"/>
          <w:szCs w:val="32"/>
        </w:rPr>
        <w:t>（一）本单位性质、职责等情况</w:t>
      </w:r>
    </w:p>
    <w:p>
      <w:pPr>
        <w:ind w:firstLine="555"/>
        <w:rPr>
          <w:rFonts w:hint="eastAsia" w:ascii="仿宋_GB2312" w:eastAsia="仿宋_GB2312"/>
          <w:sz w:val="32"/>
          <w:szCs w:val="32"/>
        </w:rPr>
      </w:pPr>
      <w:r>
        <w:rPr>
          <w:rFonts w:hint="eastAsia" w:ascii="仿宋_GB2312" w:eastAsia="仿宋_GB2312"/>
          <w:sz w:val="32"/>
          <w:szCs w:val="32"/>
        </w:rPr>
        <w:t>北京市交通运输职业资格事务中心是市交通委所属公益一类正处级事业单位。主要职责是：承担本市交通运输行业从业资格考试及本系统专业技术人才教育培训等方面事务性工作。具体包括：</w:t>
      </w:r>
    </w:p>
    <w:p>
      <w:pPr>
        <w:ind w:firstLine="555"/>
        <w:rPr>
          <w:rFonts w:hint="eastAsia" w:ascii="仿宋_GB2312" w:eastAsia="仿宋_GB2312"/>
          <w:sz w:val="32"/>
          <w:szCs w:val="32"/>
        </w:rPr>
      </w:pPr>
      <w:r>
        <w:rPr>
          <w:rFonts w:hint="eastAsia" w:ascii="仿宋_GB2312" w:eastAsia="仿宋_GB2312"/>
          <w:sz w:val="32"/>
          <w:szCs w:val="32"/>
        </w:rPr>
        <w:t>1.承担本市交通运输行业人才发展研究、人才库建设和人才评价及相关调研分析等工作。承担本市交通运输行业技师、高级技师考评推荐和考评专家库的建设和管理工作。承担本市交通运输行业职业技能鉴定考评员、督导员队伍建设和管理工作。承担本市交通运输行业职业技能竞赛活动的具体组织工作。</w:t>
      </w:r>
    </w:p>
    <w:p>
      <w:pPr>
        <w:ind w:firstLine="555"/>
        <w:rPr>
          <w:rFonts w:hint="eastAsia" w:ascii="仿宋_GB2312" w:eastAsia="仿宋_GB2312"/>
          <w:sz w:val="32"/>
          <w:szCs w:val="32"/>
        </w:rPr>
      </w:pPr>
      <w:r>
        <w:rPr>
          <w:rFonts w:hint="eastAsia" w:ascii="仿宋_GB2312" w:eastAsia="仿宋_GB2312"/>
          <w:sz w:val="32"/>
          <w:szCs w:val="32"/>
        </w:rPr>
        <w:t>2.负责本市交通运输行业从业人员资格考试的组织工作。承担本市出租汽车驾驶员、道路客运驾驶员、船员、道路危险货物运输从业人员等从业资格考试的组织工作。承担考试系统的日常维护、运行管理、数据统计分析及共享应用等工作。</w:t>
      </w:r>
    </w:p>
    <w:p>
      <w:pPr>
        <w:ind w:firstLine="555"/>
        <w:rPr>
          <w:rFonts w:hint="eastAsia" w:ascii="仿宋_GB2312" w:eastAsia="仿宋_GB2312"/>
          <w:sz w:val="32"/>
          <w:szCs w:val="32"/>
        </w:rPr>
      </w:pPr>
      <w:r>
        <w:rPr>
          <w:rFonts w:hint="eastAsia" w:ascii="仿宋_GB2312" w:eastAsia="仿宋_GB2312"/>
          <w:sz w:val="32"/>
          <w:szCs w:val="32"/>
        </w:rPr>
        <w:t>3.负责本市交通运输行业职业资格考核认定、注册管理、继续教育的具体实施和特有工种职业技能鉴定工作。承担本市公路水运工程试验检测专业技术人员职业资格考试的组织工作。承担本市交通运输工程造价工程师、交通运输工程监理工程师和注册安全工程师等交通运输行业职业资格注册（登记）及日常服务。承担本市机动车检测维修专业技术人员职业水平考试的具体组织工作。承担本市道路运输企业主要负责人、安全生产管理人员等安全考核。承担轨道列车司机等交通运输行业特有工种的职业技能鉴定的组织工作。</w:t>
      </w:r>
    </w:p>
    <w:p>
      <w:pPr>
        <w:ind w:firstLine="555"/>
        <w:rPr>
          <w:rFonts w:hint="eastAsia" w:ascii="仿宋_GB2312" w:eastAsia="仿宋_GB2312"/>
          <w:sz w:val="32"/>
          <w:szCs w:val="32"/>
        </w:rPr>
      </w:pPr>
      <w:r>
        <w:rPr>
          <w:rFonts w:hint="eastAsia" w:ascii="仿宋_GB2312" w:eastAsia="仿宋_GB2312"/>
          <w:sz w:val="32"/>
          <w:szCs w:val="32"/>
        </w:rPr>
        <w:t>4.承担本市交通运输职业资格相关政务服务事项的具体事务性工作。</w:t>
      </w:r>
    </w:p>
    <w:p>
      <w:pPr>
        <w:ind w:firstLine="555"/>
        <w:rPr>
          <w:rFonts w:hint="eastAsia" w:ascii="仿宋_GB2312" w:eastAsia="仿宋_GB2312"/>
          <w:sz w:val="32"/>
          <w:szCs w:val="32"/>
        </w:rPr>
      </w:pPr>
      <w:r>
        <w:rPr>
          <w:rFonts w:hint="eastAsia" w:ascii="仿宋_GB2312" w:eastAsia="仿宋_GB2312"/>
          <w:sz w:val="32"/>
          <w:szCs w:val="32"/>
        </w:rPr>
        <w:t>5.承担本市交通运输行业法律、法规规定或政府有关部门委托组织的强制性培训和交通运输行业从业人员继续教育工作。承担市交通委系统干部教育培训和交通运输行业专业技术人员继续教育工作。</w:t>
      </w:r>
    </w:p>
    <w:p>
      <w:pPr>
        <w:ind w:firstLine="555"/>
        <w:rPr>
          <w:rFonts w:hint="eastAsia" w:ascii="仿宋_GB2312" w:eastAsia="仿宋_GB2312"/>
          <w:sz w:val="32"/>
          <w:szCs w:val="32"/>
        </w:rPr>
      </w:pPr>
      <w:r>
        <w:rPr>
          <w:rFonts w:hint="eastAsia" w:ascii="仿宋_GB2312" w:eastAsia="仿宋_GB2312"/>
          <w:sz w:val="32"/>
          <w:szCs w:val="32"/>
        </w:rPr>
        <w:t>6.完成市交通委交办的其他任务。</w:t>
      </w:r>
    </w:p>
    <w:p>
      <w:pPr>
        <w:ind w:firstLine="555"/>
        <w:rPr>
          <w:rFonts w:hint="eastAsia" w:ascii="楷体" w:hAnsi="楷体" w:eastAsia="楷体"/>
          <w:sz w:val="32"/>
          <w:szCs w:val="32"/>
        </w:rPr>
      </w:pPr>
      <w:r>
        <w:rPr>
          <w:rFonts w:hint="eastAsia" w:ascii="楷体" w:hAnsi="楷体" w:eastAsia="楷体"/>
          <w:sz w:val="32"/>
          <w:szCs w:val="32"/>
        </w:rPr>
        <w:t>（二）机构设置情况</w:t>
      </w:r>
    </w:p>
    <w:p>
      <w:pPr>
        <w:ind w:firstLine="555"/>
        <w:rPr>
          <w:rFonts w:ascii="仿宋_GB2312" w:eastAsia="仿宋_GB2312"/>
          <w:sz w:val="32"/>
          <w:szCs w:val="32"/>
        </w:rPr>
      </w:pPr>
      <w:r>
        <w:rPr>
          <w:rFonts w:hint="eastAsia" w:ascii="仿宋_GB2312" w:eastAsia="仿宋_GB2312"/>
          <w:sz w:val="32"/>
          <w:szCs w:val="32"/>
        </w:rPr>
        <w:t>北京市交通运输职业资格事务中心内设11个科室，分别为办公室、技术信息科、考务科、考试一科、考试二科、综合科、公路职业资格科、运输职业资格科、教育培训科、财务科和政工人事科。</w:t>
      </w:r>
    </w:p>
    <w:p>
      <w:pPr>
        <w:ind w:firstLine="555"/>
        <w:rPr>
          <w:rFonts w:ascii="楷体" w:hAnsi="楷体" w:eastAsia="楷体"/>
          <w:sz w:val="32"/>
          <w:szCs w:val="32"/>
        </w:rPr>
      </w:pPr>
      <w:r>
        <w:rPr>
          <w:rFonts w:hint="eastAsia" w:ascii="楷体" w:hAnsi="楷体" w:eastAsia="楷体"/>
          <w:sz w:val="32"/>
          <w:szCs w:val="32"/>
        </w:rPr>
        <w:t>（三）人员构成情况</w:t>
      </w:r>
    </w:p>
    <w:p>
      <w:pPr>
        <w:ind w:firstLine="640" w:firstLineChars="200"/>
        <w:rPr>
          <w:rFonts w:ascii="仿宋_GB2312" w:eastAsia="仿宋_GB2312"/>
          <w:sz w:val="32"/>
          <w:szCs w:val="32"/>
        </w:rPr>
      </w:pPr>
      <w:r>
        <w:rPr>
          <w:rFonts w:hint="eastAsia" w:ascii="仿宋_GB2312" w:eastAsia="仿宋_GB2312"/>
          <w:sz w:val="32"/>
          <w:szCs w:val="32"/>
        </w:rPr>
        <w:t>北京市交通运输职业资格事务中心行政编制0人，实际0人；事业编制55人，实际50人；离退休人员28人，其中：离休0人，退休28人。</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2023年度收入预算3049.65万元，比2022年年初预算数3134.85万元减少85.2万元，下降2.72%。主要原因是贯彻落实市委市政府过“紧日子”的工作要求，进一步压减非刚性支出。</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（一）本年财政拨款收入2874.56万元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1.一般公共预算拨款收入2874.56万元。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2.政府性基金预算拨款收入0万元。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3.国有资本经营预算拨款收入0万元。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（二）本年其他资金收入0万元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4.财政专户管理资金收入0万元。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5.事业收入0万元。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6.上级补助收入0万元。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7.附属单位上缴收入0万元。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8.事业单位经营收入0万元。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9.其他收入0万元。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（三）上年结转结余175.09万元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10.上年结转结余175.09万元。</w:t>
      </w:r>
    </w:p>
    <w:p>
      <w:pPr>
        <w:spacing w:line="480" w:lineRule="auto"/>
        <w:ind w:firstLine="640" w:firstLineChars="200"/>
        <w:rPr>
          <w:rFonts w:ascii="黑体" w:eastAsia="黑体"/>
          <w:sz w:val="32"/>
          <w:szCs w:val="32"/>
        </w:rPr>
      </w:pPr>
    </w:p>
    <w:p>
      <w:pPr>
        <w:keepNext/>
        <w:keepLines/>
        <w:spacing w:before="260" w:after="260" w:line="480" w:lineRule="auto"/>
        <w:ind w:firstLine="640" w:firstLineChars="200"/>
        <w:jc w:val="center"/>
        <w:outlineLvl w:val="1"/>
        <w:rPr>
          <w:rFonts w:ascii="仿宋_GB2312" w:eastAsia="仿宋_GB2312" w:hAnsiTheme="majorHAnsi" w:cstheme="majorBidi"/>
          <w:sz w:val="32"/>
          <w:szCs w:val="32"/>
        </w:rPr>
      </w:pPr>
      <w:r>
        <w:rPr>
          <w:rFonts w:ascii="仿宋_GB2312" w:eastAsia="仿宋_GB2312"/>
          <w:sz w:val="32"/>
          <w:szCs w:val="32"/>
        </w:rPr>
        <w:drawing>
          <wp:anchor distT="0" distB="0" distL="114300" distR="114300" simplePos="0" relativeHeight="251659264" behindDoc="0" locked="0" layoutInCell="1" allowOverlap="1">
            <wp:simplePos x="0" y="0"/>
            <wp:positionH relativeFrom="column">
              <wp:posOffset>0</wp:posOffset>
            </wp:positionH>
            <wp:positionV relativeFrom="paragraph">
              <wp:posOffset>807720</wp:posOffset>
            </wp:positionV>
            <wp:extent cx="5274310" cy="3076575"/>
            <wp:effectExtent l="0" t="0" r="0" b="0"/>
            <wp:wrapSquare wrapText="bothSides"/>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hint="eastAsia" w:ascii="仿宋_GB2312" w:eastAsia="仿宋_GB2312" w:hAnsiTheme="majorHAnsi" w:cstheme="majorBidi"/>
          <w:b/>
          <w:bCs/>
          <w:sz w:val="32"/>
          <w:szCs w:val="32"/>
        </w:rPr>
        <w:t>图1：收入预算</w:t>
      </w:r>
    </w:p>
    <w:p>
      <w:pPr>
        <w:spacing w:line="480" w:lineRule="auto"/>
        <w:rPr>
          <w:rFonts w:ascii="黑体" w:eastAsia="黑体"/>
          <w:sz w:val="32"/>
          <w:szCs w:val="32"/>
        </w:rPr>
      </w:pPr>
    </w:p>
    <w:p>
      <w:pPr>
        <w:spacing w:line="480" w:lineRule="auto"/>
        <w:rPr>
          <w:rFonts w:ascii="黑体" w:eastAsia="黑体"/>
          <w:sz w:val="32"/>
          <w:szCs w:val="32"/>
        </w:rPr>
      </w:pPr>
      <w:r>
        <w:rPr>
          <w:rFonts w:hint="eastAsia" w:ascii="黑体" w:eastAsia="黑体"/>
          <w:sz w:val="32"/>
          <w:szCs w:val="32"/>
        </w:rPr>
        <w:t xml:space="preserve">    三、支出预算情况说明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2023年支出预算3049.65万元，比2022年年初预算数3134.85万元减少85.2万元，下降2.72%。主要原因是贯彻落实市委市政府过</w:t>
      </w:r>
      <w:bookmarkStart w:id="1" w:name="_GoBack"/>
      <w:r>
        <w:rPr>
          <w:rFonts w:hint="eastAsia" w:ascii="仿宋_GB2312" w:eastAsia="仿宋_GB2312"/>
          <w:sz w:val="32"/>
          <w:szCs w:val="32"/>
        </w:rPr>
        <w:t>“</w:t>
      </w:r>
      <w:bookmarkEnd w:id="1"/>
      <w:r>
        <w:rPr>
          <w:rFonts w:hint="eastAsia" w:ascii="仿宋_GB2312" w:eastAsia="仿宋_GB2312"/>
          <w:sz w:val="32"/>
          <w:szCs w:val="32"/>
        </w:rPr>
        <w:t>紧日子”的工作要求，进一步压减非刚性支出。</w:t>
      </w:r>
    </w:p>
    <w:p>
      <w:pPr>
        <w:spacing w:line="480" w:lineRule="auto"/>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基本支出预算2311.13万元，占总支出预算75.78%，比2022年年初预算数2010.93万元增加300.2万元，增长14.93%。</w:t>
      </w:r>
    </w:p>
    <w:p>
      <w:pPr>
        <w:spacing w:line="480" w:lineRule="auto"/>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项目支出预算738.52万元，占总支出预算24.22%，比2022年年初预算数1123.92万元减少385.4万元，下降34.29%。其中：</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1.事业单位经营支出0万元。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2.上缴上级支出0万元。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3.对附属单位补助支出0万元。</w:t>
      </w:r>
    </w:p>
    <w:p>
      <w:pPr>
        <w:pStyle w:val="2"/>
        <w:spacing w:line="480" w:lineRule="auto"/>
        <w:jc w:val="center"/>
        <w:rPr>
          <w:rFonts w:ascii="仿宋_GB2312" w:eastAsia="仿宋_GB2312"/>
          <w:sz w:val="32"/>
        </w:rPr>
      </w:pPr>
      <w:r>
        <w:rPr>
          <w:rFonts w:hint="eastAsia" w:ascii="仿宋_GB2312" w:eastAsia="仿宋_GB2312"/>
          <w:sz w:val="32"/>
        </w:rPr>
        <w:t>图2：基本支出和项目支出情况</w:t>
      </w:r>
    </w:p>
    <w:p>
      <w:pPr>
        <w:spacing w:line="480" w:lineRule="auto"/>
      </w:pPr>
      <w:r>
        <w:rPr>
          <w:rFonts w:ascii="仿宋_GB2312" w:eastAsia="仿宋_GB2312"/>
          <w:sz w:val="32"/>
        </w:rPr>
        <w:drawing>
          <wp:anchor distT="0" distB="0" distL="114300" distR="114300" simplePos="0" relativeHeight="251660288" behindDoc="0" locked="0" layoutInCell="1" allowOverlap="1">
            <wp:simplePos x="0" y="0"/>
            <wp:positionH relativeFrom="column">
              <wp:posOffset>53340</wp:posOffset>
            </wp:positionH>
            <wp:positionV relativeFrom="paragraph">
              <wp:posOffset>62865</wp:posOffset>
            </wp:positionV>
            <wp:extent cx="5274310" cy="3076575"/>
            <wp:effectExtent l="0" t="0" r="0" b="0"/>
            <wp:wrapSquare wrapText="bothSides"/>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spacing w:line="480" w:lineRule="auto"/>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480" w:lineRule="auto"/>
        <w:ind w:firstLine="640" w:firstLineChars="200"/>
        <w:rPr>
          <w:rFonts w:ascii="仿宋_GB2312" w:eastAsia="仿宋_GB2312"/>
          <w:sz w:val="32"/>
          <w:szCs w:val="32"/>
        </w:rPr>
      </w:pPr>
      <w:r>
        <w:rPr>
          <w:rFonts w:hint="eastAsia" w:ascii="仿宋_GB2312" w:eastAsia="仿宋_GB2312"/>
          <w:color w:val="000000"/>
          <w:sz w:val="32"/>
          <w:szCs w:val="32"/>
        </w:rPr>
        <w:t>北京市交通运输职业资格事务中心</w:t>
      </w:r>
      <w:r>
        <w:rPr>
          <w:rFonts w:hint="eastAsia" w:ascii="仿宋_GB2312" w:eastAsia="仿宋_GB2312"/>
          <w:sz w:val="32"/>
          <w:szCs w:val="32"/>
        </w:rPr>
        <w:t>。</w:t>
      </w:r>
    </w:p>
    <w:p>
      <w:pPr>
        <w:spacing w:line="480" w:lineRule="auto"/>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2023年财政拨款“三公”经费预算4万元，比2022年财政拨款“三公”经费预算减少1.09万元。其中：</w:t>
      </w:r>
    </w:p>
    <w:p>
      <w:pPr>
        <w:ind w:firstLine="555"/>
        <w:rPr>
          <w:rFonts w:ascii="仿宋_GB2312" w:eastAsia="仿宋_GB2312"/>
          <w:sz w:val="32"/>
          <w:szCs w:val="32"/>
        </w:rPr>
      </w:pPr>
      <w:r>
        <w:rPr>
          <w:rFonts w:hint="eastAsia" w:ascii="仿宋_GB2312" w:eastAsia="仿宋_GB2312"/>
          <w:sz w:val="32"/>
          <w:szCs w:val="32"/>
        </w:rPr>
        <w:t>1.因公出国（境）费用。本单位2023年无因公出国（境）费用预算</w:t>
      </w:r>
      <w:r>
        <w:rPr>
          <w:rFonts w:ascii="仿宋_GB2312" w:eastAsia="仿宋_GB2312"/>
          <w:sz w:val="32"/>
          <w:szCs w:val="32"/>
        </w:rPr>
        <w:t>安排。</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2.公务接待费。2023年预算数0万元，比2022年年初预算数0.49万元减少0.49万元，主要原因：我单位进一步压减各类公务接待费用。</w:t>
      </w:r>
    </w:p>
    <w:p>
      <w:pPr>
        <w:spacing w:line="480" w:lineRule="auto"/>
        <w:rPr>
          <w:rFonts w:ascii="仿宋_GB2312" w:eastAsia="仿宋_GB2312"/>
          <w:sz w:val="32"/>
          <w:szCs w:val="32"/>
        </w:rPr>
      </w:pPr>
      <w:r>
        <w:rPr>
          <w:rFonts w:hint="eastAsia" w:ascii="仿宋_GB2312" w:eastAsia="仿宋_GB2312"/>
          <w:sz w:val="32"/>
          <w:szCs w:val="32"/>
        </w:rPr>
        <w:t xml:space="preserve">    3.公务用车购置和运行维护费。2023年预算数4万元，其中，公务用车购置费2023年预算数0万元，与2022年</w:t>
      </w:r>
      <w:r>
        <w:rPr>
          <w:rFonts w:ascii="仿宋_GB2312" w:eastAsia="仿宋_GB2312"/>
          <w:sz w:val="32"/>
          <w:szCs w:val="32"/>
        </w:rPr>
        <w:t>保持一致</w:t>
      </w:r>
      <w:r>
        <w:rPr>
          <w:rFonts w:hint="eastAsia" w:ascii="仿宋_GB2312" w:eastAsia="仿宋_GB2312"/>
          <w:sz w:val="32"/>
          <w:szCs w:val="32"/>
        </w:rPr>
        <w:t>;公务用车运行维护费2023年预算数4万元，其中：公务用车燃油1.65万元，公务用车维修0.85万元，公务用车保险0.85万元，其他支出0.65万元。公务用车运行维护费2023年预算数比2022年年初预算数4.6万元减少0.6万元。主要原因：</w:t>
      </w:r>
      <w:r>
        <w:rPr>
          <w:rFonts w:ascii="仿宋_GB2312" w:eastAsia="仿宋_GB2312"/>
          <w:sz w:val="32"/>
          <w:szCs w:val="32"/>
        </w:rPr>
        <w:t>我单位结合</w:t>
      </w:r>
      <w:r>
        <w:rPr>
          <w:rFonts w:hint="eastAsia" w:ascii="仿宋_GB2312" w:eastAsia="仿宋_GB2312"/>
          <w:sz w:val="32"/>
          <w:szCs w:val="32"/>
        </w:rPr>
        <w:t>公务车</w:t>
      </w:r>
      <w:r>
        <w:rPr>
          <w:rFonts w:ascii="仿宋_GB2312" w:eastAsia="仿宋_GB2312"/>
          <w:sz w:val="32"/>
          <w:szCs w:val="32"/>
        </w:rPr>
        <w:t>使用情况进一步压</w:t>
      </w:r>
      <w:r>
        <w:rPr>
          <w:rFonts w:hint="eastAsia" w:ascii="仿宋_GB2312" w:eastAsia="仿宋_GB2312"/>
          <w:sz w:val="32"/>
          <w:szCs w:val="32"/>
        </w:rPr>
        <w:t>减</w:t>
      </w:r>
      <w:r>
        <w:rPr>
          <w:rFonts w:ascii="仿宋_GB2312" w:eastAsia="仿宋_GB2312"/>
          <w:sz w:val="32"/>
          <w:szCs w:val="32"/>
        </w:rPr>
        <w:t>公务用车运行维护费</w:t>
      </w:r>
      <w:r>
        <w:rPr>
          <w:rFonts w:hint="eastAsia" w:ascii="仿宋_GB2312" w:eastAsia="仿宋_GB2312"/>
          <w:sz w:val="32"/>
          <w:szCs w:val="32"/>
        </w:rPr>
        <w:t>。</w:t>
      </w:r>
    </w:p>
    <w:p>
      <w:pPr>
        <w:spacing w:line="480" w:lineRule="auto"/>
        <w:ind w:firstLine="640" w:firstLineChars="200"/>
        <w:rPr>
          <w:rFonts w:ascii="黑体" w:eastAsia="黑体"/>
          <w:sz w:val="32"/>
          <w:szCs w:val="32"/>
        </w:rPr>
      </w:pPr>
      <w:r>
        <w:rPr>
          <w:rFonts w:hint="eastAsia" w:ascii="黑体" w:eastAsia="黑体"/>
          <w:sz w:val="32"/>
          <w:szCs w:val="32"/>
        </w:rPr>
        <w:t>五、其他情况说明</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2023年北京市交通运输职业资格事务中心政府采购预算总额21.24万元，其中：政府采购货物预算1.47万元，政府采购工程预算0万元，政府采购服务预算19.77万元。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480" w:lineRule="auto"/>
        <w:rPr>
          <w:rFonts w:ascii="仿宋_GB2312" w:eastAsia="仿宋_GB2312"/>
          <w:sz w:val="32"/>
          <w:szCs w:val="32"/>
        </w:rPr>
      </w:pPr>
      <w:r>
        <w:rPr>
          <w:rFonts w:hint="eastAsia" w:ascii="仿宋_GB2312" w:eastAsia="仿宋_GB2312"/>
          <w:sz w:val="32"/>
          <w:szCs w:val="32"/>
        </w:rPr>
        <w:t xml:space="preserve">    我单位不在政府购买服务预算统计范围之内。</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我单位不在机关运行经费统计范围之内。</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2023年，北京市交通运输职业资格事务中心填报绩效目标的预算项目8个，占本单位本年预算项目8个的100%。填报绩效目标的项目支出预算738.52万元，占本单位本年项目支出预算的100%。</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480" w:lineRule="auto"/>
        <w:rPr>
          <w:rFonts w:ascii="仿宋_GB2312" w:eastAsia="仿宋_GB2312"/>
          <w:color w:val="000000"/>
          <w:sz w:val="32"/>
          <w:szCs w:val="32"/>
        </w:rPr>
      </w:pPr>
      <w:r>
        <w:rPr>
          <w:rFonts w:hint="eastAsia" w:ascii="仿宋_GB2312" w:eastAsia="仿宋_GB2312"/>
          <w:sz w:val="32"/>
          <w:szCs w:val="32"/>
        </w:rPr>
        <w:t xml:space="preserve">    </w:t>
      </w:r>
      <w:r>
        <w:rPr>
          <w:rFonts w:hint="eastAsia" w:ascii="仿宋_GB2312" w:eastAsia="仿宋_GB2312"/>
          <w:color w:val="000000"/>
          <w:sz w:val="32"/>
          <w:szCs w:val="32"/>
        </w:rPr>
        <w:t>本单位2023年无国有资本经营预算财政拨款安排的预算。</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截至2022年底，北京市交通运输职业资格事务中心共有车辆2台，共计19.34万元；单位价值50万元以上的通用设备0台（套），共计0万元，单位价值100万元以上的专用设备0台（套）、共计0万元。</w:t>
      </w:r>
    </w:p>
    <w:p>
      <w:pPr>
        <w:spacing w:line="480" w:lineRule="auto"/>
        <w:ind w:firstLine="640" w:firstLineChars="200"/>
        <w:rPr>
          <w:rFonts w:ascii="黑体" w:eastAsia="黑体"/>
          <w:color w:val="000000"/>
          <w:sz w:val="32"/>
          <w:szCs w:val="32"/>
        </w:rPr>
      </w:pPr>
    </w:p>
    <w:p>
      <w:pPr>
        <w:spacing w:line="480" w:lineRule="auto"/>
        <w:ind w:firstLine="640" w:firstLineChars="200"/>
        <w:rPr>
          <w:rFonts w:ascii="仿宋_GB2312" w:eastAsia="仿宋_GB2312"/>
          <w:color w:val="000000"/>
          <w:sz w:val="32"/>
          <w:szCs w:val="32"/>
        </w:rPr>
      </w:pPr>
      <w:r>
        <w:rPr>
          <w:rFonts w:hint="eastAsia" w:ascii="黑体" w:eastAsia="黑体"/>
          <w:color w:val="000000"/>
          <w:sz w:val="32"/>
          <w:szCs w:val="32"/>
        </w:rPr>
        <w:t>六、名词解释</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480" w:lineRule="auto"/>
        <w:ind w:firstLine="720" w:firstLineChars="200"/>
        <w:jc w:val="center"/>
        <w:rPr>
          <w:rFonts w:ascii="方正小标宋简体" w:eastAsia="方正小标宋简体"/>
          <w:color w:val="000000"/>
          <w:sz w:val="36"/>
          <w:szCs w:val="36"/>
        </w:rPr>
      </w:pP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480" w:lineRule="auto"/>
        <w:ind w:firstLine="720" w:firstLineChars="200"/>
        <w:jc w:val="left"/>
        <w:rPr>
          <w:rFonts w:ascii="方正小标宋简体" w:eastAsia="方正小标宋简体"/>
          <w:color w:val="000000"/>
          <w:sz w:val="36"/>
          <w:szCs w:val="36"/>
        </w:rPr>
      </w:pP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附件：北京市交通运输职业资格事务中心2023年度单位预算报表</w:t>
      </w:r>
      <w:r>
        <w:rPr>
          <w:rFonts w:hint="eastAsia" w:ascii="仿宋_GB2312" w:eastAsia="仿宋_GB2312" w:cs="宋体"/>
          <w:color w:val="000000"/>
          <w:kern w:val="0"/>
          <w:sz w:val="32"/>
          <w:szCs w:val="32"/>
          <w:lang w:val="zh-CN"/>
        </w:rPr>
        <w:t xml:space="preserve"> </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仿宋_GB2312" w:eastAsia="仿宋_GB2312"/>
          <w:sz w:val="32"/>
          <w:szCs w:val="32"/>
        </w:rPr>
      </w:pPr>
      <w:bookmarkStart w:id="0" w:name="chaosong"/>
      <w:bookmarkEnd w:id="0"/>
    </w:p>
    <w:p>
      <w:pPr>
        <w:spacing w:line="480" w:lineRule="auto"/>
        <w:ind w:firstLine="640" w:firstLineChars="200"/>
        <w:rPr>
          <w:rFonts w:ascii="仿宋_GB2312" w:eastAsia="仿宋_GB2312"/>
          <w:sz w:val="32"/>
          <w:szCs w:val="32"/>
        </w:rPr>
      </w:pP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316687"/>
      <w:docPartObj>
        <w:docPartGallery w:val="autotext"/>
      </w:docPartObj>
    </w:sdtPr>
    <w:sdtEndPr>
      <w:rPr>
        <w:rFonts w:hint="eastAsia" w:asciiTheme="minorEastAsia" w:hAnsiTheme="minorEastAsia" w:eastAsiaTheme="minorEastAsia"/>
        <w:sz w:val="28"/>
        <w:szCs w:val="28"/>
      </w:rPr>
    </w:sdtEndPr>
    <w:sdtContent>
      <w:p>
        <w:pPr>
          <w:pStyle w:val="3"/>
          <w:jc w:val="right"/>
          <w:rPr>
            <w:rFonts w:asciiTheme="minorEastAsia" w:hAnsiTheme="minorEastAsia" w:eastAsiaTheme="minorEastAsia"/>
            <w:sz w:val="28"/>
            <w:szCs w:val="28"/>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3 -</w:t>
        </w:r>
        <w:r>
          <w:rPr>
            <w:rFonts w:hint="eastAsia" w:asciiTheme="minorEastAsia" w:hAnsiTheme="minorEastAsia" w:eastAsiaTheme="minorEastAsia"/>
            <w:sz w:val="28"/>
            <w:szCs w:val="28"/>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eastAsiaTheme="minorEastAsia"/>
        <w:sz w:val="28"/>
        <w:szCs w:val="28"/>
      </w:rPr>
      <w:id w:val="26316688"/>
      <w:docPartObj>
        <w:docPartGallery w:val="autotext"/>
      </w:docPartObj>
    </w:sdtPr>
    <w:sdtEndPr>
      <w:rPr>
        <w:rFonts w:asciiTheme="minorEastAsia" w:hAnsiTheme="minorEastAsia" w:eastAsiaTheme="minorEastAsia"/>
        <w:sz w:val="28"/>
        <w:szCs w:val="28"/>
      </w:rPr>
    </w:sdtEndPr>
    <w:sdtContent>
      <w:p>
        <w:pPr>
          <w:pStyle w:val="3"/>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4 -</w:t>
        </w:r>
        <w:r>
          <w:rPr>
            <w:rFonts w:asciiTheme="minorEastAsia" w:hAnsiTheme="minorEastAsia" w:eastAsiaTheme="minorEastAsia"/>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Y3NGM3NDI2NGJmYmIwNjIzYTc3OWI5OGViNzAxY2IifQ=="/>
  </w:docVars>
  <w:rsids>
    <w:rsidRoot w:val="00117A53"/>
    <w:rsid w:val="0007322F"/>
    <w:rsid w:val="000F24D3"/>
    <w:rsid w:val="000F6D9A"/>
    <w:rsid w:val="00107964"/>
    <w:rsid w:val="00117A53"/>
    <w:rsid w:val="00126991"/>
    <w:rsid w:val="001B409F"/>
    <w:rsid w:val="00223A19"/>
    <w:rsid w:val="0027649F"/>
    <w:rsid w:val="003259EF"/>
    <w:rsid w:val="003379C0"/>
    <w:rsid w:val="00377BBB"/>
    <w:rsid w:val="004700CF"/>
    <w:rsid w:val="00472FF4"/>
    <w:rsid w:val="004A0DBF"/>
    <w:rsid w:val="004A69F2"/>
    <w:rsid w:val="005650FC"/>
    <w:rsid w:val="00581CEC"/>
    <w:rsid w:val="006920EA"/>
    <w:rsid w:val="007000C1"/>
    <w:rsid w:val="00777318"/>
    <w:rsid w:val="008F19E5"/>
    <w:rsid w:val="008F78ED"/>
    <w:rsid w:val="009E3AA5"/>
    <w:rsid w:val="00A137C1"/>
    <w:rsid w:val="00A43984"/>
    <w:rsid w:val="00A63DD6"/>
    <w:rsid w:val="00AC34BB"/>
    <w:rsid w:val="00B10F4E"/>
    <w:rsid w:val="00B35190"/>
    <w:rsid w:val="00B43CEB"/>
    <w:rsid w:val="00B4713F"/>
    <w:rsid w:val="00BA627C"/>
    <w:rsid w:val="00BB5CB2"/>
    <w:rsid w:val="00BE79D0"/>
    <w:rsid w:val="00C53B4A"/>
    <w:rsid w:val="00D05CC5"/>
    <w:rsid w:val="00DA72F2"/>
    <w:rsid w:val="00DB46BF"/>
    <w:rsid w:val="00E75CFE"/>
    <w:rsid w:val="00EB1246"/>
    <w:rsid w:val="00EF485E"/>
    <w:rsid w:val="00FA3D0D"/>
    <w:rsid w:val="00FB00B2"/>
    <w:rsid w:val="4610072C"/>
    <w:rsid w:val="63DC10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9"/>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0"/>
    <w:rPr>
      <w:rFonts w:ascii="Cambria" w:hAnsi="Cambria" w:eastAsia="黑体" w:cs="Times New Roman"/>
      <w:b/>
      <w:bCs/>
      <w:kern w:val="0"/>
      <w:sz w:val="36"/>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一般公共预算拨款收入</c:v>
                </c:pt>
                <c:pt idx="1">
                  <c:v>上年结转结余</c:v>
                </c:pt>
              </c:strCache>
            </c:strRef>
          </c:cat>
          <c:val>
            <c:numRef>
              <c:f>Sheet1!$B$2:$B$3</c:f>
              <c:numCache>
                <c:formatCode>0.00%</c:formatCode>
                <c:ptCount val="2"/>
                <c:pt idx="0">
                  <c:v>0.9426</c:v>
                </c:pt>
                <c:pt idx="1">
                  <c:v>0.0574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基本支出和项目支出情况</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0.7578</c:v>
                </c:pt>
                <c:pt idx="1">
                  <c:v>0.2422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2918</Words>
  <Characters>3195</Characters>
  <Lines>23</Lines>
  <Paragraphs>6</Paragraphs>
  <TotalTime>1</TotalTime>
  <ScaleCrop>false</ScaleCrop>
  <LinksUpToDate>false</LinksUpToDate>
  <CharactersWithSpaces>3225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2023-02-21T08:14:00Z</dcterms:created>
  <dc:creator>任邯丽</dc:creator>
  <cp:lastModifiedBy>陈劲松</cp:lastModifiedBy>
  <dcterms:modified xsi:type="dcterms:W3CDTF">2023-03-07T03:13:37Z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2CBD757407D446D3804C8943C95D1454</vt:lpwstr>
  </property>
</Properties>
</file>