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533DC" w:rsidRDefault="00000000">
      <w:pPr>
        <w:spacing w:line="480" w:lineRule="auto"/>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北京市交通综合治理事务中心</w:t>
      </w:r>
    </w:p>
    <w:p w:rsidR="008533DC" w:rsidRDefault="00000000">
      <w:pPr>
        <w:spacing w:line="480" w:lineRule="auto"/>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rsidR="008533DC" w:rsidRDefault="008533DC">
      <w:pPr>
        <w:spacing w:line="480" w:lineRule="auto"/>
        <w:ind w:firstLineChars="200" w:firstLine="640"/>
        <w:jc w:val="center"/>
        <w:rPr>
          <w:rFonts w:ascii="方正小标宋简体" w:eastAsia="方正小标宋简体"/>
          <w:color w:val="000000"/>
          <w:sz w:val="32"/>
          <w:szCs w:val="32"/>
        </w:rPr>
      </w:pPr>
    </w:p>
    <w:p w:rsidR="008533DC" w:rsidRDefault="00000000">
      <w:pPr>
        <w:spacing w:line="480" w:lineRule="auto"/>
        <w:ind w:firstLineChars="200" w:firstLine="640"/>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8533DC" w:rsidRDefault="008533DC">
      <w:pPr>
        <w:spacing w:line="480" w:lineRule="auto"/>
        <w:ind w:firstLineChars="200" w:firstLine="640"/>
        <w:jc w:val="center"/>
        <w:rPr>
          <w:rFonts w:ascii="方正小标宋简体" w:eastAsia="方正小标宋简体"/>
          <w:color w:val="000000"/>
          <w:sz w:val="32"/>
          <w:szCs w:val="32"/>
        </w:rPr>
      </w:pPr>
    </w:p>
    <w:p w:rsidR="008533DC" w:rsidRDefault="00000000">
      <w:pPr>
        <w:spacing w:line="480" w:lineRule="auto"/>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rsidR="008533DC" w:rsidRDefault="00000000">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一、单位情况说明</w:t>
      </w:r>
    </w:p>
    <w:p w:rsidR="008533DC" w:rsidRDefault="00000000">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8533DC" w:rsidRDefault="00000000">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8533DC" w:rsidRDefault="00000000">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8533DC" w:rsidRDefault="00000000">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8533DC" w:rsidRDefault="00000000">
      <w:pPr>
        <w:spacing w:line="48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8533DC" w:rsidRDefault="00000000">
      <w:pPr>
        <w:spacing w:line="480" w:lineRule="auto"/>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二、收入总表    </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rsidR="008533DC" w:rsidRDefault="00000000">
      <w:pPr>
        <w:autoSpaceDE w:val="0"/>
        <w:autoSpaceDN w:val="0"/>
        <w:adjustRightInd w:val="0"/>
        <w:spacing w:line="480" w:lineRule="auto"/>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lastRenderedPageBreak/>
        <w:t>十、国有资本经营预算财政拨款支出表</w:t>
      </w:r>
    </w:p>
    <w:p w:rsidR="008533DC" w:rsidRDefault="00000000">
      <w:pPr>
        <w:autoSpaceDE w:val="0"/>
        <w:autoSpaceDN w:val="0"/>
        <w:adjustRightInd w:val="0"/>
        <w:spacing w:line="480" w:lineRule="auto"/>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8533DC" w:rsidRDefault="00000000">
      <w:pPr>
        <w:autoSpaceDE w:val="0"/>
        <w:autoSpaceDN w:val="0"/>
        <w:adjustRightInd w:val="0"/>
        <w:spacing w:line="480" w:lineRule="auto"/>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8533DC" w:rsidRDefault="00000000">
      <w:pPr>
        <w:autoSpaceDE w:val="0"/>
        <w:autoSpaceDN w:val="0"/>
        <w:adjustRightInd w:val="0"/>
        <w:spacing w:line="480" w:lineRule="auto"/>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8533DC" w:rsidRDefault="00000000">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rsidR="008533DC" w:rsidRDefault="00000000">
      <w:pPr>
        <w:autoSpaceDE w:val="0"/>
        <w:autoSpaceDN w:val="0"/>
        <w:adjustRightInd w:val="0"/>
        <w:spacing w:line="480" w:lineRule="auto"/>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8533DC" w:rsidRDefault="008533DC">
      <w:pPr>
        <w:spacing w:line="480" w:lineRule="auto"/>
        <w:ind w:firstLineChars="200" w:firstLine="640"/>
        <w:rPr>
          <w:rFonts w:ascii="仿宋_GB2312" w:eastAsia="仿宋_GB2312"/>
          <w:color w:val="000000"/>
          <w:sz w:val="32"/>
          <w:szCs w:val="32"/>
        </w:rPr>
      </w:pPr>
    </w:p>
    <w:p w:rsidR="008533DC" w:rsidRDefault="00000000">
      <w:pPr>
        <w:spacing w:line="480" w:lineRule="auto"/>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8533DC" w:rsidRDefault="00000000">
      <w:pPr>
        <w:spacing w:line="480" w:lineRule="auto"/>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北京市交通综合治理事务中心</w:t>
      </w:r>
      <w:r>
        <w:rPr>
          <w:rFonts w:ascii="仿宋_GB2312" w:eastAsia="仿宋_GB2312" w:hAnsi="仿宋" w:cs="Times New Roman" w:hint="eastAsia"/>
          <w:sz w:val="32"/>
          <w:szCs w:val="32"/>
        </w:rPr>
        <w:t>为北京市交通委员会直属正处级公益一类事业单位，主要职责为：</w:t>
      </w:r>
      <w:r>
        <w:rPr>
          <w:rFonts w:ascii="仿宋_GB2312" w:eastAsia="仿宋_GB2312" w:hint="eastAsia"/>
          <w:sz w:val="32"/>
          <w:szCs w:val="32"/>
        </w:rPr>
        <w:t>承担本市交通综合治理、停车管理、互联网租赁自行车管理，以及交通运输领域社会动员、新闻宣传等方面事务性工作。</w:t>
      </w:r>
    </w:p>
    <w:p w:rsidR="008533DC" w:rsidRDefault="00000000">
      <w:pPr>
        <w:spacing w:line="480" w:lineRule="auto"/>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8533DC" w:rsidRDefault="00000000">
      <w:pPr>
        <w:spacing w:line="480" w:lineRule="auto"/>
        <w:ind w:firstLineChars="200" w:firstLine="640"/>
        <w:rPr>
          <w:rFonts w:ascii="仿宋_GB2312" w:eastAsia="仿宋_GB2312"/>
          <w:sz w:val="32"/>
          <w:szCs w:val="32"/>
        </w:rPr>
      </w:pPr>
      <w:r>
        <w:rPr>
          <w:rFonts w:ascii="仿宋_GB2312" w:eastAsia="仿宋_GB2312" w:hAnsi="仿宋" w:hint="eastAsia"/>
          <w:sz w:val="32"/>
        </w:rPr>
        <w:t>根据《中共北京市委机构编制委员会关于市交通委所属事业单位改革有关事项的批复》（京编委〔2021〕47号），北京市停车管理事务中心更名为北京市交通综合治理事务中心。中心内设机构7个，具体为：综合办公室、综合治理一部、综合治理二部、智慧停车部、新闻宣传部、新媒体部、文化宣传部。</w:t>
      </w:r>
    </w:p>
    <w:p w:rsidR="008533DC" w:rsidRDefault="00000000">
      <w:pPr>
        <w:spacing w:line="480" w:lineRule="auto"/>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北京市交通综合治理事务中心事业编制3</w:t>
      </w:r>
      <w:r>
        <w:rPr>
          <w:rFonts w:ascii="仿宋_GB2312" w:eastAsia="仿宋_GB2312"/>
          <w:color w:val="000000"/>
          <w:sz w:val="32"/>
          <w:szCs w:val="32"/>
        </w:rPr>
        <w:t>7</w:t>
      </w:r>
      <w:r>
        <w:rPr>
          <w:rFonts w:ascii="仿宋_GB2312" w:eastAsia="仿宋_GB2312" w:hint="eastAsia"/>
          <w:color w:val="000000"/>
          <w:sz w:val="32"/>
          <w:szCs w:val="32"/>
        </w:rPr>
        <w:t>人，实有人数3</w:t>
      </w:r>
      <w:r>
        <w:rPr>
          <w:rFonts w:ascii="仿宋_GB2312" w:eastAsia="仿宋_GB2312"/>
          <w:color w:val="000000"/>
          <w:sz w:val="32"/>
          <w:szCs w:val="32"/>
        </w:rPr>
        <w:t>6</w:t>
      </w:r>
      <w:r>
        <w:rPr>
          <w:rFonts w:ascii="仿宋_GB2312" w:eastAsia="仿宋_GB2312" w:hint="eastAsia"/>
          <w:color w:val="000000"/>
          <w:sz w:val="32"/>
          <w:szCs w:val="32"/>
        </w:rPr>
        <w:t>人。</w:t>
      </w:r>
    </w:p>
    <w:p w:rsidR="008533DC" w:rsidRDefault="00000000">
      <w:pPr>
        <w:spacing w:line="480" w:lineRule="auto"/>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rsidR="008533DC" w:rsidRPr="0054208B"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2,955.52</w:t>
      </w:r>
      <w:r>
        <w:rPr>
          <w:rFonts w:ascii="仿宋_GB2312" w:eastAsia="仿宋_GB2312" w:hint="eastAsia"/>
          <w:sz w:val="32"/>
          <w:szCs w:val="32"/>
        </w:rPr>
        <w:t>万元，比2022年年初预算数</w:t>
      </w:r>
      <w:r>
        <w:rPr>
          <w:rFonts w:ascii="仿宋_GB2312" w:eastAsia="仿宋_GB2312"/>
          <w:sz w:val="32"/>
          <w:szCs w:val="32"/>
        </w:rPr>
        <w:t>3,865.12</w:t>
      </w:r>
      <w:r>
        <w:rPr>
          <w:rFonts w:ascii="仿宋_GB2312" w:eastAsia="仿宋_GB2312" w:hint="eastAsia"/>
          <w:sz w:val="32"/>
          <w:szCs w:val="32"/>
        </w:rPr>
        <w:t>万元减少</w:t>
      </w:r>
      <w:r>
        <w:rPr>
          <w:rFonts w:ascii="仿宋_GB2312" w:eastAsia="仿宋_GB2312"/>
          <w:sz w:val="32"/>
          <w:szCs w:val="32"/>
        </w:rPr>
        <w:t>909.60</w:t>
      </w:r>
      <w:r>
        <w:rPr>
          <w:rFonts w:ascii="仿宋_GB2312" w:eastAsia="仿宋_GB2312" w:hint="eastAsia"/>
          <w:sz w:val="32"/>
          <w:szCs w:val="32"/>
        </w:rPr>
        <w:t>万元，下降</w:t>
      </w:r>
      <w:r>
        <w:rPr>
          <w:rFonts w:ascii="仿宋_GB2312" w:eastAsia="仿宋_GB2312"/>
          <w:sz w:val="32"/>
          <w:szCs w:val="32"/>
        </w:rPr>
        <w:t>23.53</w:t>
      </w:r>
      <w:r>
        <w:rPr>
          <w:rFonts w:ascii="仿宋_GB2312" w:eastAsia="仿宋_GB2312" w:hint="eastAsia"/>
          <w:sz w:val="32"/>
          <w:szCs w:val="32"/>
        </w:rPr>
        <w:t>%。</w:t>
      </w:r>
      <w:r w:rsidRPr="0054208B">
        <w:rPr>
          <w:rFonts w:ascii="仿宋_GB2312" w:eastAsia="仿宋_GB2312" w:hint="eastAsia"/>
          <w:sz w:val="32"/>
          <w:szCs w:val="32"/>
        </w:rPr>
        <w:t>主要原因是单位减少一次性项目。</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lastRenderedPageBreak/>
        <w:t>（一）本年财政拨款收入</w:t>
      </w:r>
      <w:r>
        <w:rPr>
          <w:rFonts w:ascii="楷体_GB2312" w:eastAsia="楷体_GB2312"/>
          <w:sz w:val="32"/>
          <w:szCs w:val="32"/>
        </w:rPr>
        <w:t>2,944.03</w:t>
      </w:r>
      <w:r>
        <w:rPr>
          <w:rFonts w:ascii="楷体_GB2312" w:eastAsia="楷体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2,944.03</w:t>
      </w:r>
      <w:r>
        <w:rPr>
          <w:rFonts w:ascii="仿宋_GB2312" w:eastAsia="仿宋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w:t>
      </w:r>
      <w:r>
        <w:rPr>
          <w:rFonts w:ascii="仿宋_GB2312" w:eastAsia="仿宋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w:t>
      </w:r>
      <w:r>
        <w:rPr>
          <w:rFonts w:ascii="仿宋_GB2312" w:eastAsia="仿宋_GB2312" w:hint="eastAsia"/>
          <w:sz w:val="32"/>
          <w:szCs w:val="32"/>
        </w:rPr>
        <w:t>万元。</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0.1</w:t>
      </w:r>
      <w:r>
        <w:rPr>
          <w:rFonts w:ascii="楷体_GB2312" w:eastAsia="楷体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0</w:t>
      </w:r>
      <w:r>
        <w:rPr>
          <w:rFonts w:ascii="仿宋_GB2312" w:eastAsia="仿宋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0</w:t>
      </w:r>
      <w:r>
        <w:rPr>
          <w:rFonts w:ascii="仿宋_GB2312" w:eastAsia="仿宋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w:t>
      </w:r>
      <w:r>
        <w:rPr>
          <w:rFonts w:ascii="仿宋_GB2312" w:eastAsia="仿宋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w:t>
      </w:r>
      <w:r>
        <w:rPr>
          <w:rFonts w:ascii="仿宋_GB2312" w:eastAsia="仿宋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0</w:t>
      </w:r>
      <w:r>
        <w:rPr>
          <w:rFonts w:ascii="仿宋_GB2312" w:eastAsia="仿宋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0.1</w:t>
      </w:r>
      <w:r>
        <w:rPr>
          <w:rFonts w:ascii="仿宋_GB2312" w:eastAsia="仿宋_GB2312" w:hint="eastAsia"/>
          <w:sz w:val="32"/>
          <w:szCs w:val="32"/>
        </w:rPr>
        <w:t>万元。</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11.40</w:t>
      </w:r>
      <w:r>
        <w:rPr>
          <w:rFonts w:ascii="楷体_GB2312" w:eastAsia="楷体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仿宋_GB2312" w:eastAsia="仿宋_GB2312"/>
          <w:sz w:val="32"/>
          <w:szCs w:val="32"/>
        </w:rPr>
        <w:t>11.40</w:t>
      </w:r>
      <w:r>
        <w:rPr>
          <w:rFonts w:ascii="仿宋_GB2312" w:eastAsia="仿宋_GB2312" w:hint="eastAsia"/>
          <w:sz w:val="32"/>
          <w:szCs w:val="32"/>
        </w:rPr>
        <w:t>万。</w:t>
      </w:r>
    </w:p>
    <w:p w:rsidR="008533DC" w:rsidRDefault="00000000">
      <w:pPr>
        <w:pStyle w:val="2"/>
        <w:jc w:val="center"/>
      </w:pPr>
      <w:r>
        <w:rPr>
          <w:noProof/>
        </w:rPr>
        <w:lastRenderedPageBreak/>
        <w:drawing>
          <wp:anchor distT="0" distB="0" distL="114300" distR="114300" simplePos="0" relativeHeight="251659264" behindDoc="0" locked="0" layoutInCell="1" allowOverlap="1">
            <wp:simplePos x="0" y="0"/>
            <wp:positionH relativeFrom="page">
              <wp:posOffset>1488440</wp:posOffset>
            </wp:positionH>
            <wp:positionV relativeFrom="page">
              <wp:posOffset>1490980</wp:posOffset>
            </wp:positionV>
            <wp:extent cx="4572000" cy="2743200"/>
            <wp:effectExtent l="0" t="0" r="0" b="0"/>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Pr>
          <w:rFonts w:ascii="仿宋_GB2312" w:eastAsia="仿宋_GB2312" w:hint="eastAsia"/>
          <w:sz w:val="32"/>
        </w:rPr>
        <w:t>图</w:t>
      </w:r>
      <w:r>
        <w:rPr>
          <w:rFonts w:ascii="仿宋_GB2312" w:eastAsia="仿宋_GB2312"/>
          <w:sz w:val="32"/>
        </w:rPr>
        <w:t>1</w:t>
      </w:r>
      <w:r>
        <w:rPr>
          <w:rFonts w:ascii="仿宋_GB2312" w:eastAsia="仿宋_GB2312" w:hint="eastAsia"/>
          <w:sz w:val="32"/>
        </w:rPr>
        <w:t>：收入预算</w:t>
      </w:r>
    </w:p>
    <w:p w:rsidR="008533DC" w:rsidRDefault="008533DC">
      <w:pPr>
        <w:spacing w:line="480" w:lineRule="auto"/>
        <w:rPr>
          <w:rFonts w:ascii="黑体" w:eastAsia="黑体"/>
          <w:sz w:val="32"/>
          <w:szCs w:val="32"/>
        </w:rPr>
      </w:pPr>
    </w:p>
    <w:p w:rsidR="008533DC" w:rsidRDefault="00000000">
      <w:pPr>
        <w:spacing w:line="480" w:lineRule="auto"/>
        <w:ind w:firstLineChars="200" w:firstLine="640"/>
        <w:rPr>
          <w:rFonts w:ascii="黑体" w:eastAsia="黑体"/>
          <w:sz w:val="32"/>
          <w:szCs w:val="32"/>
        </w:rPr>
      </w:pPr>
      <w:r>
        <w:rPr>
          <w:rFonts w:ascii="黑体" w:eastAsia="黑体" w:hint="eastAsia"/>
          <w:sz w:val="32"/>
          <w:szCs w:val="32"/>
        </w:rPr>
        <w:t>三、支出预算情况说明</w:t>
      </w:r>
    </w:p>
    <w:p w:rsidR="008533DC" w:rsidRPr="0054208B"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2,955.52</w:t>
      </w:r>
      <w:r>
        <w:rPr>
          <w:rFonts w:ascii="仿宋_GB2312" w:eastAsia="仿宋_GB2312" w:hint="eastAsia"/>
          <w:sz w:val="32"/>
          <w:szCs w:val="32"/>
        </w:rPr>
        <w:t>万元，比2022年年初预算数</w:t>
      </w:r>
      <w:r>
        <w:rPr>
          <w:rFonts w:ascii="仿宋_GB2312" w:eastAsia="仿宋_GB2312"/>
          <w:sz w:val="32"/>
          <w:szCs w:val="32"/>
        </w:rPr>
        <w:t>3,865.12</w:t>
      </w:r>
      <w:r>
        <w:rPr>
          <w:rFonts w:ascii="仿宋_GB2312" w:eastAsia="仿宋_GB2312" w:hint="eastAsia"/>
          <w:sz w:val="32"/>
          <w:szCs w:val="32"/>
        </w:rPr>
        <w:t>万元减少</w:t>
      </w:r>
      <w:r>
        <w:rPr>
          <w:rFonts w:ascii="仿宋_GB2312" w:eastAsia="仿宋_GB2312"/>
          <w:sz w:val="32"/>
          <w:szCs w:val="32"/>
        </w:rPr>
        <w:t>909.60</w:t>
      </w:r>
      <w:r>
        <w:rPr>
          <w:rFonts w:ascii="仿宋_GB2312" w:eastAsia="仿宋_GB2312" w:hint="eastAsia"/>
          <w:sz w:val="32"/>
          <w:szCs w:val="32"/>
        </w:rPr>
        <w:t>万元，下降</w:t>
      </w:r>
      <w:r>
        <w:rPr>
          <w:rFonts w:ascii="仿宋_GB2312" w:eastAsia="仿宋_GB2312"/>
          <w:sz w:val="32"/>
          <w:szCs w:val="32"/>
        </w:rPr>
        <w:t>23.53</w:t>
      </w:r>
      <w:r>
        <w:rPr>
          <w:rFonts w:ascii="仿宋_GB2312" w:eastAsia="仿宋_GB2312" w:hint="eastAsia"/>
          <w:sz w:val="32"/>
          <w:szCs w:val="32"/>
        </w:rPr>
        <w:t>%。</w:t>
      </w:r>
      <w:r w:rsidRPr="0054208B">
        <w:rPr>
          <w:rFonts w:ascii="仿宋_GB2312" w:eastAsia="仿宋_GB2312" w:hint="eastAsia"/>
          <w:sz w:val="32"/>
          <w:szCs w:val="32"/>
        </w:rPr>
        <w:t>主要原因是单位减少一次性项目。</w:t>
      </w:r>
    </w:p>
    <w:p w:rsidR="008533DC" w:rsidRDefault="00000000">
      <w:pPr>
        <w:spacing w:line="480" w:lineRule="auto"/>
        <w:ind w:firstLineChars="200" w:firstLine="640"/>
        <w:rPr>
          <w:rFonts w:ascii="仿宋_GB2312" w:eastAsia="仿宋_GB2312"/>
          <w:sz w:val="32"/>
          <w:szCs w:val="32"/>
        </w:rPr>
      </w:pPr>
      <w:r>
        <w:rPr>
          <w:rFonts w:ascii="楷体_GB2312" w:eastAsia="楷体_GB2312" w:hAnsi="楷体_GB2312" w:cs="楷体_GB2312" w:hint="eastAsia"/>
          <w:sz w:val="32"/>
          <w:szCs w:val="32"/>
        </w:rPr>
        <w:t>(</w:t>
      </w:r>
      <w:proofErr w:type="gramStart"/>
      <w:r>
        <w:rPr>
          <w:rFonts w:ascii="楷体_GB2312" w:eastAsia="楷体_GB2312" w:hAnsi="楷体_GB2312" w:cs="楷体_GB2312" w:hint="eastAsia"/>
          <w:sz w:val="32"/>
          <w:szCs w:val="32"/>
        </w:rPr>
        <w:t>一</w:t>
      </w:r>
      <w:proofErr w:type="gramEnd"/>
      <w:r>
        <w:rPr>
          <w:rFonts w:ascii="楷体_GB2312" w:eastAsia="楷体_GB2312" w:hAnsi="楷体_GB2312" w:cs="楷体_GB2312" w:hint="eastAsia"/>
          <w:sz w:val="32"/>
          <w:szCs w:val="32"/>
        </w:rPr>
        <w:t>)基本支出。</w:t>
      </w:r>
      <w:r>
        <w:rPr>
          <w:rFonts w:ascii="仿宋_GB2312" w:eastAsia="仿宋_GB2312" w:hint="eastAsia"/>
          <w:sz w:val="32"/>
          <w:szCs w:val="32"/>
        </w:rPr>
        <w:t>基本支出预算</w:t>
      </w:r>
      <w:r>
        <w:rPr>
          <w:rFonts w:ascii="仿宋_GB2312" w:eastAsia="仿宋_GB2312"/>
          <w:sz w:val="32"/>
          <w:szCs w:val="32"/>
        </w:rPr>
        <w:t>1,438.75</w:t>
      </w:r>
      <w:r>
        <w:rPr>
          <w:rFonts w:ascii="仿宋_GB2312" w:eastAsia="仿宋_GB2312" w:hint="eastAsia"/>
          <w:sz w:val="32"/>
          <w:szCs w:val="32"/>
        </w:rPr>
        <w:t>万元，占总支出预算</w:t>
      </w:r>
      <w:r>
        <w:rPr>
          <w:rFonts w:ascii="仿宋_GB2312" w:eastAsia="仿宋_GB2312"/>
          <w:sz w:val="32"/>
          <w:szCs w:val="32"/>
        </w:rPr>
        <w:t>48.68</w:t>
      </w:r>
      <w:r>
        <w:rPr>
          <w:rFonts w:ascii="仿宋_GB2312" w:eastAsia="仿宋_GB2312" w:hint="eastAsia"/>
          <w:sz w:val="32"/>
          <w:szCs w:val="32"/>
        </w:rPr>
        <w:t>%，比2022年年初预算数</w:t>
      </w:r>
      <w:r>
        <w:rPr>
          <w:rFonts w:ascii="仿宋_GB2312" w:eastAsia="仿宋_GB2312"/>
          <w:sz w:val="32"/>
          <w:szCs w:val="32"/>
        </w:rPr>
        <w:t>1,551.64</w:t>
      </w:r>
      <w:r>
        <w:rPr>
          <w:rFonts w:ascii="仿宋_GB2312" w:eastAsia="仿宋_GB2312" w:hint="eastAsia"/>
          <w:sz w:val="32"/>
          <w:szCs w:val="32"/>
        </w:rPr>
        <w:t>万元减少</w:t>
      </w:r>
      <w:r>
        <w:rPr>
          <w:rFonts w:ascii="仿宋_GB2312" w:eastAsia="仿宋_GB2312"/>
          <w:sz w:val="32"/>
          <w:szCs w:val="32"/>
        </w:rPr>
        <w:t>112.89</w:t>
      </w:r>
      <w:r>
        <w:rPr>
          <w:rFonts w:ascii="仿宋_GB2312" w:eastAsia="仿宋_GB2312" w:hint="eastAsia"/>
          <w:sz w:val="32"/>
          <w:szCs w:val="32"/>
        </w:rPr>
        <w:t>万元，下降</w:t>
      </w:r>
      <w:r>
        <w:rPr>
          <w:rFonts w:ascii="仿宋_GB2312" w:eastAsia="仿宋_GB2312"/>
          <w:sz w:val="32"/>
          <w:szCs w:val="32"/>
        </w:rPr>
        <w:t>7.28</w:t>
      </w:r>
      <w:r>
        <w:rPr>
          <w:rFonts w:ascii="仿宋_GB2312" w:eastAsia="仿宋_GB2312" w:hint="eastAsia"/>
          <w:sz w:val="32"/>
          <w:szCs w:val="32"/>
        </w:rPr>
        <w:t>%。</w:t>
      </w:r>
    </w:p>
    <w:p w:rsidR="008533DC" w:rsidRDefault="00000000">
      <w:pPr>
        <w:spacing w:line="480" w:lineRule="auto"/>
        <w:ind w:firstLineChars="200"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1,516.77</w:t>
      </w:r>
      <w:r>
        <w:rPr>
          <w:rFonts w:ascii="仿宋_GB2312" w:eastAsia="仿宋_GB2312" w:hint="eastAsia"/>
          <w:sz w:val="32"/>
          <w:szCs w:val="32"/>
        </w:rPr>
        <w:t>万元，比2022年年初预算数</w:t>
      </w:r>
      <w:r>
        <w:rPr>
          <w:rFonts w:ascii="仿宋_GB2312" w:eastAsia="仿宋_GB2312"/>
          <w:sz w:val="32"/>
          <w:szCs w:val="32"/>
        </w:rPr>
        <w:t>2,313.47</w:t>
      </w:r>
      <w:r>
        <w:rPr>
          <w:rFonts w:ascii="仿宋_GB2312" w:eastAsia="仿宋_GB2312" w:hint="eastAsia"/>
          <w:sz w:val="32"/>
          <w:szCs w:val="32"/>
        </w:rPr>
        <w:t>万元减少</w:t>
      </w:r>
      <w:r>
        <w:rPr>
          <w:rFonts w:ascii="仿宋_GB2312" w:eastAsia="仿宋_GB2312"/>
          <w:sz w:val="32"/>
          <w:szCs w:val="32"/>
        </w:rPr>
        <w:t>796.70</w:t>
      </w:r>
      <w:r>
        <w:rPr>
          <w:rFonts w:ascii="仿宋_GB2312" w:eastAsia="仿宋_GB2312" w:hint="eastAsia"/>
          <w:sz w:val="32"/>
          <w:szCs w:val="32"/>
        </w:rPr>
        <w:t>万元，下降</w:t>
      </w:r>
      <w:r>
        <w:rPr>
          <w:rFonts w:ascii="仿宋_GB2312" w:eastAsia="仿宋_GB2312"/>
          <w:sz w:val="32"/>
          <w:szCs w:val="32"/>
        </w:rPr>
        <w:t>34.44</w:t>
      </w:r>
      <w:r>
        <w:rPr>
          <w:rFonts w:ascii="仿宋_GB2312" w:eastAsia="仿宋_GB2312" w:hint="eastAsia"/>
          <w:sz w:val="32"/>
          <w:szCs w:val="32"/>
        </w:rPr>
        <w:t>%。其中：</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1.事业单位经营支出0万元。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w:t>
      </w:r>
      <w:r>
        <w:rPr>
          <w:rFonts w:ascii="仿宋_GB2312" w:eastAsia="仿宋_GB2312" w:hint="eastAsia"/>
          <w:sz w:val="32"/>
          <w:szCs w:val="32"/>
        </w:rPr>
        <w:t>万元。</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lastRenderedPageBreak/>
        <w:t>3.对附属单位补助支出</w:t>
      </w:r>
      <w:r>
        <w:rPr>
          <w:rFonts w:ascii="仿宋_GB2312" w:eastAsia="仿宋_GB2312"/>
          <w:sz w:val="32"/>
          <w:szCs w:val="32"/>
        </w:rPr>
        <w:t>0</w:t>
      </w:r>
      <w:r>
        <w:rPr>
          <w:rFonts w:ascii="仿宋_GB2312" w:eastAsia="仿宋_GB2312" w:hint="eastAsia"/>
          <w:sz w:val="32"/>
          <w:szCs w:val="32"/>
        </w:rPr>
        <w:t>万元。</w:t>
      </w:r>
    </w:p>
    <w:p w:rsidR="008533DC" w:rsidRDefault="00000000">
      <w:pPr>
        <w:pStyle w:val="2"/>
        <w:spacing w:line="480" w:lineRule="auto"/>
        <w:ind w:firstLineChars="200" w:firstLine="723"/>
        <w:jc w:val="center"/>
        <w:rPr>
          <w:rFonts w:ascii="仿宋_GB2312" w:eastAsia="仿宋_GB2312"/>
          <w:sz w:val="32"/>
        </w:rPr>
      </w:pPr>
      <w:bookmarkStart w:id="0" w:name="_Hlk128399675"/>
      <w:r>
        <w:rPr>
          <w:noProof/>
        </w:rPr>
        <w:drawing>
          <wp:anchor distT="0" distB="0" distL="114300" distR="114300" simplePos="0" relativeHeight="251660288" behindDoc="0" locked="0" layoutInCell="1" allowOverlap="1">
            <wp:simplePos x="0" y="0"/>
            <wp:positionH relativeFrom="page">
              <wp:posOffset>2296795</wp:posOffset>
            </wp:positionH>
            <wp:positionV relativeFrom="page">
              <wp:posOffset>1682115</wp:posOffset>
            </wp:positionV>
            <wp:extent cx="3108960" cy="1901190"/>
            <wp:effectExtent l="0" t="0" r="15240" b="3810"/>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ascii="仿宋_GB2312" w:eastAsia="仿宋_GB2312" w:hint="eastAsia"/>
          <w:sz w:val="32"/>
        </w:rPr>
        <w:t>图2：</w:t>
      </w:r>
      <w:bookmarkEnd w:id="0"/>
      <w:r>
        <w:rPr>
          <w:rFonts w:ascii="仿宋_GB2312" w:eastAsia="仿宋_GB2312" w:hint="eastAsia"/>
          <w:sz w:val="32"/>
        </w:rPr>
        <w:t>基本支出和项目支出情况</w:t>
      </w:r>
    </w:p>
    <w:p w:rsidR="008533DC" w:rsidRDefault="008533DC"/>
    <w:p w:rsidR="008533DC" w:rsidRDefault="00000000">
      <w:pPr>
        <w:spacing w:line="480" w:lineRule="auto"/>
        <w:ind w:firstLineChars="200" w:firstLine="640"/>
        <w:rPr>
          <w:rFonts w:ascii="黑体" w:eastAsia="黑体"/>
          <w:sz w:val="32"/>
          <w:szCs w:val="32"/>
        </w:rPr>
      </w:pPr>
      <w:r>
        <w:rPr>
          <w:rFonts w:ascii="黑体" w:eastAsia="黑体" w:hint="eastAsia"/>
          <w:sz w:val="32"/>
          <w:szCs w:val="32"/>
        </w:rPr>
        <w:t>四、财政拨款“三公”经费预算情况说明</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本单位2023年无财政拨款安排的“三公”经费预算。</w:t>
      </w:r>
    </w:p>
    <w:p w:rsidR="008533DC" w:rsidRDefault="00000000">
      <w:pPr>
        <w:spacing w:line="480" w:lineRule="auto"/>
        <w:ind w:firstLineChars="200" w:firstLine="640"/>
        <w:rPr>
          <w:rFonts w:ascii="黑体" w:eastAsia="黑体"/>
          <w:sz w:val="32"/>
          <w:szCs w:val="32"/>
        </w:rPr>
      </w:pPr>
      <w:r>
        <w:rPr>
          <w:rFonts w:ascii="黑体" w:eastAsia="黑体" w:hint="eastAsia"/>
          <w:sz w:val="32"/>
          <w:szCs w:val="32"/>
        </w:rPr>
        <w:t>五、其他情况说明</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2023年北京市交通综合治理事务中心政府采购预算总额</w:t>
      </w:r>
      <w:r>
        <w:rPr>
          <w:rFonts w:ascii="仿宋_GB2312" w:eastAsia="仿宋_GB2312"/>
          <w:sz w:val="32"/>
          <w:szCs w:val="32"/>
        </w:rPr>
        <w:t>1,119.22</w:t>
      </w:r>
      <w:r>
        <w:rPr>
          <w:rFonts w:ascii="仿宋_GB2312" w:eastAsia="仿宋_GB2312" w:hint="eastAsia"/>
          <w:sz w:val="32"/>
          <w:szCs w:val="32"/>
        </w:rPr>
        <w:t>万元，其中：政府采购货物预算</w:t>
      </w:r>
      <w:r>
        <w:rPr>
          <w:rFonts w:ascii="仿宋_GB2312" w:eastAsia="仿宋_GB2312"/>
          <w:sz w:val="32"/>
          <w:szCs w:val="32"/>
        </w:rPr>
        <w:t>44</w:t>
      </w:r>
      <w:r>
        <w:rPr>
          <w:rFonts w:ascii="仿宋_GB2312" w:eastAsia="仿宋_GB2312" w:hint="eastAsia"/>
          <w:sz w:val="32"/>
          <w:szCs w:val="32"/>
        </w:rPr>
        <w:t>万元，政府采购工程预算</w:t>
      </w:r>
      <w:r>
        <w:rPr>
          <w:rFonts w:ascii="仿宋_GB2312" w:eastAsia="仿宋_GB2312"/>
          <w:sz w:val="32"/>
          <w:szCs w:val="32"/>
        </w:rPr>
        <w:t>0</w:t>
      </w:r>
      <w:r>
        <w:rPr>
          <w:rFonts w:ascii="仿宋_GB2312" w:eastAsia="仿宋_GB2312" w:hint="eastAsia"/>
          <w:sz w:val="32"/>
          <w:szCs w:val="32"/>
        </w:rPr>
        <w:t>万元，政府采购服务预算</w:t>
      </w:r>
      <w:r>
        <w:rPr>
          <w:rFonts w:ascii="仿宋_GB2312" w:eastAsia="仿宋_GB2312"/>
          <w:sz w:val="32"/>
          <w:szCs w:val="32"/>
        </w:rPr>
        <w:t>1,075.22</w:t>
      </w:r>
      <w:r>
        <w:rPr>
          <w:rFonts w:ascii="仿宋_GB2312" w:eastAsia="仿宋_GB2312" w:hint="eastAsia"/>
          <w:sz w:val="32"/>
          <w:szCs w:val="32"/>
        </w:rPr>
        <w:t>万元。</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我单位不在政府购买服务预算统计范围之内。</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2023年，北京市交通综合治理事务中心填报绩效目标</w:t>
      </w:r>
      <w:r>
        <w:rPr>
          <w:rFonts w:ascii="仿宋_GB2312" w:eastAsia="仿宋_GB2312" w:hint="eastAsia"/>
          <w:sz w:val="32"/>
          <w:szCs w:val="32"/>
        </w:rPr>
        <w:lastRenderedPageBreak/>
        <w:t>的预算项目</w:t>
      </w:r>
      <w:r>
        <w:rPr>
          <w:rFonts w:ascii="仿宋_GB2312" w:eastAsia="仿宋_GB2312"/>
          <w:sz w:val="32"/>
          <w:szCs w:val="32"/>
        </w:rPr>
        <w:t>10</w:t>
      </w:r>
      <w:r>
        <w:rPr>
          <w:rFonts w:ascii="仿宋_GB2312" w:eastAsia="仿宋_GB2312" w:hint="eastAsia"/>
          <w:sz w:val="32"/>
          <w:szCs w:val="32"/>
        </w:rPr>
        <w:t>个，占本单位本年预算项目</w:t>
      </w:r>
      <w:r>
        <w:rPr>
          <w:rFonts w:ascii="仿宋_GB2312" w:eastAsia="仿宋_GB2312"/>
          <w:sz w:val="32"/>
          <w:szCs w:val="32"/>
        </w:rPr>
        <w:t>10</w:t>
      </w:r>
      <w:r>
        <w:rPr>
          <w:rFonts w:ascii="仿宋_GB2312" w:eastAsia="仿宋_GB2312" w:hint="eastAsia"/>
          <w:sz w:val="32"/>
          <w:szCs w:val="32"/>
        </w:rPr>
        <w:t>个的100%。填报绩效目标的项目支出预算</w:t>
      </w:r>
      <w:r>
        <w:rPr>
          <w:rFonts w:ascii="仿宋_GB2312" w:eastAsia="仿宋_GB2312"/>
          <w:sz w:val="32"/>
          <w:szCs w:val="32"/>
        </w:rPr>
        <w:t>1,516.77</w:t>
      </w:r>
      <w:r>
        <w:rPr>
          <w:rFonts w:ascii="仿宋_GB2312" w:eastAsia="仿宋_GB2312" w:hint="eastAsia"/>
          <w:sz w:val="32"/>
          <w:szCs w:val="32"/>
        </w:rPr>
        <w:t>万元，占本单位本年项目支出预算的100%。</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8533DC" w:rsidRDefault="00000000">
      <w:pPr>
        <w:spacing w:line="480" w:lineRule="auto"/>
        <w:ind w:firstLineChars="200" w:firstLine="640"/>
      </w:pPr>
      <w:r>
        <w:rPr>
          <w:rFonts w:ascii="仿宋_GB2312" w:eastAsia="仿宋_GB2312" w:hint="eastAsia"/>
          <w:sz w:val="32"/>
          <w:szCs w:val="32"/>
        </w:rPr>
        <w:t>本单位2023年无重点行政事业性收费。</w:t>
      </w:r>
    </w:p>
    <w:p w:rsidR="008533DC" w:rsidRDefault="00000000">
      <w:pPr>
        <w:spacing w:line="480" w:lineRule="auto"/>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本单位2023年无国有资本经营预算财政拨款安排的预算。</w:t>
      </w:r>
    </w:p>
    <w:p w:rsidR="008533DC" w:rsidRDefault="00000000">
      <w:pPr>
        <w:spacing w:line="480" w:lineRule="auto"/>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截至2022年底，北京市交通综合治理事务中心共有车辆0台，共计0万元；单位价值50万元以上的通用设备0台（套），共计</w:t>
      </w:r>
      <w:r>
        <w:rPr>
          <w:rFonts w:ascii="仿宋_GB2312" w:eastAsia="仿宋_GB2312"/>
          <w:color w:val="000000"/>
          <w:sz w:val="32"/>
          <w:szCs w:val="32"/>
        </w:rPr>
        <w:t>0</w:t>
      </w:r>
      <w:r>
        <w:rPr>
          <w:rFonts w:ascii="仿宋_GB2312" w:eastAsia="仿宋_GB2312" w:hint="eastAsia"/>
          <w:color w:val="000000"/>
          <w:sz w:val="32"/>
          <w:szCs w:val="32"/>
        </w:rPr>
        <w:t>万元，单位价值1</w:t>
      </w:r>
      <w:r>
        <w:rPr>
          <w:rFonts w:ascii="仿宋_GB2312" w:eastAsia="仿宋_GB2312"/>
          <w:color w:val="000000"/>
          <w:sz w:val="32"/>
          <w:szCs w:val="32"/>
        </w:rPr>
        <w:t>00</w:t>
      </w:r>
      <w:r>
        <w:rPr>
          <w:rFonts w:ascii="仿宋_GB2312" w:eastAsia="仿宋_GB2312" w:hint="eastAsia"/>
          <w:color w:val="000000"/>
          <w:sz w:val="32"/>
          <w:szCs w:val="32"/>
        </w:rPr>
        <w:t>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rsidR="008533DC" w:rsidRDefault="00000000">
      <w:pPr>
        <w:spacing w:line="480" w:lineRule="auto"/>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w:t>
      </w:r>
      <w:r>
        <w:rPr>
          <w:rFonts w:ascii="仿宋_GB2312" w:eastAsia="仿宋_GB2312" w:hint="eastAsia"/>
          <w:color w:val="000000"/>
          <w:sz w:val="32"/>
          <w:szCs w:val="32"/>
        </w:rPr>
        <w:lastRenderedPageBreak/>
        <w:t>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8533DC" w:rsidRDefault="008533DC">
      <w:pPr>
        <w:spacing w:line="480" w:lineRule="auto"/>
        <w:ind w:firstLineChars="200" w:firstLine="720"/>
        <w:jc w:val="center"/>
        <w:rPr>
          <w:rFonts w:ascii="方正小标宋简体" w:eastAsia="方正小标宋简体"/>
          <w:color w:val="000000"/>
          <w:sz w:val="36"/>
          <w:szCs w:val="36"/>
        </w:rPr>
      </w:pPr>
    </w:p>
    <w:p w:rsidR="008533DC" w:rsidRDefault="00000000">
      <w:pPr>
        <w:widowControl/>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rsidR="008533DC" w:rsidRDefault="00000000">
      <w:pPr>
        <w:spacing w:line="480" w:lineRule="auto"/>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rsidR="008533DC" w:rsidRDefault="008533DC">
      <w:pPr>
        <w:autoSpaceDE w:val="0"/>
        <w:autoSpaceDN w:val="0"/>
        <w:adjustRightInd w:val="0"/>
        <w:spacing w:line="480" w:lineRule="auto"/>
        <w:ind w:firstLineChars="200" w:firstLine="720"/>
        <w:jc w:val="left"/>
        <w:rPr>
          <w:rFonts w:ascii="方正小标宋简体" w:eastAsia="方正小标宋简体"/>
          <w:color w:val="000000"/>
          <w:sz w:val="36"/>
          <w:szCs w:val="36"/>
        </w:rPr>
      </w:pPr>
    </w:p>
    <w:p w:rsidR="008533DC" w:rsidRDefault="00000000">
      <w:pPr>
        <w:spacing w:line="48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附件：北京市交通综合治理事务中心2023年度单位预算报表</w:t>
      </w:r>
    </w:p>
    <w:p w:rsidR="008533DC" w:rsidRDefault="008533DC">
      <w:pPr>
        <w:spacing w:line="480" w:lineRule="auto"/>
        <w:ind w:firstLineChars="200" w:firstLine="640"/>
        <w:rPr>
          <w:rFonts w:ascii="仿宋_GB2312" w:eastAsia="仿宋_GB2312"/>
          <w:sz w:val="32"/>
          <w:szCs w:val="32"/>
        </w:rPr>
      </w:pPr>
      <w:bookmarkStart w:id="1" w:name="chaosong"/>
      <w:bookmarkEnd w:id="1"/>
    </w:p>
    <w:p w:rsidR="008533DC" w:rsidRDefault="00000000">
      <w:pPr>
        <w:spacing w:line="480" w:lineRule="auto"/>
        <w:ind w:firstLineChars="200" w:firstLine="640"/>
        <w:rPr>
          <w:rFonts w:ascii="仿宋_GB2312" w:eastAsia="仿宋_GB2312"/>
          <w:sz w:val="32"/>
          <w:szCs w:val="32"/>
        </w:rPr>
      </w:pPr>
      <w:r>
        <w:rPr>
          <w:rFonts w:ascii="仿宋_GB2312" w:eastAsia="仿宋_GB2312" w:hint="eastAsia"/>
          <w:sz w:val="32"/>
          <w:szCs w:val="32"/>
        </w:rPr>
        <w:t xml:space="preserve"> </w:t>
      </w:r>
    </w:p>
    <w:sectPr w:rsidR="008533DC">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52C7" w:rsidRDefault="003752C7">
      <w:r>
        <w:separator/>
      </w:r>
    </w:p>
  </w:endnote>
  <w:endnote w:type="continuationSeparator" w:id="0">
    <w:p w:rsidR="003752C7" w:rsidRDefault="0037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eastAsiaTheme="minorEastAsia" w:hAnsiTheme="minorEastAsia"/>
        <w:sz w:val="28"/>
        <w:szCs w:val="28"/>
      </w:rPr>
      <w:id w:val="26316688"/>
      <w:docPartObj>
        <w:docPartGallery w:val="AutoText"/>
      </w:docPartObj>
    </w:sdtPr>
    <w:sdtContent>
      <w:p w:rsidR="008533DC" w:rsidRDefault="00000000">
        <w:pPr>
          <w:pStyle w:val="a3"/>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8 -</w:t>
        </w:r>
        <w:r>
          <w:rPr>
            <w:rFonts w:asciiTheme="minorEastAsia" w:eastAsiaTheme="minorEastAsia" w:hAnsiTheme="minorEastAsia"/>
            <w:sz w:val="28"/>
            <w:szCs w:val="28"/>
          </w:rPr>
          <w:fldChar w:fldCharType="end"/>
        </w:r>
      </w:p>
    </w:sdtContent>
  </w:sdt>
  <w:p w:rsidR="008533DC" w:rsidRDefault="008533D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316687"/>
      <w:docPartObj>
        <w:docPartGallery w:val="AutoText"/>
      </w:docPartObj>
    </w:sdtPr>
    <w:sdtEndPr>
      <w:rPr>
        <w:rFonts w:asciiTheme="minorEastAsia" w:eastAsiaTheme="minorEastAsia" w:hAnsiTheme="minorEastAsia" w:hint="eastAsia"/>
        <w:sz w:val="28"/>
        <w:szCs w:val="28"/>
      </w:rPr>
    </w:sdtEndPr>
    <w:sdtContent>
      <w:p w:rsidR="008533DC" w:rsidRDefault="00000000">
        <w:pPr>
          <w:pStyle w:val="a3"/>
          <w:jc w:val="right"/>
          <w:rPr>
            <w:rFonts w:asciiTheme="minorEastAsia" w:eastAsiaTheme="minorEastAsia" w:hAnsiTheme="minorEastAsia"/>
            <w:sz w:val="28"/>
            <w:szCs w:val="28"/>
          </w:rPr>
        </w:pPr>
        <w:r>
          <w:rPr>
            <w:rFonts w:asciiTheme="minorEastAsia" w:eastAsiaTheme="minorEastAsia" w:hAnsiTheme="minorEastAsia" w:hint="eastAsia"/>
            <w:sz w:val="28"/>
            <w:szCs w:val="28"/>
          </w:rPr>
          <w:fldChar w:fldCharType="begin"/>
        </w:r>
        <w:r>
          <w:rPr>
            <w:rFonts w:asciiTheme="minorEastAsia" w:eastAsiaTheme="minorEastAsia" w:hAnsiTheme="minorEastAsia" w:hint="eastAsia"/>
            <w:sz w:val="28"/>
            <w:szCs w:val="28"/>
          </w:rPr>
          <w:instrText xml:space="preserve"> PAGE   \* MERGEFORMAT </w:instrText>
        </w:r>
        <w:r>
          <w:rPr>
            <w:rFonts w:asciiTheme="minorEastAsia" w:eastAsiaTheme="minorEastAsia" w:hAnsiTheme="minorEastAsia" w:hint="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9 -</w:t>
        </w:r>
        <w:r>
          <w:rPr>
            <w:rFonts w:asciiTheme="minorEastAsia" w:eastAsiaTheme="minorEastAsia" w:hAnsiTheme="minorEastAsia" w:hint="eastAsia"/>
            <w:sz w:val="28"/>
            <w:szCs w:val="28"/>
          </w:rPr>
          <w:fldChar w:fldCharType="end"/>
        </w:r>
      </w:p>
    </w:sdtContent>
  </w:sdt>
  <w:p w:rsidR="008533DC" w:rsidRDefault="008533D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52C7" w:rsidRDefault="003752C7">
      <w:r>
        <w:separator/>
      </w:r>
    </w:p>
  </w:footnote>
  <w:footnote w:type="continuationSeparator" w:id="0">
    <w:p w:rsidR="003752C7" w:rsidRDefault="003752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zY3NGM3NDI2NGJmYmIwNjIzYTc3OWI5OGViNzAxY2IifQ=="/>
  </w:docVars>
  <w:rsids>
    <w:rsidRoot w:val="00117A53"/>
    <w:rsid w:val="0007322F"/>
    <w:rsid w:val="00085564"/>
    <w:rsid w:val="000C3844"/>
    <w:rsid w:val="000D6536"/>
    <w:rsid w:val="00117A53"/>
    <w:rsid w:val="00126991"/>
    <w:rsid w:val="0013676B"/>
    <w:rsid w:val="001C623F"/>
    <w:rsid w:val="0027649F"/>
    <w:rsid w:val="003379C0"/>
    <w:rsid w:val="003752C7"/>
    <w:rsid w:val="003773CD"/>
    <w:rsid w:val="00377BBB"/>
    <w:rsid w:val="003C3425"/>
    <w:rsid w:val="00434C38"/>
    <w:rsid w:val="004700CF"/>
    <w:rsid w:val="00485890"/>
    <w:rsid w:val="004A0DBF"/>
    <w:rsid w:val="004E44E4"/>
    <w:rsid w:val="005042DD"/>
    <w:rsid w:val="00507CBA"/>
    <w:rsid w:val="00516B58"/>
    <w:rsid w:val="005275C9"/>
    <w:rsid w:val="0054208B"/>
    <w:rsid w:val="00562899"/>
    <w:rsid w:val="005650FC"/>
    <w:rsid w:val="00652CDA"/>
    <w:rsid w:val="0066530C"/>
    <w:rsid w:val="00670BBD"/>
    <w:rsid w:val="006B0785"/>
    <w:rsid w:val="006C11A7"/>
    <w:rsid w:val="00736785"/>
    <w:rsid w:val="007762B5"/>
    <w:rsid w:val="00777318"/>
    <w:rsid w:val="0080780D"/>
    <w:rsid w:val="008161EC"/>
    <w:rsid w:val="00833FDE"/>
    <w:rsid w:val="008533DC"/>
    <w:rsid w:val="00871335"/>
    <w:rsid w:val="00885518"/>
    <w:rsid w:val="008A18C0"/>
    <w:rsid w:val="008B65B9"/>
    <w:rsid w:val="009462E2"/>
    <w:rsid w:val="009474CB"/>
    <w:rsid w:val="00953B84"/>
    <w:rsid w:val="0098363C"/>
    <w:rsid w:val="009E3AA5"/>
    <w:rsid w:val="009E666F"/>
    <w:rsid w:val="00A63DD6"/>
    <w:rsid w:val="00B10F4E"/>
    <w:rsid w:val="00B154D0"/>
    <w:rsid w:val="00B35190"/>
    <w:rsid w:val="00BB5CB2"/>
    <w:rsid w:val="00BB6127"/>
    <w:rsid w:val="00BE79D0"/>
    <w:rsid w:val="00D05CC5"/>
    <w:rsid w:val="00D12F7F"/>
    <w:rsid w:val="00D719FE"/>
    <w:rsid w:val="00DB2B5A"/>
    <w:rsid w:val="00DB46BF"/>
    <w:rsid w:val="00DF6E95"/>
    <w:rsid w:val="00EB1246"/>
    <w:rsid w:val="00FA3D0D"/>
    <w:rsid w:val="00FB00B2"/>
    <w:rsid w:val="392F6B85"/>
    <w:rsid w:val="62C868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871D7897-310A-471A-9B21-B0890FDD0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316\Desktop\&#39044;&#31639;&#20844;&#24320;\&#21271;&#20140;&#24066;&#20132;&#36890;&#32508;&#21512;&#27835;&#29702;&#20107;&#21153;&#20013;&#24515;2023&#24180;&#39044;&#31639;&#20844;&#24320;&#38468;&#34920;%20-%20&#21103;&#2641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316\Desktop\&#39044;&#31639;&#20844;&#24320;\&#21271;&#20140;&#24066;&#20132;&#36890;&#32508;&#21512;&#27835;&#29702;&#20107;&#21153;&#20013;&#24515;2023&#24180;&#39044;&#31639;&#20844;&#24320;&#38468;&#34920;%20-%20&#21103;&#264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CF0-4F6A-97D9-037E955F565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CF0-4F6A-97D9-037E955F565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CF0-4F6A-97D9-037E955F565D}"/>
              </c:ext>
            </c:extLst>
          </c:dPt>
          <c:dLbls>
            <c:dLbl>
              <c:idx val="0"/>
              <c:layout>
                <c:manualLayout>
                  <c:x val="5.0925337632080101E-17"/>
                  <c:y val="-0.26388888888888901"/>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CF0-4F6A-97D9-037E955F565D}"/>
                </c:ext>
              </c:extLst>
            </c:dLbl>
            <c:dLbl>
              <c:idx val="1"/>
              <c:layout>
                <c:manualLayout>
                  <c:x val="-0.194444444444445"/>
                  <c:y val="6.944444444444450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CF0-4F6A-97D9-037E955F565D}"/>
                </c:ext>
              </c:extLst>
            </c:dLbl>
            <c:dLbl>
              <c:idx val="2"/>
              <c:layout>
                <c:manualLayout>
                  <c:x val="0.233333333333333"/>
                  <c:y val="6.4814814814814797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CF0-4F6A-97D9-037E955F565D}"/>
                </c:ext>
              </c:extLst>
            </c:dLbl>
            <c:numFmt formatCode="0.00%" sourceLinked="0"/>
            <c:spPr>
              <a:solidFill>
                <a:sysClr val="window" lastClr="CCE8C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endParaRPr lang="zh-CN"/>
              </a:p>
            </c:txPr>
            <c:dLblPos val="outEnd"/>
            <c:showLegendKey val="0"/>
            <c:showVal val="0"/>
            <c:showCatName val="1"/>
            <c:showSerName val="0"/>
            <c:showPercent val="1"/>
            <c:showBubbleSize val="0"/>
            <c:showLeaderLines val="1"/>
            <c:extLst>
              <c:ext xmlns:c15="http://schemas.microsoft.com/office/drawing/2012/chart" uri="{CE6537A1-D6FC-4f65-9D91-7224C49458BB}">
                <c15:spPr xmlns:c15="http://schemas.microsoft.com/office/drawing/2012/chart">
                  <a:prstGeom prst="wedgeRectCallout">
                    <a:avLst/>
                  </a:prstGeom>
                </c15:spPr>
              </c:ext>
            </c:extLst>
          </c:dLbls>
          <c:cat>
            <c:strRef>
              <c:f>'02收入总表'!$J$16:$J$18</c:f>
              <c:strCache>
                <c:ptCount val="3"/>
                <c:pt idx="0">
                  <c:v>一般公共预算拨款收入</c:v>
                </c:pt>
                <c:pt idx="1">
                  <c:v>其他收入</c:v>
                </c:pt>
                <c:pt idx="2">
                  <c:v>上年结转结余</c:v>
                </c:pt>
              </c:strCache>
            </c:strRef>
          </c:cat>
          <c:val>
            <c:numRef>
              <c:f>'02收入总表'!$K$16:$K$18</c:f>
              <c:numCache>
                <c:formatCode>General</c:formatCode>
                <c:ptCount val="3"/>
                <c:pt idx="0" formatCode="#,##0.00">
                  <c:v>2944.026938</c:v>
                </c:pt>
                <c:pt idx="1">
                  <c:v>0.1</c:v>
                </c:pt>
                <c:pt idx="2">
                  <c:v>11.397349999999999</c:v>
                </c:pt>
              </c:numCache>
            </c:numRef>
          </c:val>
          <c:extLst>
            <c:ext xmlns:c16="http://schemas.microsoft.com/office/drawing/2014/chart" uri="{C3380CC4-5D6E-409C-BE32-E72D297353CC}">
              <c16:uniqueId val="{00000006-DCF0-4F6A-97D9-037E955F565D}"/>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showDLblsOverMax val="0"/>
  </c:chart>
  <c:spPr>
    <a:no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zh-CN" sz="1400" b="0" i="0" u="none" strike="noStrike" baseline="0">
                <a:effectLst/>
              </a:rPr>
              <a:t>基本支出和项目支出情况</a:t>
            </a:r>
            <a:endParaRPr lang="zh-CN" altLang="en-US"/>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2B8-49C6-9B39-81F275E41B9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2B8-49C6-9B39-81F275E41B95}"/>
              </c:ext>
            </c:extLst>
          </c:dPt>
          <c:dLbls>
            <c:spPr>
              <a:solidFill>
                <a:sysClr val="window" lastClr="CCE8C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endParaRPr lang="zh-CN"/>
              </a:p>
            </c:txPr>
            <c:dLblPos val="outEnd"/>
            <c:showLegendKey val="0"/>
            <c:showVal val="0"/>
            <c:showCatName val="1"/>
            <c:showSerName val="0"/>
            <c:showPercent val="1"/>
            <c:showBubbleSize val="0"/>
            <c:showLeaderLines val="1"/>
            <c:extLst>
              <c:ext xmlns:c15="http://schemas.microsoft.com/office/drawing/2012/chart" uri="{CE6537A1-D6FC-4f65-9D91-7224C49458BB}">
                <c15:spPr xmlns:c15="http://schemas.microsoft.com/office/drawing/2012/chart">
                  <a:prstGeom prst="wedgeRectCallout">
                    <a:avLst/>
                  </a:prstGeom>
                </c15:spPr>
              </c:ext>
            </c:extLst>
          </c:dLbls>
          <c:cat>
            <c:strRef>
              <c:f>'03支出总表'!$F$39:$G$39</c:f>
              <c:strCache>
                <c:ptCount val="2"/>
                <c:pt idx="0">
                  <c:v>基本支出</c:v>
                </c:pt>
                <c:pt idx="1">
                  <c:v>项目支出</c:v>
                </c:pt>
              </c:strCache>
            </c:strRef>
          </c:cat>
          <c:val>
            <c:numRef>
              <c:f>'03支出总表'!$F$40:$G$40</c:f>
              <c:numCache>
                <c:formatCode>#,##0.00</c:formatCode>
                <c:ptCount val="2"/>
                <c:pt idx="0">
                  <c:v>1438.7542880000001</c:v>
                </c:pt>
                <c:pt idx="1">
                  <c:v>1516.77</c:v>
                </c:pt>
              </c:numCache>
            </c:numRef>
          </c:val>
          <c:extLst>
            <c:ext xmlns:c16="http://schemas.microsoft.com/office/drawing/2014/chart" uri="{C3380CC4-5D6E-409C-BE32-E72D297353CC}">
              <c16:uniqueId val="{00000004-52B8-49C6-9B39-81F275E41B95}"/>
            </c:ext>
          </c:extLst>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showDLblsOverMax val="0"/>
  </c:chart>
  <c:spPr>
    <a:no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任邯丽</dc:creator>
  <cp:lastModifiedBy>changbo liu</cp:lastModifiedBy>
  <cp:revision>31</cp:revision>
  <cp:lastPrinted>2023-02-27T03:36:00Z</cp:lastPrinted>
  <dcterms:created xsi:type="dcterms:W3CDTF">2023-02-21T08:14:00Z</dcterms:created>
  <dcterms:modified xsi:type="dcterms:W3CDTF">2023-03-07T01:18:00Z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C98A97BC7ED244DEBE03A328A39B0C9B</vt:lpwstr>
  </property>
</Properties>
</file>