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00A0" w:rsidRDefault="000400A0">
      <w:pPr>
        <w:jc w:val="center"/>
        <w:rPr>
          <w:rFonts w:asciiTheme="majorEastAsia" w:eastAsiaTheme="majorEastAsia" w:hAnsiTheme="majorEastAsia" w:cstheme="majorEastAsia"/>
          <w:b/>
          <w:bCs/>
          <w:sz w:val="52"/>
          <w:szCs w:val="52"/>
        </w:rPr>
      </w:pPr>
    </w:p>
    <w:p w:rsidR="000400A0" w:rsidRDefault="000400A0">
      <w:pPr>
        <w:jc w:val="center"/>
        <w:rPr>
          <w:rFonts w:asciiTheme="majorEastAsia" w:eastAsiaTheme="majorEastAsia" w:hAnsiTheme="majorEastAsia" w:cstheme="majorEastAsia"/>
          <w:b/>
          <w:bCs/>
          <w:sz w:val="52"/>
          <w:szCs w:val="52"/>
        </w:rPr>
      </w:pPr>
    </w:p>
    <w:p w:rsidR="000400A0" w:rsidRDefault="00891D33">
      <w:pPr>
        <w:jc w:val="center"/>
        <w:rPr>
          <w:rFonts w:asciiTheme="majorEastAsia" w:eastAsiaTheme="majorEastAsia" w:hAnsiTheme="majorEastAsia" w:cstheme="majorEastAsia"/>
          <w:b/>
          <w:bCs/>
          <w:sz w:val="52"/>
          <w:szCs w:val="52"/>
        </w:rPr>
      </w:pPr>
      <w:r>
        <w:rPr>
          <w:rFonts w:asciiTheme="majorEastAsia" w:eastAsiaTheme="majorEastAsia" w:hAnsiTheme="majorEastAsia" w:cstheme="majorEastAsia" w:hint="eastAsia"/>
          <w:b/>
          <w:bCs/>
          <w:sz w:val="52"/>
          <w:szCs w:val="52"/>
        </w:rPr>
        <w:t>北京市交通委员会</w:t>
      </w:r>
    </w:p>
    <w:p w:rsidR="000400A0" w:rsidRDefault="00891D33">
      <w:pPr>
        <w:jc w:val="center"/>
        <w:rPr>
          <w:rFonts w:asciiTheme="majorEastAsia" w:eastAsiaTheme="majorEastAsia" w:hAnsiTheme="majorEastAsia" w:cstheme="majorEastAsia"/>
          <w:b/>
          <w:bCs/>
          <w:sz w:val="52"/>
          <w:szCs w:val="52"/>
        </w:rPr>
      </w:pPr>
      <w:r>
        <w:rPr>
          <w:rFonts w:asciiTheme="majorEastAsia" w:eastAsiaTheme="majorEastAsia" w:hAnsiTheme="majorEastAsia" w:cstheme="majorEastAsia" w:hint="eastAsia"/>
          <w:b/>
          <w:bCs/>
          <w:sz w:val="52"/>
          <w:szCs w:val="52"/>
        </w:rPr>
        <w:t>2021年度部门整体绩效评价报告</w:t>
      </w:r>
    </w:p>
    <w:p w:rsidR="000400A0" w:rsidRDefault="000400A0">
      <w:pPr>
        <w:pStyle w:val="a3"/>
      </w:pPr>
    </w:p>
    <w:p w:rsidR="000400A0" w:rsidRDefault="000400A0">
      <w:pPr>
        <w:pStyle w:val="a3"/>
      </w:pPr>
    </w:p>
    <w:p w:rsidR="000400A0" w:rsidRDefault="000400A0">
      <w:pPr>
        <w:jc w:val="center"/>
        <w:rPr>
          <w:rFonts w:eastAsia="黑体"/>
          <w:sz w:val="32"/>
          <w:szCs w:val="32"/>
        </w:rPr>
      </w:pPr>
    </w:p>
    <w:p w:rsidR="000400A0" w:rsidRDefault="000400A0" w:rsidP="00AD262D">
      <w:pPr>
        <w:spacing w:line="340" w:lineRule="exact"/>
        <w:ind w:firstLineChars="293" w:firstLine="938"/>
        <w:jc w:val="left"/>
        <w:rPr>
          <w:rFonts w:asciiTheme="minorEastAsia" w:eastAsiaTheme="minorEastAsia" w:hAnsiTheme="minorEastAsia" w:cstheme="minorEastAsia"/>
          <w:sz w:val="32"/>
          <w:szCs w:val="32"/>
        </w:rPr>
      </w:pPr>
    </w:p>
    <w:p w:rsidR="000400A0" w:rsidRDefault="000400A0" w:rsidP="00AD262D">
      <w:pPr>
        <w:spacing w:line="340" w:lineRule="exact"/>
        <w:ind w:firstLineChars="293" w:firstLine="938"/>
        <w:jc w:val="left"/>
        <w:rPr>
          <w:rFonts w:asciiTheme="minorEastAsia" w:eastAsiaTheme="minorEastAsia" w:hAnsiTheme="minorEastAsia" w:cstheme="minorEastAsia"/>
          <w:sz w:val="32"/>
          <w:szCs w:val="32"/>
        </w:rPr>
      </w:pPr>
    </w:p>
    <w:p w:rsidR="000400A0" w:rsidRDefault="000400A0" w:rsidP="00AD262D">
      <w:pPr>
        <w:spacing w:line="340" w:lineRule="exact"/>
        <w:ind w:firstLineChars="293" w:firstLine="938"/>
        <w:jc w:val="left"/>
        <w:rPr>
          <w:rFonts w:asciiTheme="minorEastAsia" w:eastAsiaTheme="minorEastAsia" w:hAnsiTheme="minorEastAsia" w:cstheme="minorEastAsia"/>
          <w:sz w:val="32"/>
          <w:szCs w:val="32"/>
        </w:rPr>
      </w:pPr>
    </w:p>
    <w:p w:rsidR="000400A0" w:rsidRDefault="000400A0" w:rsidP="00AD262D">
      <w:pPr>
        <w:spacing w:line="340" w:lineRule="exact"/>
        <w:ind w:firstLineChars="293" w:firstLine="938"/>
        <w:jc w:val="left"/>
        <w:rPr>
          <w:rFonts w:asciiTheme="minorEastAsia" w:eastAsiaTheme="minorEastAsia" w:hAnsiTheme="minorEastAsia" w:cstheme="minorEastAsia"/>
          <w:sz w:val="32"/>
          <w:szCs w:val="32"/>
        </w:rPr>
      </w:pPr>
    </w:p>
    <w:p w:rsidR="000400A0" w:rsidRDefault="000400A0" w:rsidP="00AD262D">
      <w:pPr>
        <w:spacing w:line="340" w:lineRule="exact"/>
        <w:ind w:firstLineChars="293" w:firstLine="938"/>
        <w:jc w:val="left"/>
        <w:rPr>
          <w:rFonts w:asciiTheme="minorEastAsia" w:eastAsiaTheme="minorEastAsia" w:hAnsiTheme="minorEastAsia" w:cstheme="minorEastAsia"/>
          <w:sz w:val="32"/>
          <w:szCs w:val="32"/>
        </w:rPr>
      </w:pPr>
    </w:p>
    <w:p w:rsidR="000400A0" w:rsidRDefault="000400A0" w:rsidP="00AD262D">
      <w:pPr>
        <w:spacing w:line="340" w:lineRule="exact"/>
        <w:ind w:firstLineChars="293" w:firstLine="938"/>
        <w:jc w:val="left"/>
        <w:rPr>
          <w:rFonts w:asciiTheme="minorEastAsia" w:eastAsiaTheme="minorEastAsia" w:hAnsiTheme="minorEastAsia" w:cstheme="minorEastAsia"/>
          <w:sz w:val="32"/>
          <w:szCs w:val="32"/>
        </w:rPr>
      </w:pPr>
    </w:p>
    <w:p w:rsidR="000400A0" w:rsidRDefault="000400A0" w:rsidP="00AD262D">
      <w:pPr>
        <w:spacing w:line="340" w:lineRule="exact"/>
        <w:ind w:firstLineChars="293" w:firstLine="938"/>
        <w:jc w:val="left"/>
        <w:rPr>
          <w:rFonts w:asciiTheme="minorEastAsia" w:eastAsiaTheme="minorEastAsia" w:hAnsiTheme="minorEastAsia" w:cstheme="minorEastAsia"/>
          <w:sz w:val="32"/>
          <w:szCs w:val="32"/>
        </w:rPr>
      </w:pPr>
    </w:p>
    <w:p w:rsidR="000400A0" w:rsidRDefault="000400A0" w:rsidP="00AD262D">
      <w:pPr>
        <w:spacing w:line="340" w:lineRule="exact"/>
        <w:ind w:firstLineChars="293" w:firstLine="938"/>
        <w:jc w:val="left"/>
        <w:rPr>
          <w:rFonts w:asciiTheme="minorEastAsia" w:eastAsiaTheme="minorEastAsia" w:hAnsiTheme="minorEastAsia" w:cstheme="minorEastAsia"/>
          <w:sz w:val="32"/>
          <w:szCs w:val="32"/>
        </w:rPr>
      </w:pPr>
    </w:p>
    <w:p w:rsidR="000400A0" w:rsidRDefault="000400A0" w:rsidP="00AD262D">
      <w:pPr>
        <w:spacing w:line="340" w:lineRule="exact"/>
        <w:ind w:firstLineChars="293" w:firstLine="938"/>
        <w:jc w:val="left"/>
        <w:rPr>
          <w:rFonts w:asciiTheme="minorEastAsia" w:eastAsiaTheme="minorEastAsia" w:hAnsiTheme="minorEastAsia" w:cstheme="minorEastAsia"/>
          <w:sz w:val="32"/>
          <w:szCs w:val="32"/>
        </w:rPr>
      </w:pPr>
    </w:p>
    <w:p w:rsidR="000400A0" w:rsidRDefault="000400A0" w:rsidP="00AD262D">
      <w:pPr>
        <w:spacing w:line="340" w:lineRule="exact"/>
        <w:ind w:firstLineChars="293" w:firstLine="938"/>
        <w:jc w:val="left"/>
        <w:rPr>
          <w:rFonts w:asciiTheme="minorEastAsia" w:eastAsiaTheme="minorEastAsia" w:hAnsiTheme="minorEastAsia" w:cstheme="minorEastAsia"/>
          <w:sz w:val="32"/>
          <w:szCs w:val="32"/>
        </w:rPr>
      </w:pPr>
    </w:p>
    <w:p w:rsidR="000400A0" w:rsidRDefault="000400A0" w:rsidP="00AD262D">
      <w:pPr>
        <w:spacing w:line="340" w:lineRule="exact"/>
        <w:ind w:firstLineChars="293" w:firstLine="938"/>
        <w:jc w:val="left"/>
        <w:rPr>
          <w:rFonts w:asciiTheme="minorEastAsia" w:eastAsiaTheme="minorEastAsia" w:hAnsiTheme="minorEastAsia" w:cstheme="minorEastAsia"/>
          <w:sz w:val="32"/>
          <w:szCs w:val="32"/>
        </w:rPr>
      </w:pPr>
    </w:p>
    <w:p w:rsidR="000400A0" w:rsidRDefault="000400A0" w:rsidP="00AD262D">
      <w:pPr>
        <w:spacing w:line="340" w:lineRule="exact"/>
        <w:ind w:firstLineChars="293" w:firstLine="938"/>
        <w:jc w:val="left"/>
        <w:rPr>
          <w:rFonts w:asciiTheme="minorEastAsia" w:eastAsiaTheme="minorEastAsia" w:hAnsiTheme="minorEastAsia" w:cstheme="minorEastAsia"/>
          <w:sz w:val="32"/>
          <w:szCs w:val="32"/>
        </w:rPr>
      </w:pPr>
    </w:p>
    <w:p w:rsidR="007C15A5" w:rsidRDefault="007C15A5">
      <w:pPr>
        <w:jc w:val="center"/>
        <w:rPr>
          <w:rFonts w:ascii="黑体" w:eastAsia="黑体" w:hAnsi="黑体" w:cs="黑体"/>
          <w:sz w:val="36"/>
          <w:szCs w:val="36"/>
        </w:rPr>
        <w:sectPr w:rsidR="007C15A5">
          <w:footerReference w:type="default" r:id="rId9"/>
          <w:pgSz w:w="11906" w:h="16838"/>
          <w:pgMar w:top="1440" w:right="1800" w:bottom="1440" w:left="1800" w:header="851" w:footer="992" w:gutter="0"/>
          <w:pgNumType w:start="1"/>
          <w:cols w:space="425"/>
          <w:docGrid w:type="lines" w:linePitch="312"/>
        </w:sectPr>
      </w:pPr>
    </w:p>
    <w:p w:rsidR="000400A0" w:rsidRDefault="00891D33">
      <w:pPr>
        <w:jc w:val="center"/>
        <w:rPr>
          <w:rFonts w:ascii="黑体" w:eastAsia="黑体" w:hAnsi="黑体" w:cs="黑体"/>
          <w:sz w:val="36"/>
          <w:szCs w:val="36"/>
        </w:rPr>
      </w:pPr>
      <w:bookmarkStart w:id="0" w:name="_GoBack"/>
      <w:bookmarkEnd w:id="0"/>
      <w:r>
        <w:rPr>
          <w:rFonts w:ascii="黑体" w:eastAsia="黑体" w:hAnsi="黑体" w:cs="黑体" w:hint="eastAsia"/>
          <w:sz w:val="36"/>
          <w:szCs w:val="36"/>
        </w:rPr>
        <w:lastRenderedPageBreak/>
        <w:t>北京市交通委员会</w:t>
      </w:r>
    </w:p>
    <w:p w:rsidR="000400A0" w:rsidRDefault="00891D33">
      <w:pPr>
        <w:jc w:val="center"/>
        <w:rPr>
          <w:rFonts w:ascii="黑体" w:eastAsia="黑体" w:hAnsi="黑体" w:cs="黑体"/>
          <w:sz w:val="36"/>
          <w:szCs w:val="36"/>
        </w:rPr>
      </w:pPr>
      <w:r>
        <w:rPr>
          <w:rFonts w:ascii="黑体" w:eastAsia="黑体" w:hAnsi="黑体" w:cs="黑体" w:hint="eastAsia"/>
          <w:sz w:val="36"/>
          <w:szCs w:val="36"/>
        </w:rPr>
        <w:t>2021年度部门整体绩效评价报告</w:t>
      </w:r>
    </w:p>
    <w:p w:rsidR="000400A0" w:rsidRDefault="000400A0">
      <w:pPr>
        <w:jc w:val="center"/>
        <w:rPr>
          <w:rFonts w:ascii="仿宋_GB2312"/>
          <w:szCs w:val="30"/>
        </w:rPr>
      </w:pPr>
    </w:p>
    <w:p w:rsidR="000400A0" w:rsidRDefault="00891D33">
      <w:pPr>
        <w:pStyle w:val="1"/>
        <w:spacing w:before="0" w:after="0" w:line="360" w:lineRule="auto"/>
        <w:ind w:firstLineChars="200" w:firstLine="640"/>
        <w:rPr>
          <w:rFonts w:ascii="黑体" w:eastAsia="黑体" w:hAnsi="黑体" w:cs="黑体"/>
          <w:b w:val="0"/>
          <w:bCs/>
          <w:sz w:val="32"/>
          <w:szCs w:val="32"/>
        </w:rPr>
      </w:pPr>
      <w:bookmarkStart w:id="1" w:name="_Toc10176"/>
      <w:r>
        <w:rPr>
          <w:rFonts w:ascii="黑体" w:eastAsia="黑体" w:hAnsi="黑体" w:cs="黑体" w:hint="eastAsia"/>
          <w:b w:val="0"/>
          <w:bCs/>
          <w:sz w:val="32"/>
          <w:szCs w:val="32"/>
        </w:rPr>
        <w:t>一、部门概况</w:t>
      </w:r>
      <w:bookmarkEnd w:id="1"/>
    </w:p>
    <w:p w:rsidR="000400A0" w:rsidRDefault="00891D33">
      <w:pPr>
        <w:pStyle w:val="2"/>
        <w:spacing w:before="0" w:after="0" w:line="360" w:lineRule="auto"/>
        <w:ind w:firstLineChars="200" w:firstLine="640"/>
        <w:rPr>
          <w:rFonts w:ascii="楷体_GB2312" w:eastAsia="楷体_GB2312" w:hAnsi="楷体_GB2312" w:cs="楷体_GB2312"/>
          <w:b w:val="0"/>
          <w:bCs/>
        </w:rPr>
      </w:pPr>
      <w:bookmarkStart w:id="2" w:name="_Toc6273"/>
      <w:r>
        <w:rPr>
          <w:rFonts w:ascii="楷体_GB2312" w:eastAsia="楷体_GB2312" w:hAnsi="楷体_GB2312" w:cs="楷体_GB2312" w:hint="eastAsia"/>
          <w:b w:val="0"/>
          <w:bCs/>
        </w:rPr>
        <w:t>（一）机构设置及职责工作任务情况</w:t>
      </w:r>
      <w:bookmarkEnd w:id="2"/>
    </w:p>
    <w:p w:rsidR="000400A0" w:rsidRDefault="00891D33">
      <w:p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1.机构设置</w:t>
      </w:r>
    </w:p>
    <w:p w:rsidR="000400A0" w:rsidRDefault="00891D33">
      <w:p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北京市交通委员会（以下简称“市交通委”）根据《中共北京市委办公厅 北京市人民政府办公厅关于印发&lt;北京市交通委员会职能配置、内设机构和人员编制规定&gt;的通知》（京办字〔2019〕47号）等文件设立，是负责北京市城乡交通统筹发展、交通运输和交通基础设施综合管理的市政府组成部门。市交通委为一级预算部门，内设处室39个，部门预算共计37个单位。</w:t>
      </w:r>
    </w:p>
    <w:p w:rsidR="000400A0" w:rsidRDefault="00891D33">
      <w:p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截至2021年底，我委在职人员3080人，其中：行政人员1133人，参照公务员法管理事业人员902人，</w:t>
      </w:r>
      <w:proofErr w:type="gramStart"/>
      <w:r>
        <w:rPr>
          <w:rFonts w:ascii="仿宋_GB2312" w:eastAsia="仿宋_GB2312" w:hAnsi="仿宋_GB2312" w:cs="仿宋_GB2312" w:hint="eastAsia"/>
          <w:sz w:val="32"/>
          <w:szCs w:val="32"/>
        </w:rPr>
        <w:t>非参公事</w:t>
      </w:r>
      <w:proofErr w:type="gramEnd"/>
      <w:r>
        <w:rPr>
          <w:rFonts w:ascii="仿宋_GB2312" w:eastAsia="仿宋_GB2312" w:hAnsi="仿宋_GB2312" w:cs="仿宋_GB2312" w:hint="eastAsia"/>
          <w:sz w:val="32"/>
          <w:szCs w:val="32"/>
        </w:rPr>
        <w:t>业人员1045人；单位负担开支的离休人员24人，退休人员3人；由养老保险基金发放养老金的退休人员3471人。</w:t>
      </w:r>
    </w:p>
    <w:p w:rsidR="000400A0" w:rsidRDefault="00891D33">
      <w:p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2.部门主要职责及工作任务</w:t>
      </w:r>
    </w:p>
    <w:p w:rsidR="000400A0" w:rsidRDefault="00891D33">
      <w:pPr>
        <w:numPr>
          <w:ilvl w:val="0"/>
          <w:numId w:val="1"/>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贯彻落实国家关于交通运输方面的法律法规、规章和政策，起草本市相关地方性法规草案、政府规章草案和政策措施，并组织实施。拟订交通运输发展战略，对交通运输行业改革与发展中的重大问题进行调查研究，并提出对策建议。</w:t>
      </w:r>
      <w:r>
        <w:rPr>
          <w:rFonts w:ascii="仿宋_GB2312" w:eastAsia="仿宋_GB2312" w:hAnsi="仿宋_GB2312" w:cs="仿宋_GB2312" w:hint="eastAsia"/>
          <w:sz w:val="32"/>
          <w:szCs w:val="32"/>
        </w:rPr>
        <w:br/>
      </w:r>
      <w:r>
        <w:rPr>
          <w:rFonts w:ascii="仿宋_GB2312" w:eastAsia="仿宋_GB2312" w:hAnsi="仿宋_GB2312" w:cs="仿宋_GB2312" w:hint="eastAsia"/>
          <w:sz w:val="32"/>
          <w:szCs w:val="32"/>
        </w:rPr>
        <w:lastRenderedPageBreak/>
        <w:t xml:space="preserve">　　（2）组织编制本市交通基础设施建设和交通运输行业的中长期发展规划。参与编制综合交通规划、交通专项规划、城市轨道交通建设规划及相关规划实施的评估工作。负责大型城建项目交通影响评价的审核。负责市管道路建设项目规划设计方案中交通内容的审查。参与市级交通基础设施建设项目初步设计的审查。统筹推进重大交通基础设施建设，会同相关部门建立交通基础设施建设项目库。</w:t>
      </w:r>
      <w:r>
        <w:rPr>
          <w:rFonts w:ascii="仿宋_GB2312" w:eastAsia="仿宋_GB2312" w:hAnsi="仿宋_GB2312" w:cs="仿宋_GB2312" w:hint="eastAsia"/>
          <w:sz w:val="32"/>
          <w:szCs w:val="32"/>
        </w:rPr>
        <w:br/>
        <w:t xml:space="preserve">　　（3）组织编制市级交通基础设施建设项目前期工作建议计划和年度建设建议计划。组织编制交通基础设施维修养护以及交通运输行业年度计划，并组织实施和监督管理。负责提出交通基础设施建设和维修养护财政性资金安排意见。参与交通发展建设投融资政策的研究和实施。负责城市轨道交通和其他公共交通特许经营项目的具体实施和监督管理工作。提出交通运输行业收费政策及标准的建议。</w:t>
      </w:r>
      <w:r>
        <w:rPr>
          <w:rFonts w:ascii="仿宋_GB2312" w:eastAsia="仿宋_GB2312" w:hAnsi="仿宋_GB2312" w:cs="仿宋_GB2312" w:hint="eastAsia"/>
          <w:sz w:val="32"/>
          <w:szCs w:val="32"/>
        </w:rPr>
        <w:br/>
        <w:t xml:space="preserve">　　（4）负责推进区域交通一体化协同发展。负责本行政区域内铁路、民航和邮政等综合运输的协调工作。组织拟订各类重点交通运输服务保障方案，并监督实施。参与编制现代物流业发展战略和规划，并提出有关政策和标准建议。</w:t>
      </w:r>
      <w:r>
        <w:rPr>
          <w:rFonts w:ascii="仿宋_GB2312" w:eastAsia="仿宋_GB2312" w:hAnsi="仿宋_GB2312" w:cs="仿宋_GB2312" w:hint="eastAsia"/>
          <w:sz w:val="32"/>
          <w:szCs w:val="32"/>
        </w:rPr>
        <w:br/>
        <w:t xml:space="preserve">　　（5）负责本市交通基础设施的监督管理和交通运输业的行业管理，拟订有关政策和标准。负责公路建设市场和道路、水路运输市场监督管理，协调推进交通运输产业发展。负责交通运输行业的行政许可和信用体系建设工作。指导交</w:t>
      </w:r>
      <w:r>
        <w:rPr>
          <w:rFonts w:ascii="仿宋_GB2312" w:eastAsia="仿宋_GB2312" w:hAnsi="仿宋_GB2312" w:cs="仿宋_GB2312" w:hint="eastAsia"/>
          <w:sz w:val="32"/>
          <w:szCs w:val="32"/>
        </w:rPr>
        <w:lastRenderedPageBreak/>
        <w:t>通运输行业节能减排工作。</w:t>
      </w:r>
      <w:r>
        <w:rPr>
          <w:rFonts w:ascii="仿宋_GB2312" w:eastAsia="仿宋_GB2312" w:hAnsi="仿宋_GB2312" w:cs="仿宋_GB2312" w:hint="eastAsia"/>
          <w:sz w:val="32"/>
          <w:szCs w:val="32"/>
        </w:rPr>
        <w:br/>
        <w:t xml:space="preserve">　　（6）负责本市交通基础设施和交通运输行业安全生产的监督管理。负责交通运输安全应急方面的组织协调，协助有关部门调查处理交通运输行业重大安全事故。负责重大突发事件中的运输组织和交通设施保障。负责铁路监护道口安全的管理工作。承担北京市交通安全应急指挥部的具体工作。</w:t>
      </w:r>
      <w:r>
        <w:rPr>
          <w:rFonts w:ascii="仿宋_GB2312" w:eastAsia="仿宋_GB2312" w:hAnsi="仿宋_GB2312" w:cs="仿宋_GB2312" w:hint="eastAsia"/>
          <w:sz w:val="32"/>
          <w:szCs w:val="32"/>
        </w:rPr>
        <w:br/>
        <w:t xml:space="preserve">　　（7）负责组织协调本市交通综合治理工作。负责统筹停车管理工作，负责互联网租赁自行车的行业管理。</w:t>
      </w:r>
      <w:r>
        <w:rPr>
          <w:rFonts w:ascii="仿宋_GB2312" w:eastAsia="仿宋_GB2312" w:hAnsi="仿宋_GB2312" w:cs="仿宋_GB2312" w:hint="eastAsia"/>
          <w:sz w:val="32"/>
          <w:szCs w:val="32"/>
        </w:rPr>
        <w:br/>
        <w:t xml:space="preserve">　　（8）负责本市地方海事工作。</w:t>
      </w:r>
      <w:r>
        <w:rPr>
          <w:rFonts w:ascii="仿宋_GB2312" w:eastAsia="仿宋_GB2312" w:hAnsi="仿宋_GB2312" w:cs="仿宋_GB2312" w:hint="eastAsia"/>
          <w:sz w:val="32"/>
          <w:szCs w:val="32"/>
        </w:rPr>
        <w:br/>
        <w:t xml:space="preserve">　　（9）制定本市交通运输科技和智能交通发展规划、年度计划、政策。组织指导交通运输信息化建设，推动智能交通系统建设。组织指导重大交通科技项目立项、研究、开发和成果推广、应用工作。</w:t>
      </w:r>
      <w:r>
        <w:rPr>
          <w:rFonts w:ascii="仿宋_GB2312" w:eastAsia="仿宋_GB2312" w:hAnsi="仿宋_GB2312" w:cs="仿宋_GB2312" w:hint="eastAsia"/>
          <w:sz w:val="32"/>
          <w:szCs w:val="32"/>
        </w:rPr>
        <w:br/>
        <w:t xml:space="preserve">　　（10）负责本市交通运输行业的宣传教育工作，组织开展交通运输行业精神文明建设工作。负责交通运输行业对外交流与合作。</w:t>
      </w:r>
      <w:r>
        <w:rPr>
          <w:rFonts w:ascii="仿宋_GB2312" w:eastAsia="仿宋_GB2312" w:hAnsi="仿宋_GB2312" w:cs="仿宋_GB2312" w:hint="eastAsia"/>
          <w:sz w:val="32"/>
          <w:szCs w:val="32"/>
        </w:rPr>
        <w:br/>
        <w:t xml:space="preserve">　　（11）指导本市交通运输综合执法工作。</w:t>
      </w:r>
      <w:r>
        <w:rPr>
          <w:rFonts w:ascii="仿宋_GB2312" w:eastAsia="仿宋_GB2312" w:hAnsi="仿宋_GB2312" w:cs="仿宋_GB2312" w:hint="eastAsia"/>
          <w:sz w:val="32"/>
          <w:szCs w:val="32"/>
        </w:rPr>
        <w:br/>
        <w:t xml:space="preserve">　　（12）指导、协调和监督各区的交通运输工作。</w:t>
      </w:r>
      <w:r>
        <w:rPr>
          <w:rFonts w:ascii="仿宋_GB2312" w:eastAsia="仿宋_GB2312" w:hAnsi="仿宋_GB2312" w:cs="仿宋_GB2312" w:hint="eastAsia"/>
          <w:sz w:val="32"/>
          <w:szCs w:val="32"/>
        </w:rPr>
        <w:br/>
        <w:t xml:space="preserve">　　（13）承担北京市国防动员委员会交通战备办公室工作。</w:t>
      </w:r>
      <w:r>
        <w:rPr>
          <w:rFonts w:ascii="仿宋_GB2312" w:eastAsia="仿宋_GB2312" w:hAnsi="仿宋_GB2312" w:cs="仿宋_GB2312" w:hint="eastAsia"/>
          <w:sz w:val="32"/>
          <w:szCs w:val="32"/>
        </w:rPr>
        <w:br/>
        <w:t xml:space="preserve">　　（14）完成市委、市政府交办的其他任务。</w:t>
      </w:r>
    </w:p>
    <w:p w:rsidR="000400A0" w:rsidRDefault="00891D33">
      <w:pPr>
        <w:pStyle w:val="2"/>
        <w:spacing w:before="0" w:after="0" w:line="360" w:lineRule="auto"/>
        <w:ind w:firstLineChars="200" w:firstLine="640"/>
        <w:rPr>
          <w:rFonts w:ascii="楷体_GB2312" w:eastAsia="楷体_GB2312" w:hAnsi="楷体_GB2312" w:cs="楷体_GB2312"/>
          <w:b w:val="0"/>
          <w:bCs/>
        </w:rPr>
      </w:pPr>
      <w:bookmarkStart w:id="3" w:name="_Toc12401"/>
      <w:r>
        <w:rPr>
          <w:rFonts w:ascii="楷体_GB2312" w:eastAsia="楷体_GB2312" w:hAnsi="楷体_GB2312" w:cs="楷体_GB2312" w:hint="eastAsia"/>
          <w:b w:val="0"/>
          <w:bCs/>
        </w:rPr>
        <w:t>（二）部门整体绩效目标设立情况</w:t>
      </w:r>
      <w:bookmarkEnd w:id="3"/>
    </w:p>
    <w:p w:rsidR="000400A0" w:rsidRDefault="00891D33">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市交通</w:t>
      </w:r>
      <w:proofErr w:type="gramStart"/>
      <w:r>
        <w:rPr>
          <w:rFonts w:ascii="仿宋_GB2312" w:eastAsia="仿宋_GB2312" w:hAnsi="仿宋_GB2312" w:cs="仿宋_GB2312" w:hint="eastAsia"/>
          <w:sz w:val="32"/>
          <w:szCs w:val="32"/>
        </w:rPr>
        <w:t>委部门</w:t>
      </w:r>
      <w:proofErr w:type="gramEnd"/>
      <w:r>
        <w:rPr>
          <w:rFonts w:ascii="仿宋_GB2312" w:eastAsia="仿宋_GB2312" w:hAnsi="仿宋_GB2312" w:cs="仿宋_GB2312" w:hint="eastAsia"/>
          <w:sz w:val="32"/>
          <w:szCs w:val="32"/>
        </w:rPr>
        <w:t>整体绩效目标，依据《北京城市总体规划</w:t>
      </w:r>
      <w:r>
        <w:rPr>
          <w:rFonts w:ascii="仿宋_GB2312" w:eastAsia="仿宋_GB2312" w:hAnsi="仿宋_GB2312" w:cs="仿宋_GB2312" w:hint="eastAsia"/>
          <w:sz w:val="32"/>
          <w:szCs w:val="32"/>
        </w:rPr>
        <w:lastRenderedPageBreak/>
        <w:t>（2016-2035年）》《北京市“十四五”时期交通发展建设规划》、市委市政府和交通运输部下达的年度重点任务，结合市交通委的交通建设、养护、管理、执法等职责而设置，依据充分、合理。</w:t>
      </w:r>
    </w:p>
    <w:p w:rsidR="000400A0" w:rsidRDefault="00891D33">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市交通委的部门整体绩效目标，涵盖了交通法规与标准规范体系建设，交通基础设施建设与养护，公交、停车、省际客运、旅游车、货运、机动车维修、汽车租赁等行业管理，交通行业综合执法，交通科技与节能减排等方面，全面体现了市委、市政府</w:t>
      </w:r>
      <w:proofErr w:type="gramStart"/>
      <w:r>
        <w:rPr>
          <w:rFonts w:ascii="仿宋_GB2312" w:eastAsia="仿宋_GB2312" w:hAnsi="仿宋_GB2312" w:cs="仿宋_GB2312" w:hint="eastAsia"/>
          <w:sz w:val="32"/>
          <w:szCs w:val="32"/>
        </w:rPr>
        <w:t>赋予市</w:t>
      </w:r>
      <w:proofErr w:type="gramEnd"/>
      <w:r>
        <w:rPr>
          <w:rFonts w:ascii="仿宋_GB2312" w:eastAsia="仿宋_GB2312" w:hAnsi="仿宋_GB2312" w:cs="仿宋_GB2312" w:hint="eastAsia"/>
          <w:sz w:val="32"/>
          <w:szCs w:val="32"/>
        </w:rPr>
        <w:t>交通委的各项职责，而且突出“</w:t>
      </w:r>
      <w:proofErr w:type="gramStart"/>
      <w:r>
        <w:rPr>
          <w:rFonts w:ascii="仿宋_GB2312" w:eastAsia="仿宋_GB2312" w:hAnsi="仿宋_GB2312" w:cs="仿宋_GB2312" w:hint="eastAsia"/>
          <w:sz w:val="32"/>
          <w:szCs w:val="32"/>
        </w:rPr>
        <w:t>规</w:t>
      </w:r>
      <w:proofErr w:type="gramEnd"/>
      <w:r>
        <w:rPr>
          <w:rFonts w:ascii="仿宋_GB2312" w:eastAsia="仿宋_GB2312" w:hAnsi="仿宋_GB2312" w:cs="仿宋_GB2312" w:hint="eastAsia"/>
          <w:sz w:val="32"/>
          <w:szCs w:val="32"/>
        </w:rPr>
        <w:t>、建、管、限”等重点工作，绩效目标与市交通委的职责、任务良好匹配。部门整体绩效目标涵盖全面、重点突出，并从数量、质量、进度、成本等多方面设定，目标设定合理。</w:t>
      </w:r>
    </w:p>
    <w:p w:rsidR="000400A0" w:rsidRDefault="00891D33">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具体绩效目标如下：</w:t>
      </w:r>
    </w:p>
    <w:p w:rsidR="000400A0" w:rsidRDefault="00891D33">
      <w:pPr>
        <w:spacing w:line="600" w:lineRule="exact"/>
        <w:ind w:firstLineChars="200" w:firstLine="643"/>
        <w:rPr>
          <w:rFonts w:ascii="仿宋_GB2312" w:eastAsia="仿宋_GB2312" w:hAnsi="仿宋_GB2312" w:cs="仿宋_GB2312"/>
          <w:b/>
          <w:bCs/>
          <w:sz w:val="32"/>
          <w:szCs w:val="32"/>
        </w:rPr>
      </w:pPr>
      <w:r>
        <w:rPr>
          <w:rFonts w:ascii="仿宋_GB2312" w:eastAsia="仿宋_GB2312" w:hAnsi="宋体" w:cs="宋体"/>
          <w:b/>
          <w:bCs/>
          <w:color w:val="000000"/>
          <w:kern w:val="0"/>
          <w:sz w:val="32"/>
          <w:szCs w:val="32"/>
        </w:rPr>
        <w:t>1.</w:t>
      </w:r>
      <w:r>
        <w:rPr>
          <w:rFonts w:ascii="仿宋_GB2312" w:eastAsia="仿宋_GB2312" w:hAnsi="仿宋_GB2312" w:cs="仿宋_GB2312" w:hint="eastAsia"/>
          <w:b/>
          <w:bCs/>
          <w:sz w:val="32"/>
          <w:szCs w:val="32"/>
        </w:rPr>
        <w:t>部门整体支出年度目标</w:t>
      </w:r>
    </w:p>
    <w:p w:rsidR="000400A0" w:rsidRDefault="00891D33">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sz w:val="32"/>
          <w:szCs w:val="32"/>
        </w:rPr>
        <w:t>021</w:t>
      </w:r>
      <w:r>
        <w:rPr>
          <w:rFonts w:ascii="仿宋_GB2312" w:eastAsia="仿宋_GB2312" w:hAnsi="仿宋_GB2312" w:cs="仿宋_GB2312" w:hint="eastAsia"/>
          <w:sz w:val="32"/>
          <w:szCs w:val="32"/>
        </w:rPr>
        <w:t>年市交通</w:t>
      </w:r>
      <w:proofErr w:type="gramStart"/>
      <w:r>
        <w:rPr>
          <w:rFonts w:ascii="仿宋_GB2312" w:eastAsia="仿宋_GB2312" w:hAnsi="仿宋_GB2312" w:cs="仿宋_GB2312" w:hint="eastAsia"/>
          <w:sz w:val="32"/>
          <w:szCs w:val="32"/>
        </w:rPr>
        <w:t>委部门</w:t>
      </w:r>
      <w:proofErr w:type="gramEnd"/>
      <w:r>
        <w:rPr>
          <w:rFonts w:ascii="仿宋_GB2312" w:eastAsia="仿宋_GB2312" w:hAnsi="仿宋_GB2312" w:cs="仿宋_GB2312" w:hint="eastAsia"/>
          <w:sz w:val="32"/>
          <w:szCs w:val="32"/>
        </w:rPr>
        <w:t>整体支出总目标分为五个方面，分别为：一是完成市委市政府实事、折子工程等重点工作；二是健全交通运输行业法律法规及标准规范体系，做好本市交通运输行业行政许可和备案工作，行业管理水平得到进一步提升；三是完善地面公交网络，提高轨道交通安全运营水平，提升公共交通服务保障能力，提高绿色出行比例，推动停车、省际、旅游、货运、机动车维修、汽车租赁等行业健康发展；四是及时公正地查处交通运输行业违法违章，加强行业自律，严厉打击拒载、议价、多收费等严重违章行为，规范行业服</w:t>
      </w:r>
      <w:r>
        <w:rPr>
          <w:rFonts w:ascii="仿宋_GB2312" w:eastAsia="仿宋_GB2312" w:hAnsi="仿宋_GB2312" w:cs="仿宋_GB2312" w:hint="eastAsia"/>
          <w:sz w:val="32"/>
          <w:szCs w:val="32"/>
        </w:rPr>
        <w:lastRenderedPageBreak/>
        <w:t>务；五是完善行业科技创新体系，不断提升行业服务管理信息化水平，推进行业节能减排工作。</w:t>
      </w:r>
    </w:p>
    <w:p w:rsidR="000400A0" w:rsidRDefault="00891D33">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w:t>
      </w:r>
      <w:r>
        <w:rPr>
          <w:rFonts w:ascii="仿宋_GB2312" w:eastAsia="仿宋_GB2312" w:hAnsi="仿宋_GB2312" w:cs="仿宋_GB2312"/>
          <w:b/>
          <w:bCs/>
          <w:sz w:val="32"/>
          <w:szCs w:val="32"/>
        </w:rPr>
        <w:t>.</w:t>
      </w:r>
      <w:r>
        <w:rPr>
          <w:rFonts w:ascii="仿宋_GB2312" w:eastAsia="仿宋_GB2312" w:hAnsi="仿宋_GB2312" w:cs="仿宋_GB2312" w:hint="eastAsia"/>
          <w:b/>
          <w:bCs/>
          <w:sz w:val="32"/>
          <w:szCs w:val="32"/>
        </w:rPr>
        <w:t>部门整体支出绩效指标</w:t>
      </w:r>
    </w:p>
    <w:p w:rsidR="000400A0" w:rsidRDefault="00891D33">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sz w:val="32"/>
          <w:szCs w:val="32"/>
        </w:rPr>
        <w:t>021</w:t>
      </w:r>
      <w:r>
        <w:rPr>
          <w:rFonts w:ascii="仿宋_GB2312" w:eastAsia="仿宋_GB2312" w:hAnsi="仿宋_GB2312" w:cs="仿宋_GB2312" w:hint="eastAsia"/>
          <w:sz w:val="32"/>
          <w:szCs w:val="32"/>
        </w:rPr>
        <w:t>年市交通委根据年度总体目标分解设置了具体指标，详见下表。</w:t>
      </w:r>
    </w:p>
    <w:tbl>
      <w:tblPr>
        <w:tblW w:w="5000" w:type="pct"/>
        <w:tblLook w:val="04A0" w:firstRow="1" w:lastRow="0" w:firstColumn="1" w:lastColumn="0" w:noHBand="0" w:noVBand="1"/>
      </w:tblPr>
      <w:tblGrid>
        <w:gridCol w:w="857"/>
        <w:gridCol w:w="1715"/>
        <w:gridCol w:w="5950"/>
      </w:tblGrid>
      <w:tr w:rsidR="000400A0">
        <w:trPr>
          <w:trHeight w:val="615"/>
        </w:trPr>
        <w:tc>
          <w:tcPr>
            <w:tcW w:w="50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400A0" w:rsidRDefault="00891D33">
            <w:pPr>
              <w:widowControl/>
              <w:jc w:val="center"/>
              <w:rPr>
                <w:rFonts w:ascii="宋体" w:hAnsi="宋体" w:cs="Arial"/>
                <w:b/>
                <w:bCs/>
                <w:kern w:val="0"/>
                <w:sz w:val="20"/>
                <w:szCs w:val="20"/>
              </w:rPr>
            </w:pPr>
            <w:r>
              <w:rPr>
                <w:rFonts w:ascii="宋体" w:hAnsi="宋体" w:cs="Arial" w:hint="eastAsia"/>
                <w:b/>
                <w:bCs/>
                <w:kern w:val="0"/>
                <w:sz w:val="20"/>
                <w:szCs w:val="20"/>
              </w:rPr>
              <w:t>绩效指标</w:t>
            </w:r>
          </w:p>
        </w:tc>
        <w:tc>
          <w:tcPr>
            <w:tcW w:w="1006" w:type="pct"/>
            <w:tcBorders>
              <w:top w:val="single" w:sz="4" w:space="0" w:color="auto"/>
              <w:left w:val="nil"/>
              <w:bottom w:val="single" w:sz="4" w:space="0" w:color="auto"/>
              <w:right w:val="single" w:sz="4" w:space="0" w:color="auto"/>
            </w:tcBorders>
            <w:shd w:val="clear" w:color="auto" w:fill="auto"/>
            <w:vAlign w:val="center"/>
          </w:tcPr>
          <w:p w:rsidR="000400A0" w:rsidRDefault="00891D33">
            <w:pPr>
              <w:widowControl/>
              <w:jc w:val="center"/>
              <w:rPr>
                <w:rFonts w:ascii="宋体" w:hAnsi="宋体" w:cs="Arial"/>
                <w:b/>
                <w:bCs/>
                <w:kern w:val="0"/>
                <w:sz w:val="20"/>
                <w:szCs w:val="20"/>
              </w:rPr>
            </w:pPr>
            <w:r>
              <w:rPr>
                <w:rFonts w:ascii="宋体" w:hAnsi="宋体" w:cs="Arial" w:hint="eastAsia"/>
                <w:b/>
                <w:bCs/>
                <w:kern w:val="0"/>
                <w:sz w:val="20"/>
                <w:szCs w:val="20"/>
              </w:rPr>
              <w:t>指标名称</w:t>
            </w:r>
          </w:p>
        </w:tc>
        <w:tc>
          <w:tcPr>
            <w:tcW w:w="3491" w:type="pct"/>
            <w:tcBorders>
              <w:top w:val="single" w:sz="4" w:space="0" w:color="auto"/>
              <w:left w:val="nil"/>
              <w:bottom w:val="single" w:sz="4" w:space="0" w:color="auto"/>
              <w:right w:val="single" w:sz="4" w:space="0" w:color="auto"/>
            </w:tcBorders>
            <w:shd w:val="clear" w:color="auto" w:fill="auto"/>
            <w:vAlign w:val="center"/>
          </w:tcPr>
          <w:p w:rsidR="000400A0" w:rsidRDefault="00891D33">
            <w:pPr>
              <w:widowControl/>
              <w:jc w:val="center"/>
              <w:rPr>
                <w:rFonts w:ascii="宋体" w:hAnsi="宋体" w:cs="Arial"/>
                <w:b/>
                <w:bCs/>
                <w:kern w:val="0"/>
                <w:sz w:val="20"/>
                <w:szCs w:val="20"/>
              </w:rPr>
            </w:pPr>
            <w:r>
              <w:rPr>
                <w:rFonts w:ascii="宋体" w:hAnsi="宋体" w:cs="Arial" w:hint="eastAsia"/>
                <w:b/>
                <w:bCs/>
                <w:kern w:val="0"/>
                <w:sz w:val="20"/>
                <w:szCs w:val="20"/>
              </w:rPr>
              <w:t>指标内容和指标值</w:t>
            </w:r>
          </w:p>
        </w:tc>
      </w:tr>
      <w:tr w:rsidR="000400A0">
        <w:trPr>
          <w:trHeight w:val="615"/>
        </w:trPr>
        <w:tc>
          <w:tcPr>
            <w:tcW w:w="503" w:type="pct"/>
            <w:vMerge/>
            <w:tcBorders>
              <w:top w:val="single" w:sz="4" w:space="0" w:color="auto"/>
              <w:left w:val="single" w:sz="4" w:space="0" w:color="auto"/>
              <w:bottom w:val="single" w:sz="4" w:space="0" w:color="auto"/>
              <w:right w:val="single" w:sz="4" w:space="0" w:color="auto"/>
            </w:tcBorders>
            <w:vAlign w:val="center"/>
          </w:tcPr>
          <w:p w:rsidR="000400A0" w:rsidRDefault="000400A0">
            <w:pPr>
              <w:widowControl/>
              <w:jc w:val="left"/>
              <w:rPr>
                <w:rFonts w:ascii="宋体" w:hAnsi="宋体" w:cs="Arial"/>
                <w:b/>
                <w:bCs/>
                <w:kern w:val="0"/>
                <w:sz w:val="20"/>
                <w:szCs w:val="20"/>
              </w:rPr>
            </w:pPr>
          </w:p>
        </w:tc>
        <w:tc>
          <w:tcPr>
            <w:tcW w:w="1006" w:type="pct"/>
            <w:tcBorders>
              <w:top w:val="nil"/>
              <w:left w:val="nil"/>
              <w:bottom w:val="single" w:sz="4" w:space="0" w:color="auto"/>
              <w:right w:val="single" w:sz="4" w:space="0" w:color="auto"/>
            </w:tcBorders>
            <w:shd w:val="clear" w:color="auto" w:fill="auto"/>
            <w:vAlign w:val="center"/>
          </w:tcPr>
          <w:p w:rsidR="000400A0" w:rsidRDefault="00891D33">
            <w:pPr>
              <w:widowControl/>
              <w:jc w:val="center"/>
              <w:rPr>
                <w:rFonts w:ascii="宋体" w:hAnsi="宋体" w:cs="Arial"/>
                <w:color w:val="000000"/>
                <w:kern w:val="0"/>
                <w:sz w:val="18"/>
                <w:szCs w:val="18"/>
              </w:rPr>
            </w:pPr>
            <w:r>
              <w:rPr>
                <w:rFonts w:ascii="宋体" w:hAnsi="宋体" w:cs="Arial" w:hint="eastAsia"/>
                <w:color w:val="000000"/>
                <w:kern w:val="0"/>
                <w:sz w:val="18"/>
                <w:szCs w:val="18"/>
              </w:rPr>
              <w:t>绩效指标</w:t>
            </w:r>
            <w:proofErr w:type="gramStart"/>
            <w:r>
              <w:rPr>
                <w:rFonts w:ascii="宋体" w:hAnsi="宋体" w:cs="Arial" w:hint="eastAsia"/>
                <w:color w:val="000000"/>
                <w:kern w:val="0"/>
                <w:sz w:val="18"/>
                <w:szCs w:val="18"/>
              </w:rPr>
              <w:t>一</w:t>
            </w:r>
            <w:proofErr w:type="gramEnd"/>
          </w:p>
        </w:tc>
        <w:tc>
          <w:tcPr>
            <w:tcW w:w="3491" w:type="pct"/>
            <w:tcBorders>
              <w:top w:val="nil"/>
              <w:left w:val="nil"/>
              <w:bottom w:val="single" w:sz="4" w:space="0" w:color="auto"/>
              <w:right w:val="single" w:sz="4" w:space="0" w:color="auto"/>
            </w:tcBorders>
            <w:shd w:val="clear" w:color="auto" w:fill="auto"/>
            <w:vAlign w:val="center"/>
          </w:tcPr>
          <w:p w:rsidR="000400A0" w:rsidRDefault="00891D33">
            <w:pPr>
              <w:widowControl/>
              <w:jc w:val="left"/>
              <w:rPr>
                <w:rFonts w:ascii="宋体" w:hAnsi="宋体" w:cs="Arial"/>
                <w:color w:val="000000"/>
                <w:kern w:val="0"/>
                <w:sz w:val="18"/>
                <w:szCs w:val="18"/>
              </w:rPr>
            </w:pPr>
            <w:r>
              <w:rPr>
                <w:rFonts w:ascii="宋体" w:hAnsi="宋体" w:cs="Arial" w:hint="eastAsia"/>
                <w:color w:val="000000"/>
                <w:kern w:val="0"/>
                <w:sz w:val="18"/>
                <w:szCs w:val="18"/>
              </w:rPr>
              <w:t>按时完成市委市政府实事、折子工程等重点工作</w:t>
            </w:r>
          </w:p>
        </w:tc>
      </w:tr>
      <w:tr w:rsidR="000400A0">
        <w:trPr>
          <w:trHeight w:val="615"/>
        </w:trPr>
        <w:tc>
          <w:tcPr>
            <w:tcW w:w="503" w:type="pct"/>
            <w:vMerge/>
            <w:tcBorders>
              <w:top w:val="single" w:sz="4" w:space="0" w:color="auto"/>
              <w:left w:val="single" w:sz="4" w:space="0" w:color="auto"/>
              <w:bottom w:val="single" w:sz="4" w:space="0" w:color="auto"/>
              <w:right w:val="single" w:sz="4" w:space="0" w:color="auto"/>
            </w:tcBorders>
            <w:vAlign w:val="center"/>
          </w:tcPr>
          <w:p w:rsidR="000400A0" w:rsidRDefault="000400A0">
            <w:pPr>
              <w:widowControl/>
              <w:jc w:val="left"/>
              <w:rPr>
                <w:rFonts w:ascii="宋体" w:hAnsi="宋体" w:cs="Arial"/>
                <w:b/>
                <w:bCs/>
                <w:kern w:val="0"/>
                <w:sz w:val="20"/>
                <w:szCs w:val="20"/>
              </w:rPr>
            </w:pPr>
          </w:p>
        </w:tc>
        <w:tc>
          <w:tcPr>
            <w:tcW w:w="1006" w:type="pct"/>
            <w:tcBorders>
              <w:top w:val="nil"/>
              <w:left w:val="nil"/>
              <w:bottom w:val="single" w:sz="4" w:space="0" w:color="auto"/>
              <w:right w:val="single" w:sz="4" w:space="0" w:color="auto"/>
            </w:tcBorders>
            <w:shd w:val="clear" w:color="auto" w:fill="auto"/>
            <w:vAlign w:val="center"/>
          </w:tcPr>
          <w:p w:rsidR="000400A0" w:rsidRDefault="00891D33">
            <w:pPr>
              <w:widowControl/>
              <w:jc w:val="center"/>
              <w:rPr>
                <w:rFonts w:ascii="宋体" w:hAnsi="宋体" w:cs="Arial"/>
                <w:color w:val="000000"/>
                <w:kern w:val="0"/>
                <w:sz w:val="18"/>
                <w:szCs w:val="18"/>
              </w:rPr>
            </w:pPr>
            <w:r>
              <w:rPr>
                <w:rFonts w:ascii="宋体" w:hAnsi="宋体" w:cs="Arial" w:hint="eastAsia"/>
                <w:color w:val="000000"/>
                <w:kern w:val="0"/>
                <w:sz w:val="18"/>
                <w:szCs w:val="18"/>
              </w:rPr>
              <w:t>绩效指标二</w:t>
            </w:r>
          </w:p>
        </w:tc>
        <w:tc>
          <w:tcPr>
            <w:tcW w:w="3491" w:type="pct"/>
            <w:tcBorders>
              <w:top w:val="nil"/>
              <w:left w:val="nil"/>
              <w:bottom w:val="single" w:sz="4" w:space="0" w:color="auto"/>
              <w:right w:val="single" w:sz="4" w:space="0" w:color="auto"/>
            </w:tcBorders>
            <w:shd w:val="clear" w:color="auto" w:fill="auto"/>
            <w:vAlign w:val="center"/>
          </w:tcPr>
          <w:p w:rsidR="000400A0" w:rsidRDefault="00891D33">
            <w:pPr>
              <w:widowControl/>
              <w:jc w:val="left"/>
              <w:rPr>
                <w:rFonts w:ascii="宋体" w:hAnsi="宋体" w:cs="Arial"/>
                <w:color w:val="000000"/>
                <w:kern w:val="0"/>
                <w:sz w:val="18"/>
                <w:szCs w:val="18"/>
              </w:rPr>
            </w:pPr>
            <w:r>
              <w:rPr>
                <w:rFonts w:ascii="宋体" w:hAnsi="宋体" w:cs="Arial" w:hint="eastAsia"/>
                <w:color w:val="000000"/>
                <w:kern w:val="0"/>
                <w:sz w:val="18"/>
                <w:szCs w:val="18"/>
              </w:rPr>
              <w:t>积极推进交通运输行业法规、标准制修订工作，完善行政许可和备案工作</w:t>
            </w:r>
          </w:p>
        </w:tc>
      </w:tr>
      <w:tr w:rsidR="000400A0">
        <w:trPr>
          <w:trHeight w:val="615"/>
        </w:trPr>
        <w:tc>
          <w:tcPr>
            <w:tcW w:w="503" w:type="pct"/>
            <w:vMerge/>
            <w:tcBorders>
              <w:top w:val="single" w:sz="4" w:space="0" w:color="auto"/>
              <w:left w:val="single" w:sz="4" w:space="0" w:color="auto"/>
              <w:bottom w:val="single" w:sz="4" w:space="0" w:color="auto"/>
              <w:right w:val="single" w:sz="4" w:space="0" w:color="auto"/>
            </w:tcBorders>
            <w:vAlign w:val="center"/>
          </w:tcPr>
          <w:p w:rsidR="000400A0" w:rsidRDefault="000400A0">
            <w:pPr>
              <w:widowControl/>
              <w:jc w:val="left"/>
              <w:rPr>
                <w:rFonts w:ascii="宋体" w:hAnsi="宋体" w:cs="Arial"/>
                <w:b/>
                <w:bCs/>
                <w:kern w:val="0"/>
                <w:sz w:val="20"/>
                <w:szCs w:val="20"/>
              </w:rPr>
            </w:pPr>
          </w:p>
        </w:tc>
        <w:tc>
          <w:tcPr>
            <w:tcW w:w="1006" w:type="pct"/>
            <w:tcBorders>
              <w:top w:val="nil"/>
              <w:left w:val="nil"/>
              <w:bottom w:val="single" w:sz="4" w:space="0" w:color="auto"/>
              <w:right w:val="single" w:sz="4" w:space="0" w:color="auto"/>
            </w:tcBorders>
            <w:shd w:val="clear" w:color="auto" w:fill="auto"/>
            <w:vAlign w:val="center"/>
          </w:tcPr>
          <w:p w:rsidR="000400A0" w:rsidRDefault="00891D33">
            <w:pPr>
              <w:widowControl/>
              <w:jc w:val="center"/>
              <w:rPr>
                <w:rFonts w:ascii="宋体" w:hAnsi="宋体" w:cs="Arial"/>
                <w:color w:val="000000"/>
                <w:kern w:val="0"/>
                <w:sz w:val="18"/>
                <w:szCs w:val="18"/>
              </w:rPr>
            </w:pPr>
            <w:r>
              <w:rPr>
                <w:rFonts w:ascii="宋体" w:hAnsi="宋体" w:cs="Arial" w:hint="eastAsia"/>
                <w:color w:val="000000"/>
                <w:kern w:val="0"/>
                <w:sz w:val="18"/>
                <w:szCs w:val="18"/>
              </w:rPr>
              <w:t>绩效指标三</w:t>
            </w:r>
          </w:p>
        </w:tc>
        <w:tc>
          <w:tcPr>
            <w:tcW w:w="3491" w:type="pct"/>
            <w:tcBorders>
              <w:top w:val="nil"/>
              <w:left w:val="nil"/>
              <w:bottom w:val="single" w:sz="4" w:space="0" w:color="auto"/>
              <w:right w:val="single" w:sz="4" w:space="0" w:color="auto"/>
            </w:tcBorders>
            <w:shd w:val="clear" w:color="auto" w:fill="auto"/>
            <w:vAlign w:val="center"/>
          </w:tcPr>
          <w:p w:rsidR="000400A0" w:rsidRDefault="00891D33">
            <w:pPr>
              <w:widowControl/>
              <w:jc w:val="left"/>
              <w:rPr>
                <w:rFonts w:ascii="宋体" w:hAnsi="宋体" w:cs="Arial"/>
                <w:color w:val="000000"/>
                <w:kern w:val="0"/>
                <w:sz w:val="18"/>
                <w:szCs w:val="18"/>
              </w:rPr>
            </w:pPr>
            <w:r>
              <w:rPr>
                <w:rFonts w:ascii="宋体" w:hAnsi="宋体" w:cs="Arial" w:hint="eastAsia"/>
                <w:color w:val="000000"/>
                <w:kern w:val="0"/>
                <w:sz w:val="18"/>
                <w:szCs w:val="18"/>
              </w:rPr>
              <w:t>优化地面公交线网，完成轨道新线开通工作，推进停车条例各项任务落实，加强运输行业管理</w:t>
            </w:r>
          </w:p>
        </w:tc>
      </w:tr>
      <w:tr w:rsidR="000400A0">
        <w:trPr>
          <w:trHeight w:val="615"/>
        </w:trPr>
        <w:tc>
          <w:tcPr>
            <w:tcW w:w="503" w:type="pct"/>
            <w:vMerge/>
            <w:tcBorders>
              <w:top w:val="single" w:sz="4" w:space="0" w:color="auto"/>
              <w:left w:val="single" w:sz="4" w:space="0" w:color="auto"/>
              <w:bottom w:val="single" w:sz="4" w:space="0" w:color="auto"/>
              <w:right w:val="single" w:sz="4" w:space="0" w:color="auto"/>
            </w:tcBorders>
            <w:vAlign w:val="center"/>
          </w:tcPr>
          <w:p w:rsidR="000400A0" w:rsidRDefault="000400A0">
            <w:pPr>
              <w:widowControl/>
              <w:jc w:val="left"/>
              <w:rPr>
                <w:rFonts w:ascii="宋体" w:hAnsi="宋体" w:cs="Arial"/>
                <w:b/>
                <w:bCs/>
                <w:kern w:val="0"/>
                <w:sz w:val="20"/>
                <w:szCs w:val="20"/>
              </w:rPr>
            </w:pPr>
          </w:p>
        </w:tc>
        <w:tc>
          <w:tcPr>
            <w:tcW w:w="1006" w:type="pct"/>
            <w:tcBorders>
              <w:top w:val="nil"/>
              <w:left w:val="nil"/>
              <w:bottom w:val="single" w:sz="4" w:space="0" w:color="auto"/>
              <w:right w:val="single" w:sz="4" w:space="0" w:color="auto"/>
            </w:tcBorders>
            <w:shd w:val="clear" w:color="auto" w:fill="auto"/>
            <w:vAlign w:val="center"/>
          </w:tcPr>
          <w:p w:rsidR="000400A0" w:rsidRDefault="00891D33">
            <w:pPr>
              <w:widowControl/>
              <w:jc w:val="center"/>
              <w:rPr>
                <w:rFonts w:ascii="宋体" w:hAnsi="宋体" w:cs="Arial"/>
                <w:color w:val="000000"/>
                <w:kern w:val="0"/>
                <w:sz w:val="18"/>
                <w:szCs w:val="18"/>
              </w:rPr>
            </w:pPr>
            <w:r>
              <w:rPr>
                <w:rFonts w:ascii="宋体" w:hAnsi="宋体" w:cs="Arial" w:hint="eastAsia"/>
                <w:color w:val="000000"/>
                <w:kern w:val="0"/>
                <w:sz w:val="18"/>
                <w:szCs w:val="18"/>
              </w:rPr>
              <w:t>绩效指标四</w:t>
            </w:r>
          </w:p>
        </w:tc>
        <w:tc>
          <w:tcPr>
            <w:tcW w:w="3491" w:type="pct"/>
            <w:tcBorders>
              <w:top w:val="nil"/>
              <w:left w:val="nil"/>
              <w:bottom w:val="single" w:sz="4" w:space="0" w:color="auto"/>
              <w:right w:val="single" w:sz="4" w:space="0" w:color="auto"/>
            </w:tcBorders>
            <w:shd w:val="clear" w:color="auto" w:fill="auto"/>
            <w:vAlign w:val="center"/>
          </w:tcPr>
          <w:p w:rsidR="000400A0" w:rsidRDefault="00891D33">
            <w:pPr>
              <w:widowControl/>
              <w:jc w:val="left"/>
              <w:rPr>
                <w:rFonts w:ascii="宋体" w:hAnsi="宋体" w:cs="Arial"/>
                <w:color w:val="000000"/>
                <w:kern w:val="0"/>
                <w:sz w:val="18"/>
                <w:szCs w:val="18"/>
              </w:rPr>
            </w:pPr>
            <w:r>
              <w:rPr>
                <w:rFonts w:ascii="宋体" w:hAnsi="宋体" w:cs="Arial" w:hint="eastAsia"/>
                <w:color w:val="000000"/>
                <w:kern w:val="0"/>
                <w:sz w:val="18"/>
                <w:szCs w:val="18"/>
              </w:rPr>
              <w:t>完成公路建设养护计划及城市道路养护计划所列的新改建、大修、预养、日常维护等建设养护任务</w:t>
            </w:r>
          </w:p>
        </w:tc>
      </w:tr>
      <w:tr w:rsidR="000400A0">
        <w:trPr>
          <w:trHeight w:val="615"/>
        </w:trPr>
        <w:tc>
          <w:tcPr>
            <w:tcW w:w="503" w:type="pct"/>
            <w:vMerge/>
            <w:tcBorders>
              <w:top w:val="single" w:sz="4" w:space="0" w:color="auto"/>
              <w:left w:val="single" w:sz="4" w:space="0" w:color="auto"/>
              <w:bottom w:val="single" w:sz="4" w:space="0" w:color="auto"/>
              <w:right w:val="single" w:sz="4" w:space="0" w:color="auto"/>
            </w:tcBorders>
            <w:vAlign w:val="center"/>
          </w:tcPr>
          <w:p w:rsidR="000400A0" w:rsidRDefault="000400A0">
            <w:pPr>
              <w:widowControl/>
              <w:jc w:val="left"/>
              <w:rPr>
                <w:rFonts w:ascii="宋体" w:hAnsi="宋体" w:cs="Arial"/>
                <w:b/>
                <w:bCs/>
                <w:kern w:val="0"/>
                <w:sz w:val="20"/>
                <w:szCs w:val="20"/>
              </w:rPr>
            </w:pPr>
          </w:p>
        </w:tc>
        <w:tc>
          <w:tcPr>
            <w:tcW w:w="1006" w:type="pct"/>
            <w:tcBorders>
              <w:top w:val="nil"/>
              <w:left w:val="nil"/>
              <w:bottom w:val="single" w:sz="4" w:space="0" w:color="auto"/>
              <w:right w:val="single" w:sz="4" w:space="0" w:color="auto"/>
            </w:tcBorders>
            <w:shd w:val="clear" w:color="auto" w:fill="auto"/>
            <w:vAlign w:val="center"/>
          </w:tcPr>
          <w:p w:rsidR="000400A0" w:rsidRDefault="00891D33">
            <w:pPr>
              <w:widowControl/>
              <w:jc w:val="center"/>
              <w:rPr>
                <w:rFonts w:ascii="宋体" w:hAnsi="宋体" w:cs="Arial"/>
                <w:color w:val="000000"/>
                <w:kern w:val="0"/>
                <w:sz w:val="18"/>
                <w:szCs w:val="18"/>
              </w:rPr>
            </w:pPr>
            <w:r>
              <w:rPr>
                <w:rFonts w:ascii="宋体" w:hAnsi="宋体" w:cs="Arial" w:hint="eastAsia"/>
                <w:color w:val="000000"/>
                <w:kern w:val="0"/>
                <w:sz w:val="18"/>
                <w:szCs w:val="18"/>
              </w:rPr>
              <w:t>绩效指标五</w:t>
            </w:r>
          </w:p>
        </w:tc>
        <w:tc>
          <w:tcPr>
            <w:tcW w:w="3491" w:type="pct"/>
            <w:tcBorders>
              <w:top w:val="nil"/>
              <w:left w:val="nil"/>
              <w:bottom w:val="single" w:sz="4" w:space="0" w:color="auto"/>
              <w:right w:val="single" w:sz="4" w:space="0" w:color="auto"/>
            </w:tcBorders>
            <w:shd w:val="clear" w:color="auto" w:fill="auto"/>
            <w:vAlign w:val="center"/>
          </w:tcPr>
          <w:p w:rsidR="000400A0" w:rsidRDefault="00891D33">
            <w:pPr>
              <w:widowControl/>
              <w:jc w:val="left"/>
              <w:rPr>
                <w:rFonts w:ascii="宋体" w:hAnsi="宋体" w:cs="Arial"/>
                <w:color w:val="000000"/>
                <w:kern w:val="0"/>
                <w:sz w:val="18"/>
                <w:szCs w:val="18"/>
              </w:rPr>
            </w:pPr>
            <w:r>
              <w:rPr>
                <w:rFonts w:ascii="宋体" w:hAnsi="宋体" w:cs="Arial" w:hint="eastAsia"/>
                <w:color w:val="000000"/>
                <w:kern w:val="0"/>
                <w:sz w:val="18"/>
                <w:szCs w:val="18"/>
              </w:rPr>
              <w:t>公路建设养护符合国家建设工程质量标准及交通运输部相关公路工程质量管理办法，城市道路养护</w:t>
            </w:r>
            <w:proofErr w:type="gramStart"/>
            <w:r>
              <w:rPr>
                <w:rFonts w:ascii="宋体" w:hAnsi="宋体" w:cs="Arial" w:hint="eastAsia"/>
                <w:color w:val="000000"/>
                <w:kern w:val="0"/>
                <w:sz w:val="18"/>
                <w:szCs w:val="18"/>
              </w:rPr>
              <w:t>符合住</w:t>
            </w:r>
            <w:proofErr w:type="gramEnd"/>
            <w:r>
              <w:rPr>
                <w:rFonts w:ascii="宋体" w:hAnsi="宋体" w:cs="Arial" w:hint="eastAsia"/>
                <w:color w:val="000000"/>
                <w:kern w:val="0"/>
                <w:sz w:val="18"/>
                <w:szCs w:val="18"/>
              </w:rPr>
              <w:t>建部城市道路养护规范及城市桥梁养护规范</w:t>
            </w:r>
          </w:p>
        </w:tc>
      </w:tr>
      <w:tr w:rsidR="000400A0">
        <w:trPr>
          <w:trHeight w:val="615"/>
        </w:trPr>
        <w:tc>
          <w:tcPr>
            <w:tcW w:w="503" w:type="pct"/>
            <w:vMerge/>
            <w:tcBorders>
              <w:top w:val="single" w:sz="4" w:space="0" w:color="auto"/>
              <w:left w:val="single" w:sz="4" w:space="0" w:color="auto"/>
              <w:bottom w:val="single" w:sz="4" w:space="0" w:color="auto"/>
              <w:right w:val="single" w:sz="4" w:space="0" w:color="auto"/>
            </w:tcBorders>
            <w:vAlign w:val="center"/>
          </w:tcPr>
          <w:p w:rsidR="000400A0" w:rsidRDefault="000400A0">
            <w:pPr>
              <w:widowControl/>
              <w:jc w:val="left"/>
              <w:rPr>
                <w:rFonts w:ascii="宋体" w:hAnsi="宋体" w:cs="Arial"/>
                <w:b/>
                <w:bCs/>
                <w:kern w:val="0"/>
                <w:sz w:val="20"/>
                <w:szCs w:val="20"/>
              </w:rPr>
            </w:pPr>
          </w:p>
        </w:tc>
        <w:tc>
          <w:tcPr>
            <w:tcW w:w="1006" w:type="pct"/>
            <w:tcBorders>
              <w:top w:val="nil"/>
              <w:left w:val="nil"/>
              <w:bottom w:val="single" w:sz="4" w:space="0" w:color="auto"/>
              <w:right w:val="single" w:sz="4" w:space="0" w:color="auto"/>
            </w:tcBorders>
            <w:shd w:val="clear" w:color="auto" w:fill="auto"/>
            <w:vAlign w:val="center"/>
          </w:tcPr>
          <w:p w:rsidR="000400A0" w:rsidRDefault="00891D33">
            <w:pPr>
              <w:widowControl/>
              <w:jc w:val="center"/>
              <w:rPr>
                <w:rFonts w:ascii="宋体" w:hAnsi="宋体" w:cs="Arial"/>
                <w:color w:val="000000"/>
                <w:kern w:val="0"/>
                <w:sz w:val="18"/>
                <w:szCs w:val="18"/>
              </w:rPr>
            </w:pPr>
            <w:r>
              <w:rPr>
                <w:rFonts w:ascii="宋体" w:hAnsi="宋体" w:cs="Arial" w:hint="eastAsia"/>
                <w:color w:val="000000"/>
                <w:kern w:val="0"/>
                <w:sz w:val="18"/>
                <w:szCs w:val="18"/>
              </w:rPr>
              <w:t>绩效指标六</w:t>
            </w:r>
          </w:p>
        </w:tc>
        <w:tc>
          <w:tcPr>
            <w:tcW w:w="3491" w:type="pct"/>
            <w:tcBorders>
              <w:top w:val="nil"/>
              <w:left w:val="nil"/>
              <w:bottom w:val="single" w:sz="4" w:space="0" w:color="auto"/>
              <w:right w:val="single" w:sz="4" w:space="0" w:color="auto"/>
            </w:tcBorders>
            <w:shd w:val="clear" w:color="auto" w:fill="auto"/>
            <w:vAlign w:val="center"/>
          </w:tcPr>
          <w:p w:rsidR="000400A0" w:rsidRDefault="00891D33">
            <w:pPr>
              <w:widowControl/>
              <w:jc w:val="left"/>
              <w:rPr>
                <w:rFonts w:ascii="宋体" w:hAnsi="宋体" w:cs="Arial"/>
                <w:color w:val="000000"/>
                <w:kern w:val="0"/>
                <w:sz w:val="18"/>
                <w:szCs w:val="18"/>
              </w:rPr>
            </w:pPr>
            <w:r>
              <w:rPr>
                <w:rFonts w:ascii="宋体" w:hAnsi="宋体" w:cs="Arial" w:hint="eastAsia"/>
                <w:color w:val="000000"/>
                <w:kern w:val="0"/>
                <w:sz w:val="18"/>
                <w:szCs w:val="18"/>
              </w:rPr>
              <w:t>及时、依法查处交通行业违法违章案件，规范行业服务</w:t>
            </w:r>
          </w:p>
        </w:tc>
      </w:tr>
      <w:tr w:rsidR="000400A0">
        <w:trPr>
          <w:trHeight w:val="615"/>
        </w:trPr>
        <w:tc>
          <w:tcPr>
            <w:tcW w:w="503" w:type="pct"/>
            <w:vMerge/>
            <w:tcBorders>
              <w:top w:val="single" w:sz="4" w:space="0" w:color="auto"/>
              <w:left w:val="single" w:sz="4" w:space="0" w:color="auto"/>
              <w:bottom w:val="single" w:sz="4" w:space="0" w:color="auto"/>
              <w:right w:val="single" w:sz="4" w:space="0" w:color="auto"/>
            </w:tcBorders>
            <w:vAlign w:val="center"/>
          </w:tcPr>
          <w:p w:rsidR="000400A0" w:rsidRDefault="000400A0">
            <w:pPr>
              <w:widowControl/>
              <w:jc w:val="left"/>
              <w:rPr>
                <w:rFonts w:ascii="宋体" w:hAnsi="宋体" w:cs="Arial"/>
                <w:b/>
                <w:bCs/>
                <w:kern w:val="0"/>
                <w:sz w:val="20"/>
                <w:szCs w:val="20"/>
              </w:rPr>
            </w:pPr>
          </w:p>
        </w:tc>
        <w:tc>
          <w:tcPr>
            <w:tcW w:w="1006" w:type="pct"/>
            <w:tcBorders>
              <w:top w:val="nil"/>
              <w:left w:val="nil"/>
              <w:bottom w:val="single" w:sz="4" w:space="0" w:color="auto"/>
              <w:right w:val="single" w:sz="4" w:space="0" w:color="auto"/>
            </w:tcBorders>
            <w:shd w:val="clear" w:color="auto" w:fill="auto"/>
            <w:vAlign w:val="center"/>
          </w:tcPr>
          <w:p w:rsidR="000400A0" w:rsidRDefault="00891D33">
            <w:pPr>
              <w:widowControl/>
              <w:jc w:val="center"/>
              <w:rPr>
                <w:rFonts w:ascii="宋体" w:hAnsi="宋体" w:cs="Arial"/>
                <w:color w:val="000000"/>
                <w:kern w:val="0"/>
                <w:sz w:val="18"/>
                <w:szCs w:val="18"/>
              </w:rPr>
            </w:pPr>
            <w:r>
              <w:rPr>
                <w:rFonts w:ascii="宋体" w:hAnsi="宋体" w:cs="Arial" w:hint="eastAsia"/>
                <w:color w:val="000000"/>
                <w:kern w:val="0"/>
                <w:sz w:val="18"/>
                <w:szCs w:val="18"/>
              </w:rPr>
              <w:t>绩效</w:t>
            </w:r>
            <w:proofErr w:type="gramStart"/>
            <w:r>
              <w:rPr>
                <w:rFonts w:ascii="宋体" w:hAnsi="宋体" w:cs="Arial" w:hint="eastAsia"/>
                <w:color w:val="000000"/>
                <w:kern w:val="0"/>
                <w:sz w:val="18"/>
                <w:szCs w:val="18"/>
              </w:rPr>
              <w:t>指标七</w:t>
            </w:r>
            <w:proofErr w:type="gramEnd"/>
          </w:p>
        </w:tc>
        <w:tc>
          <w:tcPr>
            <w:tcW w:w="3491" w:type="pct"/>
            <w:tcBorders>
              <w:top w:val="nil"/>
              <w:left w:val="nil"/>
              <w:bottom w:val="single" w:sz="4" w:space="0" w:color="auto"/>
              <w:right w:val="single" w:sz="4" w:space="0" w:color="auto"/>
            </w:tcBorders>
            <w:shd w:val="clear" w:color="auto" w:fill="auto"/>
            <w:vAlign w:val="center"/>
          </w:tcPr>
          <w:p w:rsidR="000400A0" w:rsidRDefault="00891D33">
            <w:pPr>
              <w:widowControl/>
              <w:jc w:val="left"/>
              <w:rPr>
                <w:rFonts w:ascii="宋体" w:hAnsi="宋体" w:cs="Arial"/>
                <w:color w:val="000000"/>
                <w:kern w:val="0"/>
                <w:sz w:val="18"/>
                <w:szCs w:val="18"/>
              </w:rPr>
            </w:pPr>
            <w:r>
              <w:rPr>
                <w:rFonts w:ascii="宋体" w:hAnsi="宋体" w:cs="Arial" w:hint="eastAsia"/>
                <w:color w:val="000000"/>
                <w:kern w:val="0"/>
                <w:sz w:val="18"/>
                <w:szCs w:val="18"/>
              </w:rPr>
              <w:t>推动行业节能减排工作，推广普通公路新技术新材料应用，推动绿色出行，降低环境污染，节约资源</w:t>
            </w:r>
          </w:p>
        </w:tc>
      </w:tr>
      <w:tr w:rsidR="000400A0">
        <w:trPr>
          <w:trHeight w:val="615"/>
        </w:trPr>
        <w:tc>
          <w:tcPr>
            <w:tcW w:w="503" w:type="pct"/>
            <w:vMerge/>
            <w:tcBorders>
              <w:top w:val="single" w:sz="4" w:space="0" w:color="auto"/>
              <w:left w:val="single" w:sz="4" w:space="0" w:color="auto"/>
              <w:bottom w:val="single" w:sz="4" w:space="0" w:color="auto"/>
              <w:right w:val="single" w:sz="4" w:space="0" w:color="auto"/>
            </w:tcBorders>
            <w:vAlign w:val="center"/>
          </w:tcPr>
          <w:p w:rsidR="000400A0" w:rsidRDefault="000400A0">
            <w:pPr>
              <w:widowControl/>
              <w:jc w:val="left"/>
              <w:rPr>
                <w:rFonts w:ascii="宋体" w:hAnsi="宋体" w:cs="Arial"/>
                <w:b/>
                <w:bCs/>
                <w:kern w:val="0"/>
                <w:sz w:val="20"/>
                <w:szCs w:val="20"/>
              </w:rPr>
            </w:pPr>
          </w:p>
        </w:tc>
        <w:tc>
          <w:tcPr>
            <w:tcW w:w="1006" w:type="pct"/>
            <w:tcBorders>
              <w:top w:val="nil"/>
              <w:left w:val="nil"/>
              <w:bottom w:val="single" w:sz="4" w:space="0" w:color="auto"/>
              <w:right w:val="single" w:sz="4" w:space="0" w:color="auto"/>
            </w:tcBorders>
            <w:shd w:val="clear" w:color="auto" w:fill="auto"/>
            <w:vAlign w:val="center"/>
          </w:tcPr>
          <w:p w:rsidR="000400A0" w:rsidRDefault="00891D33">
            <w:pPr>
              <w:widowControl/>
              <w:jc w:val="center"/>
              <w:rPr>
                <w:rFonts w:ascii="宋体" w:hAnsi="宋体" w:cs="Arial"/>
                <w:color w:val="000000"/>
                <w:kern w:val="0"/>
                <w:sz w:val="18"/>
                <w:szCs w:val="18"/>
              </w:rPr>
            </w:pPr>
            <w:r>
              <w:rPr>
                <w:rFonts w:ascii="宋体" w:hAnsi="宋体" w:cs="Arial" w:hint="eastAsia"/>
                <w:color w:val="000000"/>
                <w:kern w:val="0"/>
                <w:sz w:val="18"/>
                <w:szCs w:val="18"/>
              </w:rPr>
              <w:t>绩效</w:t>
            </w:r>
            <w:proofErr w:type="gramStart"/>
            <w:r>
              <w:rPr>
                <w:rFonts w:ascii="宋体" w:hAnsi="宋体" w:cs="Arial" w:hint="eastAsia"/>
                <w:color w:val="000000"/>
                <w:kern w:val="0"/>
                <w:sz w:val="18"/>
                <w:szCs w:val="18"/>
              </w:rPr>
              <w:t>指标八</w:t>
            </w:r>
            <w:proofErr w:type="gramEnd"/>
          </w:p>
        </w:tc>
        <w:tc>
          <w:tcPr>
            <w:tcW w:w="3491" w:type="pct"/>
            <w:tcBorders>
              <w:top w:val="nil"/>
              <w:left w:val="nil"/>
              <w:bottom w:val="single" w:sz="4" w:space="0" w:color="auto"/>
              <w:right w:val="single" w:sz="4" w:space="0" w:color="auto"/>
            </w:tcBorders>
            <w:shd w:val="clear" w:color="auto" w:fill="auto"/>
            <w:vAlign w:val="center"/>
          </w:tcPr>
          <w:p w:rsidR="000400A0" w:rsidRDefault="00891D33">
            <w:pPr>
              <w:widowControl/>
              <w:jc w:val="left"/>
              <w:rPr>
                <w:rFonts w:ascii="宋体" w:hAnsi="宋体" w:cs="Arial"/>
                <w:color w:val="000000"/>
                <w:kern w:val="0"/>
                <w:sz w:val="18"/>
                <w:szCs w:val="18"/>
              </w:rPr>
            </w:pPr>
            <w:r>
              <w:rPr>
                <w:rFonts w:ascii="宋体" w:hAnsi="宋体" w:cs="Arial" w:hint="eastAsia"/>
                <w:color w:val="000000"/>
                <w:kern w:val="0"/>
                <w:sz w:val="18"/>
                <w:szCs w:val="18"/>
              </w:rPr>
              <w:t>通过项目评审、政府采购等手段，控制成本</w:t>
            </w:r>
          </w:p>
        </w:tc>
      </w:tr>
    </w:tbl>
    <w:p w:rsidR="000400A0" w:rsidRDefault="000400A0">
      <w:bookmarkStart w:id="4" w:name="_Toc11130"/>
    </w:p>
    <w:p w:rsidR="000400A0" w:rsidRDefault="00891D33">
      <w:pPr>
        <w:pStyle w:val="1"/>
        <w:spacing w:before="0" w:after="0" w:line="360" w:lineRule="auto"/>
        <w:ind w:firstLineChars="200" w:firstLine="640"/>
        <w:rPr>
          <w:rFonts w:ascii="黑体" w:eastAsia="黑体" w:hAnsi="黑体" w:cs="黑体"/>
          <w:b w:val="0"/>
          <w:bCs/>
          <w:sz w:val="32"/>
          <w:szCs w:val="32"/>
        </w:rPr>
      </w:pPr>
      <w:r>
        <w:rPr>
          <w:rFonts w:ascii="黑体" w:eastAsia="黑体" w:hAnsi="黑体" w:cs="黑体" w:hint="eastAsia"/>
          <w:b w:val="0"/>
          <w:bCs/>
          <w:sz w:val="32"/>
          <w:szCs w:val="32"/>
        </w:rPr>
        <w:t>二、当年预算执行情况</w:t>
      </w:r>
      <w:bookmarkEnd w:id="4"/>
    </w:p>
    <w:p w:rsidR="000400A0" w:rsidRDefault="00891D33">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2021年年初全年预算数1,386,867.34万元，其中，基本支出预算数122,013.55万元，项目支出预算数1,263,903.79万元，其他支出预算数950.00万元。预算调整后全年预算1,932,077.37万元，其中基本支出预算数</w:t>
      </w:r>
      <w:r>
        <w:rPr>
          <w:rFonts w:ascii="仿宋_GB2312" w:eastAsia="仿宋_GB2312" w:hAnsi="宋体" w:cs="宋体"/>
          <w:color w:val="000000"/>
          <w:kern w:val="0"/>
          <w:sz w:val="32"/>
          <w:szCs w:val="32"/>
        </w:rPr>
        <w:t>141</w:t>
      </w:r>
      <w:r>
        <w:rPr>
          <w:rFonts w:ascii="仿宋_GB2312" w:eastAsia="仿宋_GB2312" w:hAnsi="宋体" w:cs="宋体" w:hint="eastAsia"/>
          <w:color w:val="000000"/>
          <w:kern w:val="0"/>
          <w:sz w:val="32"/>
          <w:szCs w:val="32"/>
        </w:rPr>
        <w:t>,</w:t>
      </w:r>
      <w:r>
        <w:rPr>
          <w:rFonts w:ascii="仿宋_GB2312" w:eastAsia="仿宋_GB2312" w:hAnsi="宋体" w:cs="宋体"/>
          <w:color w:val="000000"/>
          <w:kern w:val="0"/>
          <w:sz w:val="32"/>
          <w:szCs w:val="32"/>
        </w:rPr>
        <w:t>93</w:t>
      </w:r>
      <w:r>
        <w:rPr>
          <w:rFonts w:ascii="仿宋_GB2312" w:eastAsia="仿宋_GB2312" w:hAnsi="宋体" w:cs="宋体" w:hint="eastAsia"/>
          <w:color w:val="000000"/>
          <w:kern w:val="0"/>
          <w:sz w:val="32"/>
          <w:szCs w:val="32"/>
        </w:rPr>
        <w:t>8</w:t>
      </w:r>
      <w:r>
        <w:rPr>
          <w:rFonts w:ascii="仿宋_GB2312" w:eastAsia="仿宋_GB2312" w:hAnsi="宋体" w:cs="宋体"/>
          <w:color w:val="000000"/>
          <w:kern w:val="0"/>
          <w:sz w:val="32"/>
          <w:szCs w:val="32"/>
        </w:rPr>
        <w:t>.</w:t>
      </w:r>
      <w:r>
        <w:rPr>
          <w:rFonts w:ascii="仿宋_GB2312" w:eastAsia="仿宋_GB2312" w:hAnsi="宋体" w:cs="宋体" w:hint="eastAsia"/>
          <w:color w:val="000000"/>
          <w:kern w:val="0"/>
          <w:sz w:val="32"/>
          <w:szCs w:val="32"/>
        </w:rPr>
        <w:t>00万元，项目支出预算数</w:t>
      </w:r>
      <w:r>
        <w:rPr>
          <w:rFonts w:ascii="仿宋_GB2312" w:eastAsia="仿宋_GB2312" w:hAnsi="宋体" w:cs="宋体"/>
          <w:color w:val="000000"/>
          <w:kern w:val="0"/>
          <w:sz w:val="32"/>
          <w:szCs w:val="32"/>
        </w:rPr>
        <w:t>1</w:t>
      </w:r>
      <w:r>
        <w:rPr>
          <w:rFonts w:ascii="仿宋_GB2312" w:eastAsia="仿宋_GB2312" w:hAnsi="宋体" w:cs="宋体" w:hint="eastAsia"/>
          <w:color w:val="000000"/>
          <w:kern w:val="0"/>
          <w:sz w:val="32"/>
          <w:szCs w:val="32"/>
        </w:rPr>
        <w:t>,</w:t>
      </w:r>
      <w:r>
        <w:rPr>
          <w:rFonts w:ascii="仿宋_GB2312" w:eastAsia="仿宋_GB2312" w:hAnsi="宋体" w:cs="宋体"/>
          <w:color w:val="000000"/>
          <w:kern w:val="0"/>
          <w:sz w:val="32"/>
          <w:szCs w:val="32"/>
        </w:rPr>
        <w:t>789</w:t>
      </w:r>
      <w:r>
        <w:rPr>
          <w:rFonts w:ascii="仿宋_GB2312" w:eastAsia="仿宋_GB2312" w:hAnsi="宋体" w:cs="宋体" w:hint="eastAsia"/>
          <w:color w:val="000000"/>
          <w:kern w:val="0"/>
          <w:sz w:val="32"/>
          <w:szCs w:val="32"/>
        </w:rPr>
        <w:t>,</w:t>
      </w:r>
      <w:r>
        <w:rPr>
          <w:rFonts w:ascii="仿宋_GB2312" w:eastAsia="仿宋_GB2312" w:hAnsi="宋体" w:cs="宋体"/>
          <w:color w:val="000000"/>
          <w:kern w:val="0"/>
          <w:sz w:val="32"/>
          <w:szCs w:val="32"/>
        </w:rPr>
        <w:t>136</w:t>
      </w:r>
      <w:r>
        <w:rPr>
          <w:rFonts w:ascii="仿宋_GB2312" w:eastAsia="仿宋_GB2312" w:hAnsi="宋体" w:cs="宋体" w:hint="eastAsia"/>
          <w:color w:val="000000"/>
          <w:kern w:val="0"/>
          <w:sz w:val="32"/>
          <w:szCs w:val="32"/>
        </w:rPr>
        <w:t>.</w:t>
      </w:r>
      <w:r>
        <w:rPr>
          <w:rFonts w:ascii="仿宋_GB2312" w:eastAsia="仿宋_GB2312" w:hAnsi="宋体" w:cs="宋体"/>
          <w:color w:val="000000"/>
          <w:kern w:val="0"/>
          <w:sz w:val="32"/>
          <w:szCs w:val="32"/>
        </w:rPr>
        <w:t>43</w:t>
      </w:r>
      <w:r>
        <w:rPr>
          <w:rFonts w:ascii="仿宋_GB2312" w:eastAsia="仿宋_GB2312" w:hAnsi="宋体" w:cs="宋体" w:hint="eastAsia"/>
          <w:color w:val="000000"/>
          <w:kern w:val="0"/>
          <w:sz w:val="32"/>
          <w:szCs w:val="32"/>
        </w:rPr>
        <w:t>万元，其他支出预算数</w:t>
      </w:r>
      <w:r>
        <w:rPr>
          <w:rFonts w:ascii="仿宋_GB2312" w:eastAsia="仿宋_GB2312" w:hAnsi="宋体" w:cs="宋体"/>
          <w:color w:val="000000"/>
          <w:kern w:val="0"/>
          <w:sz w:val="32"/>
          <w:szCs w:val="32"/>
        </w:rPr>
        <w:t>1</w:t>
      </w:r>
      <w:r>
        <w:rPr>
          <w:rFonts w:ascii="仿宋_GB2312" w:eastAsia="仿宋_GB2312" w:hAnsi="宋体" w:cs="宋体" w:hint="eastAsia"/>
          <w:color w:val="000000"/>
          <w:kern w:val="0"/>
          <w:sz w:val="32"/>
          <w:szCs w:val="32"/>
        </w:rPr>
        <w:t>,</w:t>
      </w:r>
      <w:r>
        <w:rPr>
          <w:rFonts w:ascii="仿宋_GB2312" w:eastAsia="仿宋_GB2312" w:hAnsi="宋体" w:cs="宋体"/>
          <w:color w:val="000000"/>
          <w:kern w:val="0"/>
          <w:sz w:val="32"/>
          <w:szCs w:val="32"/>
        </w:rPr>
        <w:t>00</w:t>
      </w:r>
      <w:r>
        <w:rPr>
          <w:rFonts w:ascii="仿宋_GB2312" w:eastAsia="仿宋_GB2312" w:hAnsi="宋体" w:cs="宋体" w:hint="eastAsia"/>
          <w:color w:val="000000"/>
          <w:kern w:val="0"/>
          <w:sz w:val="32"/>
          <w:szCs w:val="32"/>
        </w:rPr>
        <w:t>2.</w:t>
      </w:r>
      <w:r>
        <w:rPr>
          <w:rFonts w:ascii="仿宋_GB2312" w:eastAsia="仿宋_GB2312" w:hAnsi="宋体" w:cs="宋体"/>
          <w:color w:val="000000"/>
          <w:kern w:val="0"/>
          <w:sz w:val="32"/>
          <w:szCs w:val="32"/>
        </w:rPr>
        <w:t>9</w:t>
      </w:r>
      <w:r>
        <w:rPr>
          <w:rFonts w:ascii="仿宋_GB2312" w:eastAsia="仿宋_GB2312" w:hAnsi="宋体" w:cs="宋体" w:hint="eastAsia"/>
          <w:color w:val="000000"/>
          <w:kern w:val="0"/>
          <w:sz w:val="32"/>
          <w:szCs w:val="32"/>
        </w:rPr>
        <w:t>4万元。资金总体支出</w:t>
      </w:r>
      <w:r>
        <w:rPr>
          <w:rFonts w:ascii="仿宋_GB2312" w:eastAsia="仿宋_GB2312" w:hAnsi="宋体" w:cs="宋体"/>
          <w:color w:val="000000"/>
          <w:kern w:val="0"/>
          <w:sz w:val="32"/>
          <w:szCs w:val="32"/>
        </w:rPr>
        <w:t>1</w:t>
      </w:r>
      <w:r>
        <w:rPr>
          <w:rFonts w:ascii="仿宋_GB2312" w:eastAsia="仿宋_GB2312" w:hAnsi="宋体" w:cs="宋体" w:hint="eastAsia"/>
          <w:color w:val="000000"/>
          <w:kern w:val="0"/>
          <w:sz w:val="32"/>
          <w:szCs w:val="32"/>
        </w:rPr>
        <w:t>,</w:t>
      </w:r>
      <w:r>
        <w:rPr>
          <w:rFonts w:ascii="仿宋_GB2312" w:eastAsia="仿宋_GB2312" w:hAnsi="宋体" w:cs="宋体"/>
          <w:color w:val="000000"/>
          <w:kern w:val="0"/>
          <w:sz w:val="32"/>
          <w:szCs w:val="32"/>
        </w:rPr>
        <w:t>832</w:t>
      </w:r>
      <w:r>
        <w:rPr>
          <w:rFonts w:ascii="仿宋_GB2312" w:eastAsia="仿宋_GB2312" w:hAnsi="宋体" w:cs="宋体" w:hint="eastAsia"/>
          <w:color w:val="000000"/>
          <w:kern w:val="0"/>
          <w:sz w:val="32"/>
          <w:szCs w:val="32"/>
        </w:rPr>
        <w:t>,</w:t>
      </w:r>
      <w:r>
        <w:rPr>
          <w:rFonts w:ascii="仿宋_GB2312" w:eastAsia="仿宋_GB2312" w:hAnsi="宋体" w:cs="宋体"/>
          <w:color w:val="000000"/>
          <w:kern w:val="0"/>
          <w:sz w:val="32"/>
          <w:szCs w:val="32"/>
        </w:rPr>
        <w:t>438</w:t>
      </w:r>
      <w:r>
        <w:rPr>
          <w:rFonts w:ascii="仿宋_GB2312" w:eastAsia="仿宋_GB2312" w:hAnsi="宋体" w:cs="宋体" w:hint="eastAsia"/>
          <w:color w:val="000000"/>
          <w:kern w:val="0"/>
          <w:sz w:val="32"/>
          <w:szCs w:val="32"/>
        </w:rPr>
        <w:t>.</w:t>
      </w:r>
      <w:r>
        <w:rPr>
          <w:rFonts w:ascii="仿宋_GB2312" w:eastAsia="仿宋_GB2312" w:hAnsi="宋体" w:cs="宋体"/>
          <w:color w:val="000000"/>
          <w:kern w:val="0"/>
          <w:sz w:val="32"/>
          <w:szCs w:val="32"/>
        </w:rPr>
        <w:t>9</w:t>
      </w:r>
      <w:r>
        <w:rPr>
          <w:rFonts w:ascii="仿宋_GB2312" w:eastAsia="仿宋_GB2312" w:hAnsi="宋体" w:cs="宋体" w:hint="eastAsia"/>
          <w:color w:val="000000"/>
          <w:kern w:val="0"/>
          <w:sz w:val="32"/>
          <w:szCs w:val="32"/>
        </w:rPr>
        <w:t>5</w:t>
      </w:r>
      <w:r>
        <w:rPr>
          <w:rFonts w:ascii="仿宋_GB2312" w:eastAsia="仿宋_GB2312" w:hAnsi="宋体" w:cs="宋体" w:hint="eastAsia"/>
          <w:color w:val="000000"/>
          <w:kern w:val="0"/>
          <w:sz w:val="32"/>
          <w:szCs w:val="32"/>
        </w:rPr>
        <w:lastRenderedPageBreak/>
        <w:t>万元，其中基本支出</w:t>
      </w:r>
      <w:r>
        <w:rPr>
          <w:rFonts w:ascii="仿宋_GB2312" w:eastAsia="仿宋_GB2312" w:hAnsi="宋体" w:cs="宋体"/>
          <w:color w:val="000000"/>
          <w:kern w:val="0"/>
          <w:sz w:val="32"/>
          <w:szCs w:val="32"/>
        </w:rPr>
        <w:t>122</w:t>
      </w:r>
      <w:r>
        <w:rPr>
          <w:rFonts w:ascii="仿宋_GB2312" w:eastAsia="仿宋_GB2312" w:hAnsi="宋体" w:cs="宋体" w:hint="eastAsia"/>
          <w:color w:val="000000"/>
          <w:kern w:val="0"/>
          <w:sz w:val="32"/>
          <w:szCs w:val="32"/>
        </w:rPr>
        <w:t>,</w:t>
      </w:r>
      <w:r>
        <w:rPr>
          <w:rFonts w:ascii="仿宋_GB2312" w:eastAsia="仿宋_GB2312" w:hAnsi="宋体" w:cs="宋体"/>
          <w:color w:val="000000"/>
          <w:kern w:val="0"/>
          <w:sz w:val="32"/>
          <w:szCs w:val="32"/>
        </w:rPr>
        <w:t>310</w:t>
      </w:r>
      <w:r>
        <w:rPr>
          <w:rFonts w:ascii="仿宋_GB2312" w:eastAsia="仿宋_GB2312" w:hAnsi="宋体" w:cs="宋体" w:hint="eastAsia"/>
          <w:color w:val="000000"/>
          <w:kern w:val="0"/>
          <w:sz w:val="32"/>
          <w:szCs w:val="32"/>
        </w:rPr>
        <w:t>.</w:t>
      </w:r>
      <w:r>
        <w:rPr>
          <w:rFonts w:ascii="仿宋_GB2312" w:eastAsia="仿宋_GB2312" w:hAnsi="宋体" w:cs="宋体"/>
          <w:color w:val="000000"/>
          <w:kern w:val="0"/>
          <w:sz w:val="32"/>
          <w:szCs w:val="32"/>
        </w:rPr>
        <w:t>11</w:t>
      </w:r>
      <w:r>
        <w:rPr>
          <w:rFonts w:ascii="仿宋_GB2312" w:eastAsia="仿宋_GB2312" w:hAnsi="宋体" w:cs="宋体" w:hint="eastAsia"/>
          <w:color w:val="000000"/>
          <w:kern w:val="0"/>
          <w:sz w:val="32"/>
          <w:szCs w:val="32"/>
        </w:rPr>
        <w:t>万元，项目支出</w:t>
      </w:r>
      <w:r>
        <w:rPr>
          <w:rFonts w:ascii="仿宋_GB2312" w:eastAsia="仿宋_GB2312" w:hAnsi="宋体" w:cs="宋体"/>
          <w:color w:val="000000"/>
          <w:kern w:val="0"/>
          <w:sz w:val="32"/>
          <w:szCs w:val="32"/>
        </w:rPr>
        <w:t>1</w:t>
      </w:r>
      <w:r>
        <w:rPr>
          <w:rFonts w:ascii="仿宋_GB2312" w:eastAsia="仿宋_GB2312" w:hAnsi="宋体" w:cs="宋体" w:hint="eastAsia"/>
          <w:color w:val="000000"/>
          <w:kern w:val="0"/>
          <w:sz w:val="32"/>
          <w:szCs w:val="32"/>
        </w:rPr>
        <w:t>,</w:t>
      </w:r>
      <w:r>
        <w:rPr>
          <w:rFonts w:ascii="仿宋_GB2312" w:eastAsia="仿宋_GB2312" w:hAnsi="宋体" w:cs="宋体"/>
          <w:color w:val="000000"/>
          <w:kern w:val="0"/>
          <w:sz w:val="32"/>
          <w:szCs w:val="32"/>
        </w:rPr>
        <w:t>709</w:t>
      </w:r>
      <w:r>
        <w:rPr>
          <w:rFonts w:ascii="仿宋_GB2312" w:eastAsia="仿宋_GB2312" w:hAnsi="宋体" w:cs="宋体" w:hint="eastAsia"/>
          <w:color w:val="000000"/>
          <w:kern w:val="0"/>
          <w:sz w:val="32"/>
          <w:szCs w:val="32"/>
        </w:rPr>
        <w:t>,</w:t>
      </w:r>
      <w:r>
        <w:rPr>
          <w:rFonts w:ascii="仿宋_GB2312" w:eastAsia="仿宋_GB2312" w:hAnsi="宋体" w:cs="宋体"/>
          <w:color w:val="000000"/>
          <w:kern w:val="0"/>
          <w:sz w:val="32"/>
          <w:szCs w:val="32"/>
        </w:rPr>
        <w:t>241</w:t>
      </w:r>
      <w:r>
        <w:rPr>
          <w:rFonts w:ascii="仿宋_GB2312" w:eastAsia="仿宋_GB2312" w:hAnsi="宋体" w:cs="宋体" w:hint="eastAsia"/>
          <w:color w:val="000000"/>
          <w:kern w:val="0"/>
          <w:sz w:val="32"/>
          <w:szCs w:val="32"/>
        </w:rPr>
        <w:t>.</w:t>
      </w:r>
      <w:r>
        <w:rPr>
          <w:rFonts w:ascii="仿宋_GB2312" w:eastAsia="仿宋_GB2312" w:hAnsi="宋体" w:cs="宋体"/>
          <w:color w:val="000000"/>
          <w:kern w:val="0"/>
          <w:sz w:val="32"/>
          <w:szCs w:val="32"/>
        </w:rPr>
        <w:t>19</w:t>
      </w:r>
      <w:r>
        <w:rPr>
          <w:rFonts w:ascii="仿宋_GB2312" w:eastAsia="仿宋_GB2312" w:hAnsi="宋体" w:cs="宋体" w:hint="eastAsia"/>
          <w:color w:val="000000"/>
          <w:kern w:val="0"/>
          <w:sz w:val="32"/>
          <w:szCs w:val="32"/>
        </w:rPr>
        <w:t>万元，其他支出</w:t>
      </w:r>
      <w:r>
        <w:rPr>
          <w:rFonts w:ascii="仿宋_GB2312" w:eastAsia="仿宋_GB2312" w:hAnsi="宋体" w:cs="宋体"/>
          <w:color w:val="000000"/>
          <w:kern w:val="0"/>
          <w:sz w:val="32"/>
          <w:szCs w:val="32"/>
        </w:rPr>
        <w:t>887</w:t>
      </w:r>
      <w:r>
        <w:rPr>
          <w:rFonts w:ascii="仿宋_GB2312" w:eastAsia="仿宋_GB2312" w:hAnsi="宋体" w:cs="宋体" w:hint="eastAsia"/>
          <w:color w:val="000000"/>
          <w:kern w:val="0"/>
          <w:sz w:val="32"/>
          <w:szCs w:val="32"/>
        </w:rPr>
        <w:t>.</w:t>
      </w:r>
      <w:r>
        <w:rPr>
          <w:rFonts w:ascii="仿宋_GB2312" w:eastAsia="仿宋_GB2312" w:hAnsi="宋体" w:cs="宋体"/>
          <w:color w:val="000000"/>
          <w:kern w:val="0"/>
          <w:sz w:val="32"/>
          <w:szCs w:val="32"/>
        </w:rPr>
        <w:t>6</w:t>
      </w:r>
      <w:r>
        <w:rPr>
          <w:rFonts w:ascii="仿宋_GB2312" w:eastAsia="仿宋_GB2312" w:hAnsi="宋体" w:cs="宋体" w:hint="eastAsia"/>
          <w:color w:val="000000"/>
          <w:kern w:val="0"/>
          <w:sz w:val="32"/>
          <w:szCs w:val="32"/>
        </w:rPr>
        <w:t>5万元。预算执行率为94.84%。</w:t>
      </w:r>
    </w:p>
    <w:p w:rsidR="000400A0" w:rsidRDefault="00891D33">
      <w:pPr>
        <w:pStyle w:val="1"/>
        <w:spacing w:before="0" w:after="0" w:line="360" w:lineRule="auto"/>
        <w:ind w:firstLineChars="200" w:firstLine="640"/>
        <w:rPr>
          <w:rFonts w:ascii="黑体" w:eastAsia="黑体" w:hAnsi="黑体" w:cs="黑体"/>
          <w:b w:val="0"/>
          <w:bCs/>
          <w:sz w:val="32"/>
          <w:szCs w:val="32"/>
        </w:rPr>
      </w:pPr>
      <w:bookmarkStart w:id="5" w:name="_Toc11646"/>
      <w:r>
        <w:rPr>
          <w:rFonts w:ascii="黑体" w:eastAsia="黑体" w:hAnsi="黑体" w:cs="黑体" w:hint="eastAsia"/>
          <w:b w:val="0"/>
          <w:bCs/>
          <w:sz w:val="32"/>
          <w:szCs w:val="32"/>
        </w:rPr>
        <w:t>三、整体绩效目标实现情况</w:t>
      </w:r>
      <w:bookmarkEnd w:id="5"/>
    </w:p>
    <w:p w:rsidR="000400A0" w:rsidRDefault="00891D33">
      <w:pPr>
        <w:overflowPunct w:val="0"/>
        <w:spacing w:line="570" w:lineRule="exact"/>
        <w:ind w:firstLineChars="200" w:firstLine="640"/>
        <w:rPr>
          <w:rFonts w:ascii="仿宋_GB2312" w:eastAsia="仿宋_GB2312" w:cs="仿宋_GB2312"/>
          <w:sz w:val="32"/>
          <w:szCs w:val="32"/>
        </w:rPr>
      </w:pPr>
      <w:r>
        <w:rPr>
          <w:rFonts w:ascii="仿宋_GB2312" w:eastAsia="仿宋_GB2312" w:hint="eastAsia"/>
          <w:sz w:val="32"/>
          <w:szCs w:val="32"/>
        </w:rPr>
        <w:t>市交通委高质量完成2021年度各项任务，实现了“十四五”良好开局。</w:t>
      </w:r>
    </w:p>
    <w:p w:rsidR="000400A0" w:rsidRDefault="000400A0"/>
    <w:p w:rsidR="000400A0" w:rsidRDefault="00891D33">
      <w:pPr>
        <w:pStyle w:val="2"/>
        <w:numPr>
          <w:ilvl w:val="0"/>
          <w:numId w:val="2"/>
        </w:numPr>
        <w:spacing w:before="0" w:after="0" w:line="360" w:lineRule="auto"/>
        <w:rPr>
          <w:rFonts w:ascii="楷体_GB2312" w:eastAsia="楷体_GB2312" w:hAnsi="楷体_GB2312" w:cs="楷体_GB2312"/>
          <w:b w:val="0"/>
          <w:bCs/>
        </w:rPr>
      </w:pPr>
      <w:bookmarkStart w:id="6" w:name="_Toc23303"/>
      <w:r>
        <w:rPr>
          <w:rFonts w:ascii="楷体_GB2312" w:eastAsia="楷体_GB2312" w:hAnsi="楷体_GB2312" w:cs="楷体_GB2312" w:hint="eastAsia"/>
          <w:b w:val="0"/>
          <w:bCs/>
        </w:rPr>
        <w:t>产出完成情况分析</w:t>
      </w:r>
    </w:p>
    <w:p w:rsidR="000400A0" w:rsidRDefault="00891D33">
      <w:pPr>
        <w:rPr>
          <w:rFonts w:ascii="仿宋_GB2312" w:eastAsia="仿宋_GB2312" w:cs="仿宋_GB2312"/>
          <w:b/>
          <w:sz w:val="32"/>
          <w:szCs w:val="32"/>
        </w:rPr>
      </w:pPr>
      <w:r>
        <w:rPr>
          <w:rFonts w:hint="eastAsia"/>
          <w:b/>
        </w:rPr>
        <w:t xml:space="preserve">  </w:t>
      </w:r>
      <w:r>
        <w:rPr>
          <w:rFonts w:ascii="仿宋_GB2312" w:eastAsia="仿宋_GB2312" w:cs="仿宋_GB2312" w:hint="eastAsia"/>
          <w:b/>
          <w:sz w:val="32"/>
          <w:szCs w:val="32"/>
        </w:rPr>
        <w:t xml:space="preserve">  1．产出数量</w:t>
      </w:r>
    </w:p>
    <w:p w:rsidR="000400A0" w:rsidRDefault="00891D33">
      <w:pPr>
        <w:ind w:firstLineChars="200" w:firstLine="640"/>
        <w:rPr>
          <w:rFonts w:ascii="仿宋_GB2312" w:eastAsia="仿宋_GB2312" w:hAnsi="黑体"/>
          <w:sz w:val="32"/>
          <w:szCs w:val="32"/>
        </w:rPr>
      </w:pPr>
      <w:r>
        <w:rPr>
          <w:rFonts w:ascii="仿宋_GB2312" w:eastAsia="仿宋_GB2312" w:cs="仿宋_GB2312" w:hint="eastAsia"/>
          <w:sz w:val="32"/>
          <w:szCs w:val="32"/>
        </w:rPr>
        <w:t>2021年，</w:t>
      </w:r>
      <w:r>
        <w:rPr>
          <w:rFonts w:ascii="仿宋_GB2312" w:eastAsia="仿宋_GB2312" w:hint="eastAsia"/>
          <w:sz w:val="32"/>
          <w:szCs w:val="32"/>
        </w:rPr>
        <w:t>高标准编制完成《北京市“十四五”时期交通发展建设规划》，全市完成</w:t>
      </w:r>
      <w:r>
        <w:rPr>
          <w:rFonts w:ascii="仿宋_GB2312" w:eastAsia="仿宋_GB2312" w:cs="仿宋_GB2312" w:hint="eastAsia"/>
          <w:sz w:val="32"/>
          <w:szCs w:val="32"/>
        </w:rPr>
        <w:t>交通领域</w:t>
      </w:r>
      <w:r>
        <w:rPr>
          <w:rFonts w:ascii="仿宋_GB2312" w:eastAsia="仿宋_GB2312" w:hAnsi="黑体" w:hint="eastAsia"/>
          <w:sz w:val="32"/>
          <w:szCs w:val="32"/>
        </w:rPr>
        <w:t>固定资产投资792亿元,交通设施明显改善；完成公共交通客运量53.8亿人次，同比增长</w:t>
      </w:r>
      <w:r>
        <w:rPr>
          <w:rFonts w:ascii="仿宋_GB2312" w:eastAsia="仿宋_GB2312" w:hAnsi="黑体"/>
          <w:sz w:val="32"/>
          <w:szCs w:val="32"/>
        </w:rPr>
        <w:t>30.6</w:t>
      </w:r>
      <w:r>
        <w:rPr>
          <w:rFonts w:ascii="仿宋_GB2312" w:eastAsia="仿宋_GB2312" w:hAnsi="黑体" w:hint="eastAsia"/>
          <w:sz w:val="32"/>
          <w:szCs w:val="32"/>
        </w:rPr>
        <w:t>%；共享单车骑行量9.5亿次，增长37.6%；</w:t>
      </w:r>
      <w:r>
        <w:rPr>
          <w:rFonts w:ascii="仿宋_GB2312" w:eastAsia="仿宋_GB2312" w:hint="eastAsia"/>
          <w:sz w:val="32"/>
          <w:szCs w:val="32"/>
        </w:rPr>
        <w:t>中心城区绿色出行比例74%，增长0.9</w:t>
      </w:r>
      <w:r>
        <w:rPr>
          <w:rFonts w:ascii="仿宋_GB2312" w:eastAsia="仿宋_GB2312" w:hAnsi="黑体" w:hint="eastAsia"/>
          <w:sz w:val="32"/>
          <w:szCs w:val="32"/>
        </w:rPr>
        <w:t>个百分点；高峰时段平均道路交通指数</w:t>
      </w:r>
      <w:r>
        <w:rPr>
          <w:rFonts w:ascii="仿宋_GB2312" w:eastAsia="仿宋_GB2312" w:hAnsi="黑体"/>
          <w:sz w:val="32"/>
          <w:szCs w:val="32"/>
        </w:rPr>
        <w:t>5.58，</w:t>
      </w:r>
      <w:r>
        <w:rPr>
          <w:rFonts w:ascii="仿宋_GB2312" w:eastAsia="仿宋_GB2312" w:hAnsi="黑体" w:hint="eastAsia"/>
          <w:sz w:val="32"/>
          <w:szCs w:val="32"/>
        </w:rPr>
        <w:t>交通堵点明显减少。</w:t>
      </w:r>
    </w:p>
    <w:p w:rsidR="000400A0" w:rsidRDefault="00891D33">
      <w:pPr>
        <w:ind w:firstLineChars="200" w:firstLine="640"/>
        <w:rPr>
          <w:rFonts w:ascii="仿宋_GB2312" w:eastAsia="仿宋_GB2312" w:hAnsi="黑体"/>
          <w:sz w:val="32"/>
          <w:szCs w:val="32"/>
        </w:rPr>
      </w:pPr>
      <w:r>
        <w:rPr>
          <w:rFonts w:ascii="仿宋_GB2312" w:eastAsia="仿宋_GB2312" w:hAnsi="黑体" w:hint="eastAsia"/>
          <w:sz w:val="32"/>
          <w:szCs w:val="32"/>
        </w:rPr>
        <w:t>（1）京津</w:t>
      </w:r>
      <w:proofErr w:type="gramStart"/>
      <w:r>
        <w:rPr>
          <w:rFonts w:ascii="仿宋_GB2312" w:eastAsia="仿宋_GB2312" w:hAnsi="黑体" w:hint="eastAsia"/>
          <w:sz w:val="32"/>
          <w:szCs w:val="32"/>
        </w:rPr>
        <w:t>冀交通</w:t>
      </w:r>
      <w:proofErr w:type="gramEnd"/>
      <w:r>
        <w:rPr>
          <w:rFonts w:ascii="仿宋_GB2312" w:eastAsia="仿宋_GB2312" w:hAnsi="黑体" w:hint="eastAsia"/>
          <w:sz w:val="32"/>
          <w:szCs w:val="32"/>
        </w:rPr>
        <w:t>一体化向纵深迈进。京哈高</w:t>
      </w:r>
      <w:proofErr w:type="gramStart"/>
      <w:r>
        <w:rPr>
          <w:rFonts w:ascii="仿宋_GB2312" w:eastAsia="仿宋_GB2312" w:hAnsi="黑体" w:hint="eastAsia"/>
          <w:sz w:val="32"/>
          <w:szCs w:val="32"/>
        </w:rPr>
        <w:t>铁京承段</w:t>
      </w:r>
      <w:proofErr w:type="gramEnd"/>
      <w:r>
        <w:rPr>
          <w:rFonts w:ascii="仿宋_GB2312" w:eastAsia="仿宋_GB2312" w:hAnsi="黑体" w:hint="eastAsia"/>
          <w:sz w:val="32"/>
          <w:szCs w:val="32"/>
        </w:rPr>
        <w:t>开通运营，北京与天津地铁实现一码通乘。国道109新线高速桥隧工程全部进场施工，承平高速实现开工。建成广渠路东延、</w:t>
      </w:r>
      <w:proofErr w:type="gramStart"/>
      <w:r>
        <w:rPr>
          <w:rFonts w:ascii="仿宋_GB2312" w:eastAsia="仿宋_GB2312" w:hAnsi="黑体" w:hint="eastAsia"/>
          <w:sz w:val="32"/>
          <w:szCs w:val="32"/>
        </w:rPr>
        <w:t>武窑桥改建</w:t>
      </w:r>
      <w:proofErr w:type="gramEnd"/>
      <w:r>
        <w:rPr>
          <w:rFonts w:ascii="仿宋_GB2312" w:eastAsia="仿宋_GB2312" w:hAnsi="黑体" w:hint="eastAsia"/>
          <w:sz w:val="32"/>
          <w:szCs w:val="32"/>
        </w:rPr>
        <w:t>、广渠路公交走廊、环球影城京哈立交和六环立交。北运河（通州段）40公里游船全线通航。</w:t>
      </w:r>
    </w:p>
    <w:p w:rsidR="000400A0" w:rsidRDefault="00891D33">
      <w:pPr>
        <w:ind w:firstLineChars="200" w:firstLine="640"/>
        <w:rPr>
          <w:rFonts w:ascii="仿宋_GB2312" w:eastAsia="仿宋_GB2312" w:hAnsi="仿宋_GB2312" w:cs="仿宋_GB2312"/>
          <w:sz w:val="32"/>
          <w:szCs w:val="32"/>
        </w:rPr>
      </w:pPr>
      <w:r>
        <w:rPr>
          <w:rFonts w:ascii="仿宋_GB2312" w:eastAsia="仿宋_GB2312" w:hAnsi="黑体" w:hint="eastAsia"/>
          <w:sz w:val="32"/>
          <w:szCs w:val="32"/>
        </w:rPr>
        <w:t>（2）交通综合治理成效明显。8号线三期北段等9条</w:t>
      </w:r>
      <w:proofErr w:type="gramStart"/>
      <w:r>
        <w:rPr>
          <w:rFonts w:ascii="仿宋_GB2312" w:eastAsia="仿宋_GB2312" w:hAnsi="黑体" w:hint="eastAsia"/>
          <w:sz w:val="32"/>
          <w:szCs w:val="32"/>
        </w:rPr>
        <w:t>段城市</w:t>
      </w:r>
      <w:proofErr w:type="gramEnd"/>
      <w:r>
        <w:rPr>
          <w:rFonts w:ascii="仿宋_GB2312" w:eastAsia="仿宋_GB2312" w:hAnsi="黑体" w:hint="eastAsia"/>
          <w:sz w:val="32"/>
          <w:szCs w:val="32"/>
        </w:rPr>
        <w:t>轨道线路开通，轨道交通运营里程达1148公里（含市郊铁路364.7公里）。202</w:t>
      </w:r>
      <w:r>
        <w:rPr>
          <w:rFonts w:ascii="仿宋_GB2312" w:eastAsia="仿宋_GB2312" w:hAnsi="仿宋_GB2312" w:cs="仿宋_GB2312" w:hint="eastAsia"/>
          <w:sz w:val="32"/>
          <w:szCs w:val="32"/>
        </w:rPr>
        <w:t>1</w:t>
      </w:r>
      <w:r>
        <w:rPr>
          <w:rFonts w:ascii="仿宋_GB2312" w:eastAsia="仿宋_GB2312" w:hAnsi="仿宋_GB2312" w:cs="仿宋_GB2312"/>
          <w:sz w:val="32"/>
          <w:szCs w:val="32"/>
        </w:rPr>
        <w:t>年轨道交通</w:t>
      </w:r>
      <w:r>
        <w:rPr>
          <w:rFonts w:ascii="仿宋_GB2312" w:eastAsia="仿宋_GB2312" w:hAnsi="仿宋_GB2312" w:cs="仿宋_GB2312" w:hint="eastAsia"/>
          <w:sz w:val="32"/>
          <w:szCs w:val="32"/>
        </w:rPr>
        <w:t>客运量</w:t>
      </w:r>
      <w:r>
        <w:rPr>
          <w:rFonts w:ascii="仿宋_GB2312" w:eastAsia="仿宋_GB2312" w:hAnsi="仿宋_GB2312" w:cs="仿宋_GB2312"/>
          <w:sz w:val="32"/>
          <w:szCs w:val="32"/>
        </w:rPr>
        <w:t>30.8亿人次</w:t>
      </w:r>
      <w:r>
        <w:rPr>
          <w:rFonts w:ascii="仿宋_GB2312" w:eastAsia="仿宋_GB2312" w:hAnsi="仿宋_GB2312" w:cs="仿宋_GB2312" w:hint="eastAsia"/>
          <w:sz w:val="32"/>
          <w:szCs w:val="32"/>
        </w:rPr>
        <w:t>，</w:t>
      </w:r>
      <w:r>
        <w:rPr>
          <w:rFonts w:ascii="仿宋_GB2312" w:eastAsia="仿宋_GB2312" w:hAnsi="仿宋_GB2312" w:cs="仿宋_GB2312"/>
          <w:sz w:val="32"/>
          <w:szCs w:val="32"/>
        </w:rPr>
        <w:lastRenderedPageBreak/>
        <w:t>同比</w:t>
      </w:r>
      <w:r>
        <w:rPr>
          <w:rFonts w:ascii="仿宋_GB2312" w:eastAsia="仿宋_GB2312" w:hAnsi="仿宋_GB2312" w:cs="仿宋_GB2312" w:hint="eastAsia"/>
          <w:sz w:val="32"/>
          <w:szCs w:val="32"/>
        </w:rPr>
        <w:t>上年</w:t>
      </w:r>
      <w:r>
        <w:rPr>
          <w:rFonts w:ascii="仿宋_GB2312" w:eastAsia="仿宋_GB2312" w:hAnsi="仿宋_GB2312" w:cs="仿宋_GB2312"/>
          <w:sz w:val="32"/>
          <w:szCs w:val="32"/>
        </w:rPr>
        <w:t>增长34.4%</w:t>
      </w:r>
      <w:r>
        <w:rPr>
          <w:rFonts w:ascii="仿宋_GB2312" w:eastAsia="仿宋_GB2312" w:hAnsi="仿宋_GB2312" w:cs="仿宋_GB2312" w:hint="eastAsia"/>
          <w:sz w:val="32"/>
          <w:szCs w:val="32"/>
        </w:rPr>
        <w:t>。</w:t>
      </w:r>
      <w:r>
        <w:rPr>
          <w:rFonts w:ascii="仿宋_GB2312" w:eastAsia="仿宋_GB2312" w:hAnsi="仿宋_GB2312" w:cs="仿宋_GB2312" w:hint="eastAsia"/>
          <w:bCs/>
          <w:sz w:val="32"/>
          <w:szCs w:val="32"/>
        </w:rPr>
        <w:t>持续</w:t>
      </w:r>
      <w:r>
        <w:rPr>
          <w:rFonts w:ascii="仿宋_GB2312" w:eastAsia="仿宋_GB2312" w:hAnsi="仿宋_GB2312" w:cs="仿宋_GB2312" w:hint="eastAsia"/>
          <w:sz w:val="32"/>
          <w:szCs w:val="32"/>
        </w:rPr>
        <w:t>完善“干普微”三级地面公交线网，有效提升了运输效率，2021年公共电汽车客运量</w:t>
      </w:r>
      <w:r>
        <w:rPr>
          <w:rFonts w:ascii="仿宋_GB2312" w:eastAsia="仿宋_GB2312" w:hAnsi="仿宋_GB2312" w:cs="仿宋_GB2312"/>
          <w:sz w:val="32"/>
          <w:szCs w:val="32"/>
        </w:rPr>
        <w:t>23</w:t>
      </w:r>
      <w:r>
        <w:rPr>
          <w:rFonts w:ascii="仿宋_GB2312" w:eastAsia="仿宋_GB2312" w:hAnsi="仿宋_GB2312" w:cs="仿宋_GB2312" w:hint="eastAsia"/>
          <w:sz w:val="32"/>
          <w:szCs w:val="32"/>
        </w:rPr>
        <w:t>亿人次，同比上年增长</w:t>
      </w:r>
      <w:r>
        <w:rPr>
          <w:rFonts w:ascii="仿宋_GB2312" w:eastAsia="仿宋_GB2312" w:hAnsi="仿宋_GB2312" w:cs="仿宋_GB2312"/>
          <w:sz w:val="32"/>
          <w:szCs w:val="32"/>
        </w:rPr>
        <w:t>25.8%</w:t>
      </w:r>
      <w:r>
        <w:rPr>
          <w:rFonts w:ascii="仿宋_GB2312" w:eastAsia="仿宋_GB2312" w:hAnsi="仿宋_GB2312" w:cs="仿宋_GB2312" w:hint="eastAsia"/>
          <w:sz w:val="32"/>
          <w:szCs w:val="32"/>
        </w:rPr>
        <w:t>。</w:t>
      </w:r>
    </w:p>
    <w:p w:rsidR="000400A0" w:rsidRDefault="00891D33">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（3）道路建设养护稳步推进。实施20项市级疏堵工程，建成21条次支路。完成151万平米城市道路大修工程。创建“美丽乡村路”225公里，“窄路加宽”182公里。</w:t>
      </w:r>
    </w:p>
    <w:p w:rsidR="000400A0" w:rsidRDefault="00891D33">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（4）道路停车改革实现全覆盖。共上线1055条道路、9.28万个车位；建成全市统一停车资源平台，对外提供信息服务。强化共享单车合</w:t>
      </w:r>
      <w:proofErr w:type="gramStart"/>
      <w:r>
        <w:rPr>
          <w:rFonts w:ascii="仿宋_GB2312" w:eastAsia="仿宋_GB2312" w:hAnsi="仿宋_GB2312" w:cs="仿宋_GB2312" w:hint="eastAsia"/>
          <w:sz w:val="32"/>
          <w:szCs w:val="32"/>
        </w:rPr>
        <w:t>规</w:t>
      </w:r>
      <w:proofErr w:type="gramEnd"/>
      <w:r>
        <w:rPr>
          <w:rFonts w:ascii="仿宋_GB2312" w:eastAsia="仿宋_GB2312" w:hAnsi="仿宋_GB2312" w:cs="仿宋_GB2312" w:hint="eastAsia"/>
          <w:sz w:val="32"/>
          <w:szCs w:val="32"/>
        </w:rPr>
        <w:t>投放，重点治理投诉集中区域，车辆合</w:t>
      </w:r>
      <w:proofErr w:type="gramStart"/>
      <w:r>
        <w:rPr>
          <w:rFonts w:ascii="仿宋_GB2312" w:eastAsia="仿宋_GB2312" w:hAnsi="仿宋_GB2312" w:cs="仿宋_GB2312" w:hint="eastAsia"/>
          <w:sz w:val="32"/>
          <w:szCs w:val="32"/>
        </w:rPr>
        <w:t>规</w:t>
      </w:r>
      <w:proofErr w:type="gramEnd"/>
      <w:r>
        <w:rPr>
          <w:rFonts w:ascii="仿宋_GB2312" w:eastAsia="仿宋_GB2312" w:hAnsi="仿宋_GB2312" w:cs="仿宋_GB2312" w:hint="eastAsia"/>
          <w:sz w:val="32"/>
          <w:szCs w:val="32"/>
        </w:rPr>
        <w:t>率提升至95%以上。</w:t>
      </w:r>
    </w:p>
    <w:p w:rsidR="000400A0" w:rsidRDefault="00891D33">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（5）以规范管理强法治。完善交通运输标准体系，发布1项国标、</w:t>
      </w:r>
      <w:proofErr w:type="gramStart"/>
      <w:r>
        <w:rPr>
          <w:rFonts w:ascii="仿宋_GB2312" w:eastAsia="仿宋_GB2312" w:hAnsi="仿宋_GB2312" w:cs="仿宋_GB2312" w:hint="eastAsia"/>
          <w:sz w:val="32"/>
          <w:szCs w:val="32"/>
        </w:rPr>
        <w:t>9项行标和</w:t>
      </w:r>
      <w:proofErr w:type="gramEnd"/>
      <w:r>
        <w:rPr>
          <w:rFonts w:ascii="仿宋_GB2312" w:eastAsia="仿宋_GB2312" w:hAnsi="仿宋_GB2312" w:cs="仿宋_GB2312" w:hint="eastAsia"/>
          <w:sz w:val="32"/>
          <w:szCs w:val="32"/>
        </w:rPr>
        <w:t>8项地标，完成68项标准复审、评估，交通行业管理进一步规范。查处6.6万件交通运输违法违章，对84家责任主体实施超载超限“</w:t>
      </w:r>
      <w:proofErr w:type="gramStart"/>
      <w:r>
        <w:rPr>
          <w:rFonts w:ascii="仿宋_GB2312" w:eastAsia="仿宋_GB2312" w:hAnsi="仿宋_GB2312" w:cs="仿宋_GB2312" w:hint="eastAsia"/>
          <w:sz w:val="32"/>
          <w:szCs w:val="32"/>
        </w:rPr>
        <w:t>一</w:t>
      </w:r>
      <w:proofErr w:type="gramEnd"/>
      <w:r>
        <w:rPr>
          <w:rFonts w:ascii="仿宋_GB2312" w:eastAsia="仿宋_GB2312" w:hAnsi="仿宋_GB2312" w:cs="仿宋_GB2312" w:hint="eastAsia"/>
          <w:sz w:val="32"/>
          <w:szCs w:val="32"/>
        </w:rPr>
        <w:t>超四罚”，高速公路、</w:t>
      </w:r>
      <w:proofErr w:type="gramStart"/>
      <w:r>
        <w:rPr>
          <w:rFonts w:ascii="仿宋_GB2312" w:eastAsia="仿宋_GB2312" w:hAnsi="仿宋_GB2312" w:cs="仿宋_GB2312" w:hint="eastAsia"/>
          <w:sz w:val="32"/>
          <w:szCs w:val="32"/>
        </w:rPr>
        <w:t>综检站</w:t>
      </w:r>
      <w:proofErr w:type="gramEnd"/>
      <w:r>
        <w:rPr>
          <w:rFonts w:ascii="仿宋_GB2312" w:eastAsia="仿宋_GB2312" w:hAnsi="仿宋_GB2312" w:cs="仿宋_GB2312" w:hint="eastAsia"/>
          <w:sz w:val="32"/>
          <w:szCs w:val="32"/>
        </w:rPr>
        <w:t>超载超限率分别降至0.05%、0.3%。</w:t>
      </w:r>
    </w:p>
    <w:p w:rsidR="000400A0" w:rsidRDefault="00891D33">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（6）持续深化“放管服”改革。</w:t>
      </w:r>
      <w:r>
        <w:rPr>
          <w:rFonts w:ascii="仿宋_GB2312" w:eastAsia="仿宋_GB2312" w:hAnsi="仿宋_GB2312" w:cs="仿宋_GB2312"/>
          <w:sz w:val="32"/>
          <w:szCs w:val="32"/>
        </w:rPr>
        <w:t>全面优化</w:t>
      </w:r>
      <w:r>
        <w:rPr>
          <w:rFonts w:ascii="仿宋_GB2312" w:eastAsia="仿宋_GB2312" w:hAnsi="仿宋_GB2312" w:cs="仿宋_GB2312" w:hint="eastAsia"/>
          <w:sz w:val="32"/>
          <w:szCs w:val="32"/>
        </w:rPr>
        <w:t>政务服务事项，</w:t>
      </w:r>
      <w:r>
        <w:rPr>
          <w:rFonts w:ascii="仿宋_GB2312" w:eastAsia="仿宋_GB2312" w:hAnsi="仿宋_GB2312" w:cs="仿宋_GB2312"/>
          <w:sz w:val="32"/>
          <w:szCs w:val="32"/>
        </w:rPr>
        <w:t>由改革前363个优化为274个，全部实现“一网通办、全程网办、跨区协办、全市可办”</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33个事项</w:t>
      </w:r>
      <w:r>
        <w:rPr>
          <w:rFonts w:ascii="仿宋_GB2312" w:eastAsia="仿宋_GB2312" w:hAnsi="仿宋_GB2312" w:cs="仿宋_GB2312" w:hint="eastAsia"/>
          <w:sz w:val="32"/>
          <w:szCs w:val="32"/>
        </w:rPr>
        <w:t>实现</w:t>
      </w:r>
      <w:r>
        <w:rPr>
          <w:rFonts w:ascii="仿宋_GB2312" w:eastAsia="仿宋_GB2312" w:hAnsi="仿宋_GB2312" w:cs="仿宋_GB2312"/>
          <w:sz w:val="32"/>
          <w:szCs w:val="32"/>
        </w:rPr>
        <w:t>“京津冀+雄安”跨省通办</w:t>
      </w:r>
      <w:r>
        <w:rPr>
          <w:rFonts w:ascii="仿宋_GB2312" w:eastAsia="仿宋_GB2312" w:hAnsi="仿宋_GB2312" w:cs="仿宋_GB2312" w:hint="eastAsia"/>
          <w:sz w:val="32"/>
          <w:szCs w:val="32"/>
        </w:rPr>
        <w:t>，政务服务效率大幅度提升</w:t>
      </w:r>
      <w:r>
        <w:rPr>
          <w:rFonts w:ascii="仿宋_GB2312" w:eastAsia="仿宋_GB2312" w:hAnsi="仿宋_GB2312" w:cs="仿宋_GB2312"/>
          <w:sz w:val="32"/>
          <w:szCs w:val="32"/>
        </w:rPr>
        <w:t>。</w:t>
      </w:r>
    </w:p>
    <w:p w:rsidR="000400A0" w:rsidRDefault="00891D33">
      <w:pPr>
        <w:ind w:firstLineChars="200" w:firstLine="643"/>
        <w:rPr>
          <w:rFonts w:ascii="仿宋_GB2312" w:eastAsia="仿宋_GB2312" w:hAnsi="仿宋_GB2312" w:cs="仿宋_GB2312"/>
          <w:b/>
          <w:sz w:val="32"/>
          <w:szCs w:val="32"/>
        </w:rPr>
      </w:pPr>
      <w:r>
        <w:rPr>
          <w:rFonts w:ascii="仿宋_GB2312" w:eastAsia="仿宋_GB2312" w:hAnsi="仿宋_GB2312" w:cs="仿宋_GB2312" w:hint="eastAsia"/>
          <w:b/>
          <w:sz w:val="32"/>
          <w:szCs w:val="32"/>
        </w:rPr>
        <w:t>2．产出质量</w:t>
      </w:r>
    </w:p>
    <w:p w:rsidR="000400A0" w:rsidRDefault="00891D33">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（1）以京津冀协同发展交通一体化规划和《国家综合立体交通网规划纲要》为指导，加快推进京津冀交通设施互</w:t>
      </w:r>
      <w:r>
        <w:rPr>
          <w:rFonts w:ascii="仿宋_GB2312" w:eastAsia="仿宋_GB2312" w:hAnsi="仿宋_GB2312" w:cs="仿宋_GB2312" w:hint="eastAsia"/>
          <w:sz w:val="32"/>
          <w:szCs w:val="32"/>
        </w:rPr>
        <w:lastRenderedPageBreak/>
        <w:t>联互通和运输一体化发展，取得新进展。</w:t>
      </w:r>
    </w:p>
    <w:p w:rsidR="000400A0" w:rsidRDefault="00891D33">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（2）紧紧围绕首都“四个中心”功能建设，加强重大活动交通服务保障，高标准完成建党100周年庆祝活动交通服务保障，圆满完成第二届联合国全球可持续交通大会承办任务，服务首都发展的能力得到提升。</w:t>
      </w:r>
    </w:p>
    <w:p w:rsidR="000400A0" w:rsidRDefault="00891D33">
      <w:pPr>
        <w:overflowPunct w:val="0"/>
        <w:spacing w:line="57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w:t>
      </w:r>
      <w:r>
        <w:rPr>
          <w:rFonts w:ascii="仿宋_GB2312" w:eastAsia="仿宋_GB2312" w:hAnsi="仿宋_GB2312" w:cs="仿宋_GB2312"/>
          <w:sz w:val="32"/>
          <w:szCs w:val="32"/>
        </w:rPr>
        <w:t>持续</w:t>
      </w:r>
      <w:r>
        <w:rPr>
          <w:rFonts w:ascii="仿宋_GB2312" w:eastAsia="仿宋_GB2312" w:hAnsi="仿宋_GB2312" w:cs="仿宋_GB2312" w:hint="eastAsia"/>
          <w:sz w:val="32"/>
          <w:szCs w:val="32"/>
        </w:rPr>
        <w:t>推动</w:t>
      </w:r>
      <w:r>
        <w:rPr>
          <w:rFonts w:ascii="仿宋_GB2312" w:eastAsia="仿宋_GB2312" w:hAnsi="仿宋_GB2312" w:cs="仿宋_GB2312"/>
          <w:sz w:val="32"/>
          <w:szCs w:val="32"/>
        </w:rPr>
        <w:t>交通综合治理</w:t>
      </w:r>
      <w:r>
        <w:rPr>
          <w:rFonts w:ascii="仿宋_GB2312" w:eastAsia="仿宋_GB2312" w:hAnsi="仿宋_GB2312" w:cs="仿宋_GB2312" w:hint="eastAsia"/>
          <w:sz w:val="32"/>
          <w:szCs w:val="32"/>
        </w:rPr>
        <w:t>向</w:t>
      </w:r>
      <w:r>
        <w:rPr>
          <w:rFonts w:ascii="仿宋_GB2312" w:eastAsia="仿宋_GB2312" w:hAnsi="仿宋_GB2312" w:cs="仿宋_GB2312"/>
          <w:sz w:val="32"/>
          <w:szCs w:val="32"/>
        </w:rPr>
        <w:t>深</w:t>
      </w:r>
      <w:r>
        <w:rPr>
          <w:rFonts w:ascii="仿宋_GB2312" w:eastAsia="仿宋_GB2312" w:hAnsi="仿宋_GB2312" w:cs="仿宋_GB2312" w:hint="eastAsia"/>
          <w:sz w:val="32"/>
          <w:szCs w:val="32"/>
        </w:rPr>
        <w:t>层次拓展</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在轨道既有线网优化提升、道路停车</w:t>
      </w:r>
      <w:r>
        <w:rPr>
          <w:rFonts w:ascii="仿宋_GB2312" w:eastAsia="仿宋_GB2312" w:hAnsi="仿宋_GB2312" w:cs="仿宋_GB2312"/>
          <w:sz w:val="32"/>
          <w:szCs w:val="32"/>
        </w:rPr>
        <w:t>改革</w:t>
      </w:r>
      <w:r>
        <w:rPr>
          <w:rFonts w:ascii="仿宋_GB2312" w:eastAsia="仿宋_GB2312" w:hAnsi="仿宋_GB2312" w:cs="仿宋_GB2312" w:hint="eastAsia"/>
          <w:sz w:val="32"/>
          <w:szCs w:val="32"/>
        </w:rPr>
        <w:t>、慢行系统</w:t>
      </w:r>
      <w:r>
        <w:rPr>
          <w:rFonts w:ascii="仿宋_GB2312" w:eastAsia="仿宋_GB2312" w:hAnsi="仿宋_GB2312" w:cs="仿宋_GB2312"/>
          <w:sz w:val="32"/>
          <w:szCs w:val="32"/>
        </w:rPr>
        <w:t>品质提升</w:t>
      </w:r>
      <w:r>
        <w:rPr>
          <w:rFonts w:ascii="仿宋_GB2312" w:eastAsia="仿宋_GB2312" w:hAnsi="仿宋_GB2312" w:cs="仿宋_GB2312" w:hint="eastAsia"/>
          <w:sz w:val="32"/>
          <w:szCs w:val="32"/>
        </w:rPr>
        <w:t>、违规电动三四轮车治理、超标电动自行车加快淘汰等方面取得重点突破，公交运行体制改革及效率提升得到市政府充分肯定，实施10处重点区域交通综合治理，治理</w:t>
      </w:r>
      <w:proofErr w:type="gramStart"/>
      <w:r>
        <w:rPr>
          <w:rFonts w:ascii="仿宋_GB2312" w:eastAsia="仿宋_GB2312" w:hAnsi="仿宋_GB2312" w:cs="仿宋_GB2312" w:hint="eastAsia"/>
          <w:sz w:val="32"/>
          <w:szCs w:val="32"/>
        </w:rPr>
        <w:t>后交通</w:t>
      </w:r>
      <w:proofErr w:type="gramEnd"/>
      <w:r>
        <w:rPr>
          <w:rFonts w:ascii="仿宋_GB2312" w:eastAsia="仿宋_GB2312" w:hAnsi="仿宋_GB2312" w:cs="仿宋_GB2312" w:hint="eastAsia"/>
          <w:sz w:val="32"/>
          <w:szCs w:val="32"/>
        </w:rPr>
        <w:t>运行状况均有不同程度的改善。</w:t>
      </w:r>
    </w:p>
    <w:p w:rsidR="000400A0" w:rsidRDefault="00891D33">
      <w:pPr>
        <w:overflowPunct w:val="0"/>
        <w:spacing w:line="57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（4）落实工程项目交竣工验收机制，工程项目质量符合国家和本市有关要求。</w:t>
      </w:r>
    </w:p>
    <w:p w:rsidR="000400A0" w:rsidRDefault="00891D33">
      <w:pPr>
        <w:ind w:firstLineChars="200" w:firstLine="643"/>
        <w:rPr>
          <w:rFonts w:ascii="仿宋_GB2312" w:eastAsia="仿宋_GB2312" w:hAnsi="仿宋_GB2312" w:cs="仿宋_GB2312"/>
          <w:b/>
          <w:sz w:val="32"/>
          <w:szCs w:val="32"/>
        </w:rPr>
      </w:pPr>
      <w:r>
        <w:rPr>
          <w:rFonts w:ascii="仿宋_GB2312" w:eastAsia="仿宋_GB2312" w:hAnsi="仿宋_GB2312" w:cs="仿宋_GB2312" w:hint="eastAsia"/>
          <w:b/>
          <w:sz w:val="32"/>
          <w:szCs w:val="32"/>
        </w:rPr>
        <w:t>3．产出进度</w:t>
      </w:r>
    </w:p>
    <w:p w:rsidR="000400A0" w:rsidRDefault="00891D33">
      <w:pPr>
        <w:overflowPunct w:val="0"/>
        <w:spacing w:line="570" w:lineRule="exact"/>
        <w:ind w:firstLineChars="200" w:firstLine="640"/>
        <w:rPr>
          <w:rFonts w:ascii="仿宋_GB2312" w:eastAsia="仿宋_GB2312" w:hAnsi="Calibri" w:cs="宋体"/>
          <w:bCs/>
          <w:sz w:val="32"/>
          <w:szCs w:val="32"/>
        </w:rPr>
      </w:pPr>
      <w:r>
        <w:rPr>
          <w:rFonts w:ascii="仿宋_GB2312" w:eastAsia="仿宋_GB2312" w:hAnsi="Calibri" w:cs="宋体" w:hint="eastAsia"/>
          <w:bCs/>
          <w:sz w:val="32"/>
          <w:szCs w:val="32"/>
        </w:rPr>
        <w:t>落实委内督查督办机制，全年跟踪重点事项进展情况，加强调度，市政府实事、折子工程、重大活动保障等重点工作按期完成，工程项目按计划实施，管理和改革事项按计划推进，执法工作有序开展，资金支付与项目推进相结合，预算执行率达到</w:t>
      </w:r>
      <w:r>
        <w:rPr>
          <w:rFonts w:ascii="仿宋_GB2312" w:eastAsia="仿宋_GB2312" w:hAnsi="宋体" w:cs="宋体" w:hint="eastAsia"/>
          <w:color w:val="000000"/>
          <w:kern w:val="0"/>
          <w:sz w:val="32"/>
          <w:szCs w:val="32"/>
        </w:rPr>
        <w:t>94.84</w:t>
      </w:r>
      <w:r>
        <w:rPr>
          <w:rFonts w:ascii="仿宋_GB2312" w:eastAsia="仿宋_GB2312" w:hAnsi="Calibri" w:cs="宋体" w:hint="eastAsia"/>
          <w:bCs/>
          <w:sz w:val="32"/>
          <w:szCs w:val="32"/>
        </w:rPr>
        <w:t>%。</w:t>
      </w:r>
    </w:p>
    <w:p w:rsidR="000400A0" w:rsidRDefault="00891D33">
      <w:pPr>
        <w:overflowPunct w:val="0"/>
        <w:spacing w:line="570" w:lineRule="exact"/>
        <w:ind w:firstLineChars="200" w:firstLine="643"/>
        <w:rPr>
          <w:rFonts w:ascii="仿宋_GB2312" w:eastAsia="仿宋_GB2312" w:hAnsi="仿宋_GB2312" w:cs="仿宋_GB2312"/>
          <w:b/>
          <w:sz w:val="32"/>
          <w:szCs w:val="32"/>
        </w:rPr>
      </w:pPr>
      <w:r>
        <w:rPr>
          <w:rFonts w:ascii="仿宋_GB2312" w:eastAsia="仿宋_GB2312" w:hAnsi="仿宋_GB2312" w:cs="仿宋_GB2312" w:hint="eastAsia"/>
          <w:b/>
          <w:sz w:val="32"/>
          <w:szCs w:val="32"/>
        </w:rPr>
        <w:t>4．产出成本</w:t>
      </w:r>
    </w:p>
    <w:p w:rsidR="000400A0" w:rsidRDefault="00891D33">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通过预算项目事前绩效评估、预算评审，工程项目概算审核、结算评审，规范开展招投标等工作，全面控制项目成本。2021年市交通委全年预算1,932,077.37万元，资金支</w:t>
      </w:r>
      <w:r>
        <w:rPr>
          <w:rFonts w:ascii="仿宋_GB2312" w:eastAsia="仿宋_GB2312" w:hAnsi="宋体" w:cs="宋体" w:hint="eastAsia"/>
          <w:color w:val="000000"/>
          <w:kern w:val="0"/>
          <w:sz w:val="32"/>
          <w:szCs w:val="32"/>
        </w:rPr>
        <w:lastRenderedPageBreak/>
        <w:t>出</w:t>
      </w:r>
      <w:r>
        <w:rPr>
          <w:rFonts w:ascii="仿宋_GB2312" w:eastAsia="仿宋_GB2312" w:hAnsi="宋体" w:cs="宋体"/>
          <w:color w:val="000000"/>
          <w:kern w:val="0"/>
          <w:sz w:val="32"/>
          <w:szCs w:val="32"/>
        </w:rPr>
        <w:t>1</w:t>
      </w:r>
      <w:r>
        <w:rPr>
          <w:rFonts w:ascii="仿宋_GB2312" w:eastAsia="仿宋_GB2312" w:hAnsi="宋体" w:cs="宋体" w:hint="eastAsia"/>
          <w:color w:val="000000"/>
          <w:kern w:val="0"/>
          <w:sz w:val="32"/>
          <w:szCs w:val="32"/>
        </w:rPr>
        <w:t>,</w:t>
      </w:r>
      <w:r>
        <w:rPr>
          <w:rFonts w:ascii="仿宋_GB2312" w:eastAsia="仿宋_GB2312" w:hAnsi="宋体" w:cs="宋体"/>
          <w:color w:val="000000"/>
          <w:kern w:val="0"/>
          <w:sz w:val="32"/>
          <w:szCs w:val="32"/>
        </w:rPr>
        <w:t>832</w:t>
      </w:r>
      <w:r>
        <w:rPr>
          <w:rFonts w:ascii="仿宋_GB2312" w:eastAsia="仿宋_GB2312" w:hAnsi="宋体" w:cs="宋体" w:hint="eastAsia"/>
          <w:color w:val="000000"/>
          <w:kern w:val="0"/>
          <w:sz w:val="32"/>
          <w:szCs w:val="32"/>
        </w:rPr>
        <w:t>,</w:t>
      </w:r>
      <w:r>
        <w:rPr>
          <w:rFonts w:ascii="仿宋_GB2312" w:eastAsia="仿宋_GB2312" w:hAnsi="宋体" w:cs="宋体"/>
          <w:color w:val="000000"/>
          <w:kern w:val="0"/>
          <w:sz w:val="32"/>
          <w:szCs w:val="32"/>
        </w:rPr>
        <w:t>438</w:t>
      </w:r>
      <w:r>
        <w:rPr>
          <w:rFonts w:ascii="仿宋_GB2312" w:eastAsia="仿宋_GB2312" w:hAnsi="宋体" w:cs="宋体" w:hint="eastAsia"/>
          <w:color w:val="000000"/>
          <w:kern w:val="0"/>
          <w:sz w:val="32"/>
          <w:szCs w:val="32"/>
        </w:rPr>
        <w:t>.</w:t>
      </w:r>
      <w:r>
        <w:rPr>
          <w:rFonts w:ascii="仿宋_GB2312" w:eastAsia="仿宋_GB2312" w:hAnsi="宋体" w:cs="宋体"/>
          <w:color w:val="000000"/>
          <w:kern w:val="0"/>
          <w:sz w:val="32"/>
          <w:szCs w:val="32"/>
        </w:rPr>
        <w:t>9</w:t>
      </w:r>
      <w:r>
        <w:rPr>
          <w:rFonts w:ascii="仿宋_GB2312" w:eastAsia="仿宋_GB2312" w:hAnsi="宋体" w:cs="宋体" w:hint="eastAsia"/>
          <w:color w:val="000000"/>
          <w:kern w:val="0"/>
          <w:sz w:val="32"/>
          <w:szCs w:val="32"/>
        </w:rPr>
        <w:t>5万元，预算执行率为94.84%。</w:t>
      </w:r>
    </w:p>
    <w:p w:rsidR="000400A0" w:rsidRDefault="00891D33">
      <w:pPr>
        <w:pStyle w:val="2"/>
        <w:spacing w:before="0" w:after="0" w:line="360" w:lineRule="auto"/>
        <w:ind w:left="640"/>
        <w:rPr>
          <w:rFonts w:ascii="楷体_GB2312" w:eastAsia="楷体_GB2312" w:hAnsi="楷体_GB2312" w:cs="楷体_GB2312"/>
          <w:b w:val="0"/>
          <w:bCs/>
        </w:rPr>
      </w:pPr>
      <w:bookmarkStart w:id="7" w:name="_Toc20703"/>
      <w:bookmarkEnd w:id="6"/>
      <w:r>
        <w:rPr>
          <w:rFonts w:ascii="楷体_GB2312" w:eastAsia="楷体_GB2312" w:hAnsi="楷体_GB2312" w:cs="楷体_GB2312" w:hint="eastAsia"/>
          <w:b w:val="0"/>
          <w:bCs/>
        </w:rPr>
        <w:t>（二）效果实现情况分析</w:t>
      </w:r>
      <w:bookmarkEnd w:id="7"/>
    </w:p>
    <w:p w:rsidR="000400A0" w:rsidRDefault="00891D33">
      <w:pPr>
        <w:spacing w:line="600" w:lineRule="exact"/>
        <w:ind w:leftChars="50" w:left="105" w:firstLineChars="150" w:firstLine="482"/>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1.经济</w:t>
      </w:r>
      <w:r>
        <w:rPr>
          <w:rFonts w:ascii="仿宋_GB2312" w:eastAsia="仿宋_GB2312" w:hAnsi="宋体" w:cs="宋体"/>
          <w:b/>
          <w:bCs/>
          <w:color w:val="000000"/>
          <w:kern w:val="0"/>
          <w:sz w:val="32"/>
          <w:szCs w:val="32"/>
        </w:rPr>
        <w:t>效益</w:t>
      </w:r>
    </w:p>
    <w:p w:rsidR="000400A0" w:rsidRDefault="00891D33">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2021</w:t>
      </w:r>
      <w:r w:rsidR="00AD262D">
        <w:rPr>
          <w:rFonts w:ascii="仿宋_GB2312" w:eastAsia="仿宋_GB2312" w:hAnsi="宋体" w:cs="宋体" w:hint="eastAsia"/>
          <w:color w:val="000000"/>
          <w:kern w:val="0"/>
          <w:sz w:val="32"/>
          <w:szCs w:val="32"/>
        </w:rPr>
        <w:t>年</w:t>
      </w:r>
      <w:r>
        <w:rPr>
          <w:rFonts w:ascii="仿宋_GB2312" w:eastAsia="仿宋_GB2312" w:hAnsi="宋体" w:cs="宋体" w:hint="eastAsia"/>
          <w:color w:val="000000"/>
          <w:kern w:val="0"/>
          <w:sz w:val="32"/>
          <w:szCs w:val="32"/>
        </w:rPr>
        <w:t>,市交通</w:t>
      </w:r>
      <w:proofErr w:type="gramStart"/>
      <w:r>
        <w:rPr>
          <w:rFonts w:ascii="仿宋_GB2312" w:eastAsia="仿宋_GB2312" w:hAnsi="宋体" w:cs="宋体" w:hint="eastAsia"/>
          <w:color w:val="000000"/>
          <w:kern w:val="0"/>
          <w:sz w:val="32"/>
          <w:szCs w:val="32"/>
        </w:rPr>
        <w:t>委</w:t>
      </w:r>
      <w:r w:rsidR="00AD262D">
        <w:rPr>
          <w:rFonts w:ascii="仿宋_GB2312" w:eastAsia="仿宋_GB2312" w:hAnsi="宋体" w:cs="宋体" w:hint="eastAsia"/>
          <w:color w:val="000000"/>
          <w:kern w:val="0"/>
          <w:sz w:val="32"/>
          <w:szCs w:val="32"/>
        </w:rPr>
        <w:t>预算</w:t>
      </w:r>
      <w:proofErr w:type="gramEnd"/>
      <w:r>
        <w:rPr>
          <w:rFonts w:ascii="仿宋_GB2312" w:eastAsia="仿宋_GB2312" w:hAnsi="宋体" w:cs="宋体" w:hint="eastAsia"/>
          <w:color w:val="000000"/>
          <w:kern w:val="0"/>
          <w:sz w:val="32"/>
          <w:szCs w:val="32"/>
        </w:rPr>
        <w:t>支出资金183.24亿元，交通设施改善，交通堵点减少，交通服务水平得以提高，努力降低人们出行的经济成本和时间成本，对完成全市经济发展目标、拉动投资、促进就业、提高居民收入起到了应有的作用。</w:t>
      </w:r>
    </w:p>
    <w:p w:rsidR="000400A0" w:rsidRDefault="00891D33">
      <w:pPr>
        <w:spacing w:line="600" w:lineRule="exact"/>
        <w:ind w:leftChars="50" w:left="105" w:firstLineChars="150" w:firstLine="482"/>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2.社会效益</w:t>
      </w:r>
    </w:p>
    <w:p w:rsidR="000400A0" w:rsidRDefault="00891D33">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（1）全面实施“</w:t>
      </w:r>
      <w:proofErr w:type="gramStart"/>
      <w:r>
        <w:rPr>
          <w:rFonts w:ascii="仿宋_GB2312" w:eastAsia="仿宋_GB2312" w:hAnsi="宋体" w:cs="宋体" w:hint="eastAsia"/>
          <w:color w:val="000000"/>
          <w:kern w:val="0"/>
          <w:sz w:val="32"/>
          <w:szCs w:val="32"/>
        </w:rPr>
        <w:t>规</w:t>
      </w:r>
      <w:proofErr w:type="gramEnd"/>
      <w:r>
        <w:rPr>
          <w:rFonts w:ascii="仿宋_GB2312" w:eastAsia="仿宋_GB2312" w:hAnsi="宋体" w:cs="宋体" w:hint="eastAsia"/>
          <w:color w:val="000000"/>
          <w:kern w:val="0"/>
          <w:sz w:val="32"/>
          <w:szCs w:val="32"/>
        </w:rPr>
        <w:t>、建、管、限”各项政策措施，不断提高交通设施状况和服务水平，为保障首都经济社会发展、“四个服务”功能的发挥起到了良好的作用，对京津冀协同发展、城乡一体化发展起到了应有的作用。</w:t>
      </w:r>
    </w:p>
    <w:p w:rsidR="000400A0" w:rsidRDefault="00891D33">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2）全面落实安全生产管理责任，系统推进三年行动“集中攻坚年”任务，完善双重预防控制机制，持续开展安全监测预警，强化重点行业专项治理，建立全市水上搜救工作机制，有效保障了首都交通安全稳定。</w:t>
      </w:r>
    </w:p>
    <w:p w:rsidR="000400A0" w:rsidRDefault="00891D33">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（3）动态管控进出京客运业务，</w:t>
      </w:r>
      <w:proofErr w:type="gramStart"/>
      <w:r>
        <w:rPr>
          <w:rFonts w:ascii="仿宋_GB2312" w:eastAsia="仿宋_GB2312" w:hAnsi="宋体" w:cs="宋体" w:hint="eastAsia"/>
          <w:color w:val="000000"/>
          <w:kern w:val="0"/>
          <w:sz w:val="32"/>
          <w:szCs w:val="32"/>
        </w:rPr>
        <w:t>突出冷链运输</w:t>
      </w:r>
      <w:proofErr w:type="gramEnd"/>
      <w:r>
        <w:rPr>
          <w:rFonts w:ascii="仿宋_GB2312" w:eastAsia="仿宋_GB2312" w:hAnsi="宋体" w:cs="宋体" w:hint="eastAsia"/>
          <w:color w:val="000000"/>
          <w:kern w:val="0"/>
          <w:sz w:val="32"/>
          <w:szCs w:val="32"/>
        </w:rPr>
        <w:t>防控及跨省“黑车”治理，高频次开展出租汽车疫情防控专项执法检查，强化公交、地铁疫情防控措施落实，为首都疫情防控做出重要贡献。</w:t>
      </w:r>
    </w:p>
    <w:p w:rsidR="000400A0" w:rsidRDefault="00891D33">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（4）积极推进“文明礼让、信用出行、志愿服务”三大文化品牌创建。开展“文明驾车、礼让行人”专项整治行动，进一步拓展北京交通广播等平台建设，推动北京电视台</w:t>
      </w:r>
      <w:r>
        <w:rPr>
          <w:rFonts w:ascii="仿宋_GB2312" w:eastAsia="仿宋_GB2312" w:hAnsi="宋体" w:cs="宋体" w:hint="eastAsia"/>
          <w:color w:val="000000"/>
          <w:kern w:val="0"/>
          <w:sz w:val="32"/>
          <w:szCs w:val="32"/>
        </w:rPr>
        <w:lastRenderedPageBreak/>
        <w:t>《红绿灯》栏目升级改版，交通</w:t>
      </w:r>
      <w:proofErr w:type="gramStart"/>
      <w:r>
        <w:rPr>
          <w:rFonts w:ascii="仿宋_GB2312" w:eastAsia="仿宋_GB2312" w:hAnsi="宋体" w:cs="宋体" w:hint="eastAsia"/>
          <w:color w:val="000000"/>
          <w:kern w:val="0"/>
          <w:sz w:val="32"/>
          <w:szCs w:val="32"/>
        </w:rPr>
        <w:t>宣讲团进学校</w:t>
      </w:r>
      <w:proofErr w:type="gramEnd"/>
      <w:r>
        <w:rPr>
          <w:rFonts w:ascii="仿宋_GB2312" w:eastAsia="仿宋_GB2312" w:hAnsi="宋体" w:cs="宋体" w:hint="eastAsia"/>
          <w:color w:val="000000"/>
          <w:kern w:val="0"/>
          <w:sz w:val="32"/>
          <w:szCs w:val="32"/>
        </w:rPr>
        <w:t>、社区、企业宣讲</w:t>
      </w:r>
      <w:proofErr w:type="gramStart"/>
      <w:r>
        <w:rPr>
          <w:rFonts w:ascii="仿宋_GB2312" w:eastAsia="仿宋_GB2312" w:hAnsi="宋体" w:cs="宋体" w:hint="eastAsia"/>
          <w:color w:val="000000"/>
          <w:kern w:val="0"/>
          <w:sz w:val="32"/>
          <w:szCs w:val="32"/>
        </w:rPr>
        <w:t>293余场</w:t>
      </w:r>
      <w:proofErr w:type="gramEnd"/>
      <w:r>
        <w:rPr>
          <w:rFonts w:ascii="仿宋_GB2312" w:eastAsia="仿宋_GB2312" w:hAnsi="宋体" w:cs="宋体" w:hint="eastAsia"/>
          <w:color w:val="000000"/>
          <w:kern w:val="0"/>
          <w:sz w:val="32"/>
          <w:szCs w:val="32"/>
        </w:rPr>
        <w:t>，传递共建共治共享发展理念。</w:t>
      </w:r>
    </w:p>
    <w:p w:rsidR="000400A0" w:rsidRDefault="00891D33">
      <w:pPr>
        <w:spacing w:line="600" w:lineRule="exact"/>
        <w:ind w:firstLineChars="200" w:firstLine="640"/>
        <w:rPr>
          <w:rFonts w:ascii="仿宋_GB2312" w:eastAsia="仿宋_GB2312" w:hAnsi="仿宋_GB2312" w:cs="仿宋_GB2312"/>
          <w:sz w:val="32"/>
          <w:szCs w:val="32"/>
        </w:rPr>
      </w:pPr>
      <w:r>
        <w:rPr>
          <w:rFonts w:ascii="仿宋_GB2312" w:eastAsia="仿宋_GB2312" w:hAnsi="宋体" w:cs="宋体" w:hint="eastAsia"/>
          <w:color w:val="000000"/>
          <w:kern w:val="0"/>
          <w:sz w:val="32"/>
          <w:szCs w:val="32"/>
        </w:rPr>
        <w:t>（5）严格规范合法、打击非法，研究制定出租汽车行业改革方案，促进出行</w:t>
      </w:r>
      <w:r>
        <w:rPr>
          <w:rFonts w:ascii="仿宋_GB2312" w:eastAsia="仿宋_GB2312" w:hAnsi="仿宋_GB2312" w:cs="仿宋_GB2312" w:hint="eastAsia"/>
          <w:sz w:val="32"/>
          <w:szCs w:val="32"/>
        </w:rPr>
        <w:t>平台规范健康发展，</w:t>
      </w:r>
      <w:proofErr w:type="gramStart"/>
      <w:r>
        <w:rPr>
          <w:rFonts w:ascii="仿宋_GB2312" w:eastAsia="仿宋_GB2312" w:hAnsi="仿宋_GB2312" w:cs="仿宋_GB2312" w:hint="eastAsia"/>
          <w:sz w:val="32"/>
          <w:szCs w:val="32"/>
        </w:rPr>
        <w:t>推进网约车</w:t>
      </w:r>
      <w:proofErr w:type="gramEnd"/>
      <w:r>
        <w:rPr>
          <w:rFonts w:ascii="仿宋_GB2312" w:eastAsia="仿宋_GB2312" w:hAnsi="仿宋_GB2312" w:cs="仿宋_GB2312" w:hint="eastAsia"/>
          <w:sz w:val="32"/>
          <w:szCs w:val="32"/>
        </w:rPr>
        <w:t>合</w:t>
      </w:r>
      <w:proofErr w:type="gramStart"/>
      <w:r>
        <w:rPr>
          <w:rFonts w:ascii="仿宋_GB2312" w:eastAsia="仿宋_GB2312" w:hAnsi="仿宋_GB2312" w:cs="仿宋_GB2312" w:hint="eastAsia"/>
          <w:sz w:val="32"/>
          <w:szCs w:val="32"/>
        </w:rPr>
        <w:t>规化</w:t>
      </w:r>
      <w:proofErr w:type="gramEnd"/>
      <w:r>
        <w:rPr>
          <w:rFonts w:ascii="仿宋_GB2312" w:eastAsia="仿宋_GB2312" w:hAnsi="仿宋_GB2312" w:cs="仿宋_GB2312" w:hint="eastAsia"/>
          <w:sz w:val="32"/>
          <w:szCs w:val="32"/>
        </w:rPr>
        <w:t>，有利于行业健康发展。</w:t>
      </w:r>
    </w:p>
    <w:p w:rsidR="000400A0" w:rsidRDefault="00891D33">
      <w:pPr>
        <w:spacing w:line="600" w:lineRule="exact"/>
        <w:ind w:firstLineChars="200" w:firstLine="643"/>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3.环境效益与可持续</w:t>
      </w:r>
      <w:r>
        <w:rPr>
          <w:rFonts w:ascii="仿宋_GB2312" w:eastAsia="仿宋_GB2312" w:hAnsi="宋体" w:cs="宋体"/>
          <w:b/>
          <w:bCs/>
          <w:color w:val="000000"/>
          <w:kern w:val="0"/>
          <w:sz w:val="32"/>
          <w:szCs w:val="32"/>
        </w:rPr>
        <w:t>性影响</w:t>
      </w:r>
    </w:p>
    <w:p w:rsidR="000400A0" w:rsidRDefault="00891D33">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1）始终注重环境保护。道路规划中做好环境影响评价等工作，道路建设、养护中积极推广应用新材料、新工艺，提高废旧材料的再生利用率。加强道路绿化养护管理，实现绿环、美化、净化环境。加强道路噪声治理，推进重点路段噪声治理工作。</w:t>
      </w:r>
    </w:p>
    <w:p w:rsidR="000400A0" w:rsidRDefault="00891D33">
      <w:pPr>
        <w:spacing w:line="600" w:lineRule="exact"/>
        <w:ind w:firstLineChars="200" w:firstLine="640"/>
        <w:rPr>
          <w:rFonts w:ascii="仿宋_GB2312" w:eastAsia="仿宋_GB2312" w:hAnsi="仿宋_GB2312" w:cs="仿宋_GB2312"/>
          <w:bCs/>
          <w:sz w:val="32"/>
          <w:szCs w:val="32"/>
        </w:rPr>
      </w:pPr>
      <w:r>
        <w:rPr>
          <w:rFonts w:ascii="仿宋_GB2312" w:eastAsia="仿宋_GB2312" w:hAnsi="宋体" w:cs="宋体" w:hint="eastAsia"/>
          <w:color w:val="000000"/>
          <w:kern w:val="0"/>
          <w:sz w:val="32"/>
          <w:szCs w:val="32"/>
        </w:rPr>
        <w:t>（2）绿色低碳交通加速发展。研究制定“十四五”绿色交通发展规划和交通领域碳中和方案。持续</w:t>
      </w:r>
      <w:proofErr w:type="gramStart"/>
      <w:r>
        <w:rPr>
          <w:rFonts w:ascii="仿宋_GB2312" w:eastAsia="仿宋_GB2312" w:hAnsi="宋体" w:cs="宋体" w:hint="eastAsia"/>
          <w:color w:val="000000"/>
          <w:kern w:val="0"/>
          <w:sz w:val="32"/>
          <w:szCs w:val="32"/>
        </w:rPr>
        <w:t>开展碳普惠</w:t>
      </w:r>
      <w:proofErr w:type="gramEnd"/>
      <w:r>
        <w:rPr>
          <w:rFonts w:ascii="仿宋_GB2312" w:eastAsia="仿宋_GB2312" w:hAnsi="宋体" w:cs="宋体" w:hint="eastAsia"/>
          <w:color w:val="000000"/>
          <w:kern w:val="0"/>
          <w:sz w:val="32"/>
          <w:szCs w:val="32"/>
        </w:rPr>
        <w:t>激励活动，</w:t>
      </w:r>
      <w:proofErr w:type="gramStart"/>
      <w:r>
        <w:rPr>
          <w:rFonts w:ascii="仿宋_GB2312" w:eastAsia="仿宋_GB2312" w:hAnsi="宋体" w:cs="宋体" w:hint="eastAsia"/>
          <w:color w:val="000000"/>
          <w:kern w:val="0"/>
          <w:sz w:val="32"/>
          <w:szCs w:val="32"/>
        </w:rPr>
        <w:t>累计碳减排量</w:t>
      </w:r>
      <w:proofErr w:type="gramEnd"/>
      <w:r>
        <w:rPr>
          <w:rFonts w:ascii="仿宋_GB2312" w:eastAsia="仿宋_GB2312" w:hAnsi="宋体" w:cs="宋体" w:hint="eastAsia"/>
          <w:color w:val="000000"/>
          <w:kern w:val="0"/>
          <w:sz w:val="32"/>
          <w:szCs w:val="32"/>
        </w:rPr>
        <w:t>达6.5万吨，完成全球首笔涵盖多种绿色出行方式的碳交易。编制《北京市“十四五”时期推进重点大宗物资运输结构</w:t>
      </w:r>
      <w:r>
        <w:rPr>
          <w:rFonts w:ascii="仿宋_GB2312" w:eastAsia="仿宋_GB2312" w:hAnsi="仿宋_GB2312" w:cs="仿宋_GB2312" w:hint="eastAsia"/>
          <w:bCs/>
          <w:sz w:val="32"/>
          <w:szCs w:val="32"/>
        </w:rPr>
        <w:t>优化调整行动计划》，本市铁路货物到发量2142</w:t>
      </w:r>
      <w:r>
        <w:rPr>
          <w:rFonts w:ascii="仿宋_GB2312" w:eastAsia="仿宋_GB2312" w:hAnsi="仿宋_GB2312" w:cs="仿宋_GB2312"/>
          <w:bCs/>
          <w:sz w:val="32"/>
          <w:szCs w:val="32"/>
        </w:rPr>
        <w:t>万吨，</w:t>
      </w:r>
      <w:r>
        <w:rPr>
          <w:rFonts w:ascii="仿宋_GB2312" w:eastAsia="仿宋_GB2312" w:hAnsi="仿宋_GB2312" w:cs="仿宋_GB2312" w:hint="eastAsia"/>
          <w:bCs/>
          <w:sz w:val="32"/>
          <w:szCs w:val="32"/>
        </w:rPr>
        <w:t>同比上年增长7</w:t>
      </w:r>
      <w:r>
        <w:rPr>
          <w:rFonts w:ascii="仿宋_GB2312" w:eastAsia="仿宋_GB2312" w:hAnsi="仿宋_GB2312" w:cs="仿宋_GB2312"/>
          <w:bCs/>
          <w:sz w:val="32"/>
          <w:szCs w:val="32"/>
        </w:rPr>
        <w:t>.9%。</w:t>
      </w:r>
      <w:r>
        <w:rPr>
          <w:rFonts w:ascii="仿宋_GB2312" w:eastAsia="仿宋_GB2312" w:hAnsi="仿宋_GB2312" w:cs="仿宋_GB2312" w:hint="eastAsia"/>
          <w:bCs/>
          <w:sz w:val="32"/>
          <w:szCs w:val="32"/>
        </w:rPr>
        <w:t>优化机动车能源结构，办理通行证的轻型货车（危险品、冷链运输车辆除外）全部新能源化，完成2.17万辆巡游出租车电动化，建成新能源智慧驾培园区，布设新能源教练车800余辆、充电桩1000余个。</w:t>
      </w:r>
    </w:p>
    <w:p w:rsidR="000400A0" w:rsidRDefault="00891D33">
      <w:pPr>
        <w:spacing w:line="60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（3）推进绿色出行体系建设。实施工作日高峰时段区域限行，扩大办理进京</w:t>
      </w:r>
      <w:proofErr w:type="gramStart"/>
      <w:r>
        <w:rPr>
          <w:rFonts w:ascii="仿宋_GB2312" w:eastAsia="仿宋_GB2312" w:hAnsi="仿宋_GB2312" w:cs="仿宋_GB2312" w:hint="eastAsia"/>
          <w:bCs/>
          <w:sz w:val="32"/>
          <w:szCs w:val="32"/>
        </w:rPr>
        <w:t>证空间</w:t>
      </w:r>
      <w:proofErr w:type="gramEnd"/>
      <w:r>
        <w:rPr>
          <w:rFonts w:ascii="仿宋_GB2312" w:eastAsia="仿宋_GB2312" w:hAnsi="仿宋_GB2312" w:cs="仿宋_GB2312" w:hint="eastAsia"/>
          <w:bCs/>
          <w:sz w:val="32"/>
          <w:szCs w:val="32"/>
        </w:rPr>
        <w:t>范围和禁行区域。从源头上调</w:t>
      </w:r>
      <w:r>
        <w:rPr>
          <w:rFonts w:ascii="仿宋_GB2312" w:eastAsia="仿宋_GB2312" w:hAnsi="仿宋_GB2312" w:cs="仿宋_GB2312" w:hint="eastAsia"/>
          <w:bCs/>
          <w:sz w:val="32"/>
          <w:szCs w:val="32"/>
        </w:rPr>
        <w:lastRenderedPageBreak/>
        <w:t>控小客车出行，</w:t>
      </w:r>
      <w:r>
        <w:rPr>
          <w:rFonts w:ascii="仿宋_GB2312" w:eastAsia="仿宋_GB2312" w:hAnsi="仿宋_GB2312" w:cs="仿宋_GB2312"/>
          <w:bCs/>
          <w:sz w:val="32"/>
          <w:szCs w:val="32"/>
        </w:rPr>
        <w:t>2021年</w:t>
      </w:r>
      <w:r>
        <w:rPr>
          <w:rFonts w:ascii="仿宋_GB2312" w:eastAsia="仿宋_GB2312" w:hAnsi="仿宋_GB2312" w:cs="仿宋_GB2312" w:hint="eastAsia"/>
          <w:bCs/>
          <w:sz w:val="32"/>
          <w:szCs w:val="32"/>
        </w:rPr>
        <w:t>小汽车出行强度日均</w:t>
      </w:r>
      <w:r>
        <w:rPr>
          <w:rFonts w:ascii="仿宋_GB2312" w:eastAsia="仿宋_GB2312" w:hAnsi="仿宋_GB2312" w:cs="仿宋_GB2312"/>
          <w:bCs/>
          <w:sz w:val="32"/>
          <w:szCs w:val="32"/>
        </w:rPr>
        <w:t>26.9公里/辆</w:t>
      </w:r>
      <w:r>
        <w:rPr>
          <w:rFonts w:ascii="仿宋_GB2312" w:eastAsia="仿宋_GB2312" w:hAnsi="仿宋_GB2312" w:cs="仿宋_GB2312" w:hint="eastAsia"/>
          <w:bCs/>
          <w:sz w:val="32"/>
          <w:szCs w:val="32"/>
        </w:rPr>
        <w:t>，同比上年降低</w:t>
      </w:r>
      <w:r>
        <w:rPr>
          <w:rFonts w:ascii="仿宋_GB2312" w:eastAsia="仿宋_GB2312" w:hAnsi="仿宋_GB2312" w:cs="仿宋_GB2312"/>
          <w:bCs/>
          <w:sz w:val="32"/>
          <w:szCs w:val="32"/>
        </w:rPr>
        <w:t>6.9%。</w:t>
      </w:r>
      <w:r>
        <w:rPr>
          <w:rFonts w:ascii="仿宋_GB2312" w:eastAsia="仿宋_GB2312" w:hAnsi="仿宋_GB2312" w:cs="仿宋_GB2312" w:hint="eastAsia"/>
          <w:bCs/>
          <w:sz w:val="32"/>
          <w:szCs w:val="32"/>
        </w:rPr>
        <w:t>以轨道交通为骨干，推进多种交通方式一体化融合发展，促进绿色出行。实施慢行系统品质提升行动，完成二环辅路慢行系统改造、通行效率提升25%。共享单车骑行量9.5亿次，比疫情前（2019年）大幅增长56.5%，市民绿色出行意愿持续提升。</w:t>
      </w:r>
    </w:p>
    <w:p w:rsidR="000400A0" w:rsidRDefault="00891D33">
      <w:pPr>
        <w:spacing w:line="600" w:lineRule="exact"/>
        <w:ind w:firstLineChars="200" w:firstLine="643"/>
        <w:rPr>
          <w:rFonts w:ascii="仿宋_GB2312" w:eastAsia="仿宋_GB2312" w:hAnsi="宋体" w:cs="宋体"/>
          <w:b/>
          <w:bCs/>
          <w:kern w:val="0"/>
          <w:sz w:val="32"/>
          <w:szCs w:val="32"/>
        </w:rPr>
      </w:pPr>
      <w:r>
        <w:rPr>
          <w:rFonts w:ascii="仿宋_GB2312" w:eastAsia="仿宋_GB2312" w:hAnsi="宋体" w:cs="宋体" w:hint="eastAsia"/>
          <w:b/>
          <w:bCs/>
          <w:kern w:val="0"/>
          <w:sz w:val="32"/>
          <w:szCs w:val="32"/>
        </w:rPr>
        <w:t>4.服务对象</w:t>
      </w:r>
      <w:r>
        <w:rPr>
          <w:rFonts w:ascii="仿宋_GB2312" w:eastAsia="仿宋_GB2312" w:hAnsi="宋体" w:cs="宋体"/>
          <w:b/>
          <w:bCs/>
          <w:kern w:val="0"/>
          <w:sz w:val="32"/>
          <w:szCs w:val="32"/>
        </w:rPr>
        <w:t>满意度</w:t>
      </w:r>
    </w:p>
    <w:p w:rsidR="000400A0" w:rsidRDefault="00891D33">
      <w:pPr>
        <w:spacing w:line="600" w:lineRule="exact"/>
        <w:ind w:leftChars="50" w:left="105" w:firstLineChars="150" w:firstLine="480"/>
        <w:rPr>
          <w:rFonts w:ascii="仿宋_GB2312" w:eastAsia="仿宋_GB2312" w:hAnsi="宋体" w:cs="宋体"/>
          <w:b/>
          <w:bCs/>
          <w:color w:val="000000"/>
          <w:kern w:val="0"/>
          <w:sz w:val="32"/>
          <w:szCs w:val="32"/>
        </w:rPr>
      </w:pPr>
      <w:r>
        <w:rPr>
          <w:rFonts w:ascii="仿宋_GB2312" w:eastAsia="仿宋_GB2312" w:hAnsi="仿宋_GB2312" w:cs="仿宋_GB2312" w:hint="eastAsia"/>
          <w:sz w:val="32"/>
          <w:szCs w:val="32"/>
        </w:rPr>
        <w:t>加强与中央单位、市属机关、企事业单位的沟通，努力达成共识，相互支持。坚持把</w:t>
      </w:r>
      <w:proofErr w:type="gramStart"/>
      <w:r>
        <w:rPr>
          <w:rFonts w:ascii="仿宋_GB2312" w:eastAsia="仿宋_GB2312" w:hAnsi="仿宋_GB2312" w:cs="仿宋_GB2312" w:hint="eastAsia"/>
          <w:sz w:val="32"/>
          <w:szCs w:val="32"/>
        </w:rPr>
        <w:t>接诉即办</w:t>
      </w:r>
      <w:proofErr w:type="gramEnd"/>
      <w:r>
        <w:rPr>
          <w:rFonts w:ascii="仿宋_GB2312" w:eastAsia="仿宋_GB2312" w:hAnsi="仿宋_GB2312" w:cs="仿宋_GB2312" w:hint="eastAsia"/>
          <w:sz w:val="32"/>
          <w:szCs w:val="32"/>
        </w:rPr>
        <w:t>作为推进交通共治的重要渠道，针对市民诉求痛点和行业治理重点，结合交通噪音扰民、停车资源不足、共享单车乱停乱放等“每月一题”任务，实现精准施策。</w:t>
      </w:r>
    </w:p>
    <w:p w:rsidR="000400A0" w:rsidRDefault="00891D33">
      <w:pPr>
        <w:pStyle w:val="1"/>
        <w:spacing w:before="0" w:after="0" w:line="360" w:lineRule="auto"/>
        <w:ind w:firstLineChars="200" w:firstLine="640"/>
        <w:rPr>
          <w:rFonts w:ascii="黑体" w:eastAsia="黑体" w:hAnsi="黑体" w:cs="黑体"/>
          <w:b w:val="0"/>
          <w:bCs/>
          <w:sz w:val="32"/>
          <w:szCs w:val="32"/>
        </w:rPr>
      </w:pPr>
      <w:bookmarkStart w:id="8" w:name="_Toc26736"/>
      <w:r>
        <w:rPr>
          <w:rFonts w:ascii="黑体" w:eastAsia="黑体" w:hAnsi="黑体" w:cs="黑体" w:hint="eastAsia"/>
          <w:b w:val="0"/>
          <w:bCs/>
          <w:sz w:val="32"/>
          <w:szCs w:val="32"/>
        </w:rPr>
        <w:t>四、预算管理情况分析</w:t>
      </w:r>
      <w:bookmarkEnd w:id="8"/>
    </w:p>
    <w:p w:rsidR="000400A0" w:rsidRDefault="00891D33">
      <w:pPr>
        <w:pStyle w:val="2"/>
        <w:spacing w:before="0" w:after="0" w:line="360" w:lineRule="auto"/>
        <w:ind w:firstLineChars="200" w:firstLine="640"/>
        <w:rPr>
          <w:rFonts w:ascii="楷体_GB2312" w:eastAsia="楷体_GB2312" w:hAnsi="楷体_GB2312" w:cs="楷体_GB2312"/>
          <w:b w:val="0"/>
          <w:bCs/>
        </w:rPr>
      </w:pPr>
      <w:bookmarkStart w:id="9" w:name="_Toc6432"/>
      <w:r>
        <w:rPr>
          <w:rFonts w:ascii="楷体_GB2312" w:eastAsia="楷体_GB2312" w:hAnsi="楷体_GB2312" w:cs="楷体_GB2312" w:hint="eastAsia"/>
          <w:b w:val="0"/>
          <w:bCs/>
        </w:rPr>
        <w:t>（一）财务管理</w:t>
      </w:r>
      <w:bookmarkEnd w:id="9"/>
    </w:p>
    <w:p w:rsidR="000400A0" w:rsidRDefault="00891D33">
      <w:pPr>
        <w:spacing w:line="600" w:lineRule="exact"/>
        <w:ind w:leftChars="50" w:left="105" w:firstLineChars="150" w:firstLine="482"/>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1.财务</w:t>
      </w:r>
      <w:r>
        <w:rPr>
          <w:rFonts w:ascii="仿宋_GB2312" w:eastAsia="仿宋_GB2312" w:hAnsi="宋体" w:cs="宋体"/>
          <w:b/>
          <w:bCs/>
          <w:color w:val="000000"/>
          <w:kern w:val="0"/>
          <w:sz w:val="32"/>
          <w:szCs w:val="32"/>
        </w:rPr>
        <w:t>管理制度健全性</w:t>
      </w:r>
    </w:p>
    <w:p w:rsidR="000400A0" w:rsidRDefault="00891D33">
      <w:pPr>
        <w:tabs>
          <w:tab w:val="left" w:pos="5250"/>
        </w:tabs>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市交通</w:t>
      </w:r>
      <w:proofErr w:type="gramStart"/>
      <w:r>
        <w:rPr>
          <w:rFonts w:ascii="仿宋_GB2312" w:eastAsia="仿宋_GB2312" w:hAnsi="宋体" w:cs="宋体" w:hint="eastAsia"/>
          <w:color w:val="000000"/>
          <w:kern w:val="0"/>
          <w:sz w:val="32"/>
          <w:szCs w:val="32"/>
        </w:rPr>
        <w:t>委建立</w:t>
      </w:r>
      <w:proofErr w:type="gramEnd"/>
      <w:r>
        <w:rPr>
          <w:rFonts w:ascii="仿宋_GB2312" w:eastAsia="仿宋_GB2312" w:hAnsi="宋体" w:cs="宋体" w:hint="eastAsia"/>
          <w:color w:val="000000"/>
          <w:kern w:val="0"/>
          <w:sz w:val="32"/>
          <w:szCs w:val="32"/>
        </w:rPr>
        <w:t>了较为完善的财务管理制度体系，包括《北京市交通委员会预算管理办法》《北京市交通委员会机关经费支出管理暂行办法》《北京市交通委员会关于加强委机关经费支出管理的通知》《北京市交通委员会关于印发北京市交通委员会系统政府采购管理办法的通知》《北京市交通委员会关于印发小额资金项目采购管理办法（试行）的通知》《北京市交通委员会关于印发基本建设项目管理办法的通知》</w:t>
      </w:r>
      <w:bookmarkStart w:id="10" w:name="title"/>
      <w:r>
        <w:rPr>
          <w:rFonts w:ascii="仿宋_GB2312" w:eastAsia="仿宋_GB2312" w:hAnsi="宋体" w:cs="宋体" w:hint="eastAsia"/>
          <w:color w:val="000000"/>
          <w:kern w:val="0"/>
          <w:sz w:val="32"/>
          <w:szCs w:val="32"/>
        </w:rPr>
        <w:t>《北京市交通委员会关于印发北京市交通委员会合同</w:t>
      </w:r>
      <w:r>
        <w:rPr>
          <w:rFonts w:ascii="仿宋_GB2312" w:eastAsia="仿宋_GB2312" w:hAnsi="宋体" w:cs="宋体" w:hint="eastAsia"/>
          <w:color w:val="000000"/>
          <w:kern w:val="0"/>
          <w:sz w:val="32"/>
          <w:szCs w:val="32"/>
        </w:rPr>
        <w:lastRenderedPageBreak/>
        <w:t>管理暂行办法的通知》</w:t>
      </w:r>
      <w:bookmarkEnd w:id="10"/>
      <w:r>
        <w:rPr>
          <w:rFonts w:ascii="仿宋_GB2312" w:eastAsia="仿宋_GB2312" w:hAnsi="宋体" w:cs="宋体" w:hint="eastAsia"/>
          <w:color w:val="000000"/>
          <w:kern w:val="0"/>
          <w:sz w:val="32"/>
          <w:szCs w:val="32"/>
        </w:rPr>
        <w:t>等一系列制度，以及《北京市交通委员会关于制发巡游出租汽车临时燃油应急补贴政府专项补助资金管理办法的通知》《北京市交通委员会关于印发省际客运站落客安检人员专项补助资金使用管理办法的通知》等专项资金管理办法，从预算管理、收支管理、政府采购、专项资金管理等方面进行规范约束，在制度上保证了财务工作的规范有序开展。</w:t>
      </w:r>
    </w:p>
    <w:p w:rsidR="000400A0" w:rsidRDefault="00891D33">
      <w:pPr>
        <w:spacing w:line="360" w:lineRule="auto"/>
        <w:ind w:firstLine="640"/>
        <w:rPr>
          <w:rFonts w:ascii="仿宋_GB2312" w:eastAsia="仿宋_GB2312" w:hAnsi="仿宋_GB2312" w:cs="仿宋_GB2312"/>
          <w:b/>
          <w:sz w:val="32"/>
          <w:szCs w:val="32"/>
        </w:rPr>
      </w:pPr>
      <w:r>
        <w:rPr>
          <w:rFonts w:ascii="仿宋_GB2312" w:eastAsia="仿宋_GB2312" w:hAnsi="仿宋_GB2312" w:cs="仿宋_GB2312" w:hint="eastAsia"/>
          <w:b/>
          <w:sz w:val="32"/>
          <w:szCs w:val="32"/>
        </w:rPr>
        <w:t>2.资金使用合</w:t>
      </w:r>
      <w:proofErr w:type="gramStart"/>
      <w:r>
        <w:rPr>
          <w:rFonts w:ascii="仿宋_GB2312" w:eastAsia="仿宋_GB2312" w:hAnsi="仿宋_GB2312" w:cs="仿宋_GB2312" w:hint="eastAsia"/>
          <w:b/>
          <w:sz w:val="32"/>
          <w:szCs w:val="32"/>
        </w:rPr>
        <w:t>规</w:t>
      </w:r>
      <w:proofErr w:type="gramEnd"/>
      <w:r>
        <w:rPr>
          <w:rFonts w:ascii="仿宋_GB2312" w:eastAsia="仿宋_GB2312" w:hAnsi="仿宋_GB2312" w:cs="仿宋_GB2312" w:hint="eastAsia"/>
          <w:b/>
          <w:sz w:val="32"/>
          <w:szCs w:val="32"/>
        </w:rPr>
        <w:t>性</w:t>
      </w:r>
      <w:r>
        <w:rPr>
          <w:rFonts w:ascii="仿宋_GB2312" w:eastAsia="仿宋_GB2312" w:hAnsi="仿宋_GB2312" w:cs="仿宋_GB2312"/>
          <w:b/>
          <w:sz w:val="32"/>
          <w:szCs w:val="32"/>
        </w:rPr>
        <w:t>和安全性</w:t>
      </w:r>
    </w:p>
    <w:p w:rsidR="000400A0" w:rsidRDefault="00891D33">
      <w:pPr>
        <w:tabs>
          <w:tab w:val="left" w:pos="5250"/>
        </w:tabs>
        <w:ind w:firstLineChars="200" w:firstLine="640"/>
        <w:rPr>
          <w:rFonts w:ascii="仿宋_GB2312" w:eastAsia="仿宋_GB2312" w:hAnsi="宋体"/>
          <w:sz w:val="32"/>
          <w:szCs w:val="32"/>
        </w:rPr>
      </w:pPr>
      <w:r>
        <w:rPr>
          <w:rFonts w:ascii="仿宋_GB2312" w:eastAsia="仿宋_GB2312" w:hAnsi="宋体" w:hint="eastAsia"/>
          <w:sz w:val="32"/>
          <w:szCs w:val="32"/>
        </w:rPr>
        <w:t>市交通委严格遵守《预算法》《预算法实施条例》等法律法规和财政部、市财政局有关财政、财务规章制度，并制定了适合本单位的制度，规范财政资金管理，量入为出，统筹兼顾，突出重点，讲究实效，防范风险，合理使用各项建设资金，建设项目预算支出整体受控。</w:t>
      </w:r>
    </w:p>
    <w:p w:rsidR="000400A0" w:rsidRDefault="00891D33">
      <w:pPr>
        <w:tabs>
          <w:tab w:val="left" w:pos="5250"/>
        </w:tabs>
        <w:ind w:firstLineChars="200" w:firstLine="640"/>
        <w:rPr>
          <w:rFonts w:ascii="仿宋_GB2312" w:eastAsia="仿宋_GB2312" w:hAnsi="宋体"/>
          <w:sz w:val="32"/>
          <w:szCs w:val="32"/>
        </w:rPr>
      </w:pPr>
      <w:r>
        <w:rPr>
          <w:rFonts w:ascii="仿宋_GB2312" w:eastAsia="仿宋_GB2312" w:hAnsi="宋体" w:hint="eastAsia"/>
          <w:sz w:val="32"/>
          <w:szCs w:val="32"/>
        </w:rPr>
        <w:t>预算管理按照市财政局《基本支出预算管理办法》《项目支出预算管理办法》《北京市交通委员会预算管理办法》《北京市交通委员会关于进一步加强预算管理工作的通知》等规定，做好预算申报工作。按照《中共北京市交通委员会党组“三重一大”事项决策制度》、各项目单位“三重一大”有关规定要求，年度预算经各单位党委会研究、市交通委汇总并报党组会审议后报市财政局审批。</w:t>
      </w:r>
    </w:p>
    <w:p w:rsidR="000400A0" w:rsidRDefault="00AD262D">
      <w:pPr>
        <w:tabs>
          <w:tab w:val="left" w:pos="5250"/>
        </w:tabs>
        <w:ind w:firstLineChars="200" w:firstLine="640"/>
        <w:rPr>
          <w:rFonts w:ascii="仿宋_GB2312" w:eastAsia="仿宋_GB2312" w:hAnsi="宋体"/>
          <w:sz w:val="32"/>
          <w:szCs w:val="32"/>
        </w:rPr>
      </w:pPr>
      <w:r>
        <w:rPr>
          <w:rFonts w:ascii="仿宋_GB2312" w:eastAsia="仿宋_GB2312" w:hAnsi="宋体" w:hint="eastAsia"/>
          <w:sz w:val="32"/>
          <w:szCs w:val="32"/>
        </w:rPr>
        <w:t>预算批复后，严格执行市交通委《机关经费支出管理</w:t>
      </w:r>
      <w:r w:rsidR="00891D33">
        <w:rPr>
          <w:rFonts w:ascii="仿宋_GB2312" w:eastAsia="仿宋_GB2312" w:hAnsi="宋体" w:hint="eastAsia"/>
          <w:sz w:val="32"/>
          <w:szCs w:val="32"/>
        </w:rPr>
        <w:t>办法》《合同管理暂行办法》《关于加强委机关经费支出管理的</w:t>
      </w:r>
      <w:r w:rsidR="00891D33">
        <w:rPr>
          <w:rFonts w:ascii="仿宋_GB2312" w:eastAsia="仿宋_GB2312" w:hAnsi="宋体" w:hint="eastAsia"/>
          <w:sz w:val="32"/>
          <w:szCs w:val="32"/>
        </w:rPr>
        <w:lastRenderedPageBreak/>
        <w:t>通知》等要求，按照《政府采购法》的规定开展政府采购，严格按照相关制度办理项目资金收支，积极防范资金风险。资金的拨付有完整的审批程序和手续，基本支出、项目支出均符合部门预算批复的用途，无截留、挤占、挪用情况。</w:t>
      </w:r>
    </w:p>
    <w:p w:rsidR="000400A0" w:rsidRDefault="00891D33">
      <w:pPr>
        <w:spacing w:line="600" w:lineRule="exact"/>
        <w:ind w:firstLineChars="200" w:firstLine="643"/>
        <w:rPr>
          <w:rFonts w:ascii="仿宋_GB2312" w:eastAsia="仿宋_GB2312" w:hAnsi="宋体" w:cs="宋体"/>
          <w:b/>
          <w:bCs/>
          <w:color w:val="000000"/>
          <w:kern w:val="0"/>
          <w:sz w:val="32"/>
          <w:szCs w:val="32"/>
        </w:rPr>
      </w:pPr>
      <w:r>
        <w:rPr>
          <w:rFonts w:ascii="仿宋_GB2312" w:eastAsia="仿宋_GB2312" w:hAnsi="宋体" w:cs="宋体" w:hint="eastAsia"/>
          <w:b/>
          <w:bCs/>
          <w:color w:val="000000"/>
          <w:kern w:val="0"/>
          <w:sz w:val="32"/>
          <w:szCs w:val="32"/>
        </w:rPr>
        <w:t>3.会计基础信息完善性</w:t>
      </w:r>
    </w:p>
    <w:p w:rsidR="000400A0" w:rsidRDefault="00891D33">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市交通委严格按照《中华人民共和国预算法》《政府会计准则——基本准则》等法律、行政法规、规章和市财政局要求进行核算，采用财务会计、预算会计双轨并行的会计记账方式，全面、客观如实反映市交通委发生的各项经济业务，基础数据信息和会计信息资料真实、完整、准确。</w:t>
      </w:r>
    </w:p>
    <w:p w:rsidR="000400A0" w:rsidRDefault="00891D33">
      <w:pPr>
        <w:pStyle w:val="2"/>
        <w:spacing w:before="0" w:after="0" w:line="360" w:lineRule="auto"/>
        <w:ind w:firstLineChars="200" w:firstLine="640"/>
        <w:rPr>
          <w:rFonts w:ascii="楷体_GB2312" w:eastAsia="楷体_GB2312" w:hAnsi="楷体_GB2312" w:cs="楷体_GB2312"/>
          <w:b w:val="0"/>
          <w:bCs/>
        </w:rPr>
      </w:pPr>
      <w:bookmarkStart w:id="11" w:name="_Toc14545"/>
      <w:r>
        <w:rPr>
          <w:rFonts w:ascii="楷体_GB2312" w:eastAsia="楷体_GB2312" w:hAnsi="楷体_GB2312" w:cs="楷体_GB2312" w:hint="eastAsia"/>
          <w:b w:val="0"/>
          <w:bCs/>
        </w:rPr>
        <w:t>（二）资产管理</w:t>
      </w:r>
      <w:bookmarkEnd w:id="11"/>
    </w:p>
    <w:p w:rsidR="000400A0" w:rsidRDefault="00891D33">
      <w:pPr>
        <w:spacing w:line="600" w:lineRule="exact"/>
        <w:ind w:leftChars="50" w:left="105" w:firstLineChars="150" w:firstLine="482"/>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1.制度建设</w:t>
      </w:r>
    </w:p>
    <w:p w:rsidR="000400A0" w:rsidRDefault="00891D33">
      <w:pPr>
        <w:spacing w:line="600" w:lineRule="exact"/>
        <w:ind w:firstLineChars="200" w:firstLine="640"/>
        <w:rPr>
          <w:rFonts w:ascii="仿宋_GB2312" w:eastAsia="仿宋_GB2312" w:hAnsi="宋体" w:cs="宋体"/>
          <w:color w:val="000000"/>
          <w:kern w:val="0"/>
          <w:sz w:val="32"/>
          <w:szCs w:val="32"/>
        </w:rPr>
      </w:pPr>
      <w:r>
        <w:rPr>
          <w:rFonts w:ascii="仿宋_GB2312" w:eastAsia="仿宋_GB2312" w:hAnsi="宋体" w:cs="宋体" w:hint="eastAsia"/>
          <w:color w:val="000000"/>
          <w:kern w:val="0"/>
          <w:sz w:val="32"/>
          <w:szCs w:val="32"/>
        </w:rPr>
        <w:t>为严格落实国有资产管理相关要求，规范市交通委固定资产管理，制订了《北京市交通委员会固定资产管理暂行办法》《公路公共基础设施入账实施细则》《委机关固定资产更新工作实施方案》等制度，从资产购置、盘点、日常管理、处置、核算等方面明确了管理要求，将固定资产采购、维护管理、盘点、日常监督、报废处置纳入管理体系，为维护资产安全完整、提升资产使用效率、发挥资产功能价值方面提供了良好的制度保障。</w:t>
      </w:r>
    </w:p>
    <w:p w:rsidR="000400A0" w:rsidRDefault="00891D33">
      <w:pPr>
        <w:spacing w:line="600" w:lineRule="exact"/>
        <w:ind w:leftChars="50" w:left="105" w:firstLineChars="150" w:firstLine="482"/>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2.管理措施</w:t>
      </w:r>
    </w:p>
    <w:p w:rsidR="000400A0" w:rsidRDefault="00891D33">
      <w:pPr>
        <w:spacing w:line="600" w:lineRule="exact"/>
        <w:ind w:leftChars="50" w:left="105" w:firstLineChars="150" w:firstLine="48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市交通委根据资产管理制度的规定，每年定期对资产进行盘点，确保账</w:t>
      </w:r>
      <w:proofErr w:type="gramStart"/>
      <w:r>
        <w:rPr>
          <w:rFonts w:ascii="仿宋_GB2312" w:eastAsia="仿宋_GB2312" w:hAnsi="仿宋_GB2312" w:cs="仿宋_GB2312" w:hint="eastAsia"/>
          <w:kern w:val="0"/>
          <w:sz w:val="32"/>
          <w:szCs w:val="32"/>
        </w:rPr>
        <w:t>账</w:t>
      </w:r>
      <w:proofErr w:type="gramEnd"/>
      <w:r>
        <w:rPr>
          <w:rFonts w:ascii="仿宋_GB2312" w:eastAsia="仿宋_GB2312" w:hAnsi="仿宋_GB2312" w:cs="仿宋_GB2312" w:hint="eastAsia"/>
          <w:kern w:val="0"/>
          <w:sz w:val="32"/>
          <w:szCs w:val="32"/>
        </w:rPr>
        <w:t>、账实、账表核对一致，做到摸清家底，</w:t>
      </w:r>
      <w:r>
        <w:rPr>
          <w:rFonts w:ascii="仿宋_GB2312" w:eastAsia="仿宋_GB2312" w:hAnsi="仿宋_GB2312" w:cs="仿宋_GB2312" w:hint="eastAsia"/>
          <w:kern w:val="0"/>
          <w:sz w:val="32"/>
          <w:szCs w:val="32"/>
        </w:rPr>
        <w:lastRenderedPageBreak/>
        <w:t>并完善</w:t>
      </w:r>
      <w:proofErr w:type="gramStart"/>
      <w:r>
        <w:rPr>
          <w:rFonts w:ascii="仿宋_GB2312" w:eastAsia="仿宋_GB2312" w:hAnsi="仿宋_GB2312" w:cs="仿宋_GB2312" w:hint="eastAsia"/>
          <w:kern w:val="0"/>
          <w:sz w:val="32"/>
          <w:szCs w:val="32"/>
        </w:rPr>
        <w:t>资产台</w:t>
      </w:r>
      <w:proofErr w:type="gramEnd"/>
      <w:r>
        <w:rPr>
          <w:rFonts w:ascii="仿宋_GB2312" w:eastAsia="仿宋_GB2312" w:hAnsi="仿宋_GB2312" w:cs="仿宋_GB2312" w:hint="eastAsia"/>
          <w:kern w:val="0"/>
          <w:sz w:val="32"/>
          <w:szCs w:val="32"/>
        </w:rPr>
        <w:t>账。加强对固定资产的配置、采购、报废等环节的科学决策，实现资产管理的规范化、科学化、合理化。</w:t>
      </w:r>
    </w:p>
    <w:p w:rsidR="000400A0" w:rsidRDefault="00891D33">
      <w:pPr>
        <w:pStyle w:val="2"/>
        <w:spacing w:before="0" w:after="0" w:line="360" w:lineRule="auto"/>
        <w:ind w:firstLineChars="200" w:firstLine="640"/>
        <w:rPr>
          <w:rFonts w:ascii="楷体_GB2312" w:eastAsia="楷体_GB2312" w:hAnsi="楷体_GB2312" w:cs="楷体_GB2312"/>
          <w:b w:val="0"/>
          <w:bCs/>
        </w:rPr>
      </w:pPr>
      <w:bookmarkStart w:id="12" w:name="_Toc15535"/>
      <w:r>
        <w:rPr>
          <w:rFonts w:ascii="楷体_GB2312" w:eastAsia="楷体_GB2312" w:hAnsi="楷体_GB2312" w:cs="楷体_GB2312" w:hint="eastAsia"/>
          <w:b w:val="0"/>
          <w:bCs/>
        </w:rPr>
        <w:t>（三）绩效管理</w:t>
      </w:r>
      <w:bookmarkEnd w:id="12"/>
    </w:p>
    <w:p w:rsidR="000400A0" w:rsidRDefault="00891D33">
      <w:pPr>
        <w:spacing w:line="600" w:lineRule="exact"/>
        <w:ind w:leftChars="50" w:left="105" w:firstLineChars="150" w:firstLine="482"/>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1.组织架构</w:t>
      </w:r>
    </w:p>
    <w:p w:rsidR="000400A0" w:rsidRDefault="00891D33">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为按时、高质量地完成部门绩效评价工作，切实提高全</w:t>
      </w:r>
      <w:proofErr w:type="gramStart"/>
      <w:r>
        <w:rPr>
          <w:rFonts w:ascii="仿宋_GB2312" w:eastAsia="仿宋_GB2312" w:hint="eastAsia"/>
          <w:sz w:val="32"/>
          <w:szCs w:val="32"/>
        </w:rPr>
        <w:t>委预算</w:t>
      </w:r>
      <w:proofErr w:type="gramEnd"/>
      <w:r>
        <w:rPr>
          <w:rFonts w:ascii="仿宋_GB2312" w:eastAsia="仿宋_GB2312" w:hint="eastAsia"/>
          <w:sz w:val="32"/>
          <w:szCs w:val="32"/>
        </w:rPr>
        <w:t>管理水平，成立预算部门绩效评价领导小组，负责交通</w:t>
      </w:r>
      <w:proofErr w:type="gramStart"/>
      <w:r>
        <w:rPr>
          <w:rFonts w:ascii="仿宋_GB2312" w:eastAsia="仿宋_GB2312" w:hint="eastAsia"/>
          <w:sz w:val="32"/>
          <w:szCs w:val="32"/>
        </w:rPr>
        <w:t>委部门</w:t>
      </w:r>
      <w:proofErr w:type="gramEnd"/>
      <w:r>
        <w:rPr>
          <w:rFonts w:ascii="仿宋_GB2312" w:eastAsia="仿宋_GB2312" w:hint="eastAsia"/>
          <w:sz w:val="32"/>
          <w:szCs w:val="32"/>
        </w:rPr>
        <w:t>绩效评价的总体协调、监督。</w:t>
      </w:r>
    </w:p>
    <w:p w:rsidR="000400A0" w:rsidRDefault="00891D33">
      <w:p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2.制度建设</w:t>
      </w:r>
    </w:p>
    <w:p w:rsidR="000400A0" w:rsidRDefault="00891D33">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制定了预算绩效管理规定，按照项目类别制定了绩效目标模板，将绩效目标设定、绩效监控、绩效评价及结果应用纳入预算编制、执行、监督全过程，以提高全面预算绩效管理水平。</w:t>
      </w:r>
    </w:p>
    <w:p w:rsidR="000400A0" w:rsidRDefault="00891D33">
      <w:pPr>
        <w:spacing w:line="600" w:lineRule="exact"/>
        <w:ind w:leftChars="50" w:left="105" w:firstLineChars="150" w:firstLine="482"/>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3.2021年工作开展情况</w:t>
      </w:r>
    </w:p>
    <w:p w:rsidR="000400A0" w:rsidRDefault="00891D33">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市交通委严格落实预算绩效管理主体责任，扎实推进北京市在预算绩效管理方面的各类工作要求，开展了一系列部门预算绩效管理相关工作。</w:t>
      </w:r>
    </w:p>
    <w:p w:rsidR="000400A0" w:rsidRDefault="00891D33">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bCs/>
          <w:sz w:val="32"/>
          <w:szCs w:val="32"/>
        </w:rPr>
        <w:t>一是开展项目事前绩效评审和预算评审。</w:t>
      </w:r>
      <w:r>
        <w:rPr>
          <w:rFonts w:ascii="仿宋_GB2312" w:eastAsia="仿宋_GB2312" w:hAnsi="仿宋_GB2312" w:cs="仿宋_GB2312" w:hint="eastAsia"/>
          <w:sz w:val="32"/>
          <w:szCs w:val="32"/>
        </w:rPr>
        <w:t>市交通</w:t>
      </w:r>
      <w:proofErr w:type="gramStart"/>
      <w:r>
        <w:rPr>
          <w:rFonts w:ascii="仿宋_GB2312" w:eastAsia="仿宋_GB2312" w:hAnsi="仿宋_GB2312" w:cs="仿宋_GB2312" w:hint="eastAsia"/>
          <w:sz w:val="32"/>
          <w:szCs w:val="32"/>
        </w:rPr>
        <w:t>委连续</w:t>
      </w:r>
      <w:proofErr w:type="gramEnd"/>
      <w:r>
        <w:rPr>
          <w:rFonts w:ascii="仿宋_GB2312" w:eastAsia="仿宋_GB2312" w:hAnsi="仿宋_GB2312" w:cs="仿宋_GB2312" w:hint="eastAsia"/>
          <w:sz w:val="32"/>
          <w:szCs w:val="32"/>
        </w:rPr>
        <w:t>多年聘请专业机构对部门预算项目开展事前绩效评估和预算评审工作，由重点项目逐步扩展到部门所有新增重点项目均纳入事前绩效评估工作，预算评审基本实现全覆盖。</w:t>
      </w:r>
    </w:p>
    <w:p w:rsidR="000400A0" w:rsidRDefault="00891D33">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bCs/>
          <w:sz w:val="32"/>
          <w:szCs w:val="32"/>
        </w:rPr>
        <w:t>二是扎实推进部门绩效自评</w:t>
      </w:r>
      <w:r>
        <w:rPr>
          <w:rFonts w:ascii="仿宋_GB2312" w:eastAsia="仿宋_GB2312" w:hAnsi="仿宋_GB2312" w:cs="仿宋_GB2312" w:hint="eastAsia"/>
          <w:sz w:val="32"/>
          <w:szCs w:val="32"/>
        </w:rPr>
        <w:t>。纳入绩效评价的重点项目选取严格按照北京市全面预算绩效管理工作的要求，优先从2021年度部门预算中“委托外包”类、9月底预算执行进度</w:t>
      </w:r>
      <w:r>
        <w:rPr>
          <w:rFonts w:ascii="仿宋_GB2312" w:eastAsia="仿宋_GB2312" w:hAnsi="仿宋_GB2312" w:cs="仿宋_GB2312" w:hint="eastAsia"/>
          <w:sz w:val="32"/>
          <w:szCs w:val="32"/>
        </w:rPr>
        <w:lastRenderedPageBreak/>
        <w:t>不足75%的、年初预算进行调整的、中央直达资金、事前绩效评估存在问题的项目中选取，并采取轮换制，提高重点项目覆盖面。采用专家评议法、比较法等多种方式相结合对部门重点支出项目进行绩效评价，通过项目自评打分真实、客观反映项目预算执行情况和绩效目标完成情况。</w:t>
      </w:r>
    </w:p>
    <w:p w:rsidR="000400A0" w:rsidRDefault="00891D33">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bCs/>
          <w:sz w:val="32"/>
          <w:szCs w:val="32"/>
        </w:rPr>
        <w:t>三是</w:t>
      </w:r>
      <w:r>
        <w:rPr>
          <w:rFonts w:ascii="仿宋_GB2312" w:eastAsia="仿宋_GB2312" w:hAnsi="仿宋_GB2312" w:cs="仿宋_GB2312" w:hint="eastAsia"/>
          <w:sz w:val="32"/>
          <w:szCs w:val="32"/>
        </w:rPr>
        <w:t>开展绩效运行监控工作。加强对项目执行过程、预算支出进度的动态监控，年度中期向市财政局报送绩效运行监控报告，对项目执行中的问题及时纠偏，密切关注财政资金使用效率，提前预判项目执行和预算支出情况，根据项目执行情况调整预算和绩效目标，提高财政资金使用效率。</w:t>
      </w:r>
    </w:p>
    <w:p w:rsidR="000400A0" w:rsidRDefault="00891D33">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bCs/>
          <w:sz w:val="32"/>
          <w:szCs w:val="32"/>
        </w:rPr>
        <w:t>四是</w:t>
      </w:r>
      <w:r>
        <w:rPr>
          <w:rFonts w:ascii="仿宋_GB2312" w:eastAsia="仿宋_GB2312" w:hAnsi="仿宋_GB2312" w:cs="仿宋_GB2312" w:hint="eastAsia"/>
          <w:sz w:val="32"/>
          <w:szCs w:val="32"/>
        </w:rPr>
        <w:t>坚持通过公开接受监督。部门预决算及绩效评价情况在政府门户网站上进行公开，接受社会监督，以促进建立科学、规范、高效的财政资金分配管理体制和预算决策机制，合理配置政府财政资源，提高财政资金使用效益。</w:t>
      </w:r>
    </w:p>
    <w:p w:rsidR="000400A0" w:rsidRDefault="00891D33">
      <w:pPr>
        <w:pStyle w:val="2"/>
        <w:spacing w:before="0" w:after="0" w:line="360" w:lineRule="auto"/>
        <w:ind w:firstLineChars="200" w:firstLine="643"/>
        <w:rPr>
          <w:rFonts w:ascii="楷体_GB2312" w:eastAsia="楷体_GB2312" w:hAnsi="楷体_GB2312" w:cs="楷体_GB2312"/>
          <w:bCs/>
        </w:rPr>
      </w:pPr>
      <w:bookmarkStart w:id="13" w:name="_Toc24503"/>
      <w:r>
        <w:rPr>
          <w:rFonts w:ascii="楷体_GB2312" w:eastAsia="楷体_GB2312" w:hAnsi="楷体_GB2312" w:cs="楷体_GB2312" w:hint="eastAsia"/>
          <w:bCs/>
        </w:rPr>
        <w:t>（四）结转结余率</w:t>
      </w:r>
      <w:bookmarkEnd w:id="13"/>
    </w:p>
    <w:p w:rsidR="000400A0" w:rsidRDefault="00891D33">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2021年部门结转结余总额</w:t>
      </w:r>
      <w:r>
        <w:rPr>
          <w:rFonts w:ascii="仿宋_GB2312" w:eastAsia="仿宋_GB2312" w:hAnsi="仿宋_GB2312" w:cs="仿宋_GB2312"/>
          <w:sz w:val="32"/>
          <w:szCs w:val="32"/>
        </w:rPr>
        <w:t>99</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554</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57</w:t>
      </w:r>
      <w:r>
        <w:rPr>
          <w:rFonts w:ascii="仿宋_GB2312" w:eastAsia="仿宋_GB2312" w:hAnsi="仿宋_GB2312" w:cs="仿宋_GB2312" w:hint="eastAsia"/>
          <w:sz w:val="32"/>
          <w:szCs w:val="32"/>
        </w:rPr>
        <w:t>万元，全年支出预算数</w:t>
      </w:r>
      <w:r>
        <w:rPr>
          <w:rFonts w:ascii="仿宋_GB2312" w:eastAsia="仿宋_GB2312" w:hAnsi="宋体" w:cs="宋体" w:hint="eastAsia"/>
          <w:color w:val="000000"/>
          <w:kern w:val="0"/>
          <w:sz w:val="32"/>
          <w:szCs w:val="32"/>
        </w:rPr>
        <w:t>1,932,077.37</w:t>
      </w:r>
      <w:r>
        <w:rPr>
          <w:rFonts w:ascii="仿宋_GB2312" w:eastAsia="仿宋_GB2312" w:hAnsi="仿宋_GB2312" w:cs="仿宋_GB2312" w:hint="eastAsia"/>
          <w:sz w:val="32"/>
          <w:szCs w:val="32"/>
        </w:rPr>
        <w:t>万元，结转结余率5.15%，主要是年内追加、调整的项目资金，可以使用到2022年4月底。</w:t>
      </w:r>
    </w:p>
    <w:p w:rsidR="000400A0" w:rsidRDefault="00891D33">
      <w:pPr>
        <w:pStyle w:val="2"/>
        <w:spacing w:before="0" w:after="0" w:line="360" w:lineRule="auto"/>
        <w:ind w:firstLineChars="200" w:firstLine="643"/>
        <w:rPr>
          <w:rFonts w:ascii="楷体_GB2312" w:eastAsia="楷体_GB2312" w:hAnsi="楷体_GB2312" w:cs="楷体_GB2312"/>
          <w:bCs/>
        </w:rPr>
      </w:pPr>
      <w:bookmarkStart w:id="14" w:name="_Toc9318"/>
      <w:r>
        <w:rPr>
          <w:rFonts w:ascii="楷体_GB2312" w:eastAsia="楷体_GB2312" w:hAnsi="楷体_GB2312" w:cs="楷体_GB2312" w:hint="eastAsia"/>
          <w:bCs/>
        </w:rPr>
        <w:t>（五）部门预决算差异率</w:t>
      </w:r>
      <w:bookmarkEnd w:id="14"/>
    </w:p>
    <w:p w:rsidR="000400A0" w:rsidRDefault="00891D33">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2021年部门决算数</w:t>
      </w:r>
      <w:r>
        <w:rPr>
          <w:rFonts w:ascii="仿宋_GB2312" w:eastAsia="仿宋_GB2312" w:hAnsi="宋体" w:cs="宋体"/>
          <w:color w:val="000000"/>
          <w:kern w:val="0"/>
          <w:sz w:val="32"/>
          <w:szCs w:val="32"/>
        </w:rPr>
        <w:t>1</w:t>
      </w:r>
      <w:r>
        <w:rPr>
          <w:rFonts w:ascii="仿宋_GB2312" w:eastAsia="仿宋_GB2312" w:hAnsi="宋体" w:cs="宋体" w:hint="eastAsia"/>
          <w:color w:val="000000"/>
          <w:kern w:val="0"/>
          <w:sz w:val="32"/>
          <w:szCs w:val="32"/>
        </w:rPr>
        <w:t>,</w:t>
      </w:r>
      <w:r>
        <w:rPr>
          <w:rFonts w:ascii="仿宋_GB2312" w:eastAsia="仿宋_GB2312" w:hAnsi="宋体" w:cs="宋体"/>
          <w:color w:val="000000"/>
          <w:kern w:val="0"/>
          <w:sz w:val="32"/>
          <w:szCs w:val="32"/>
        </w:rPr>
        <w:t>832</w:t>
      </w:r>
      <w:r>
        <w:rPr>
          <w:rFonts w:ascii="仿宋_GB2312" w:eastAsia="仿宋_GB2312" w:hAnsi="宋体" w:cs="宋体" w:hint="eastAsia"/>
          <w:color w:val="000000"/>
          <w:kern w:val="0"/>
          <w:sz w:val="32"/>
          <w:szCs w:val="32"/>
        </w:rPr>
        <w:t>,</w:t>
      </w:r>
      <w:r>
        <w:rPr>
          <w:rFonts w:ascii="仿宋_GB2312" w:eastAsia="仿宋_GB2312" w:hAnsi="宋体" w:cs="宋体"/>
          <w:color w:val="000000"/>
          <w:kern w:val="0"/>
          <w:sz w:val="32"/>
          <w:szCs w:val="32"/>
        </w:rPr>
        <w:t>438</w:t>
      </w:r>
      <w:r>
        <w:rPr>
          <w:rFonts w:ascii="仿宋_GB2312" w:eastAsia="仿宋_GB2312" w:hAnsi="宋体" w:cs="宋体" w:hint="eastAsia"/>
          <w:color w:val="000000"/>
          <w:kern w:val="0"/>
          <w:sz w:val="32"/>
          <w:szCs w:val="32"/>
        </w:rPr>
        <w:t>.</w:t>
      </w:r>
      <w:r>
        <w:rPr>
          <w:rFonts w:ascii="仿宋_GB2312" w:eastAsia="仿宋_GB2312" w:hAnsi="宋体" w:cs="宋体"/>
          <w:color w:val="000000"/>
          <w:kern w:val="0"/>
          <w:sz w:val="32"/>
          <w:szCs w:val="32"/>
        </w:rPr>
        <w:t>9</w:t>
      </w:r>
      <w:r>
        <w:rPr>
          <w:rFonts w:ascii="仿宋_GB2312" w:eastAsia="仿宋_GB2312" w:hAnsi="宋体" w:cs="宋体" w:hint="eastAsia"/>
          <w:color w:val="000000"/>
          <w:kern w:val="0"/>
          <w:sz w:val="32"/>
          <w:szCs w:val="32"/>
        </w:rPr>
        <w:t>5</w:t>
      </w:r>
      <w:r>
        <w:rPr>
          <w:rFonts w:ascii="仿宋_GB2312" w:eastAsia="仿宋_GB2312" w:hAnsi="仿宋_GB2312" w:cs="仿宋_GB2312" w:hint="eastAsia"/>
          <w:sz w:val="32"/>
          <w:szCs w:val="32"/>
        </w:rPr>
        <w:t>万元，与年初部门预算数</w:t>
      </w:r>
      <w:r>
        <w:rPr>
          <w:rFonts w:ascii="仿宋_GB2312" w:eastAsia="仿宋_GB2312" w:hAnsi="宋体" w:cs="宋体" w:hint="eastAsia"/>
          <w:color w:val="000000"/>
          <w:kern w:val="0"/>
          <w:sz w:val="32"/>
          <w:szCs w:val="32"/>
        </w:rPr>
        <w:t>1,386,867.34</w:t>
      </w:r>
      <w:r>
        <w:rPr>
          <w:rFonts w:ascii="仿宋_GB2312" w:eastAsia="仿宋_GB2312" w:hAnsi="仿宋_GB2312" w:cs="仿宋_GB2312" w:hint="eastAsia"/>
          <w:sz w:val="32"/>
          <w:szCs w:val="32"/>
        </w:rPr>
        <w:t>万元相比，部门预决算差异率为32.13%。主要原因是中央</w:t>
      </w:r>
      <w:proofErr w:type="gramStart"/>
      <w:r>
        <w:rPr>
          <w:rFonts w:ascii="仿宋_GB2312" w:eastAsia="仿宋_GB2312" w:hAnsi="仿宋_GB2312" w:cs="仿宋_GB2312" w:hint="eastAsia"/>
          <w:sz w:val="32"/>
          <w:szCs w:val="32"/>
        </w:rPr>
        <w:t>车购税补助</w:t>
      </w:r>
      <w:proofErr w:type="gramEnd"/>
      <w:r>
        <w:rPr>
          <w:rFonts w:ascii="仿宋_GB2312" w:eastAsia="仿宋_GB2312" w:hAnsi="仿宋_GB2312" w:cs="仿宋_GB2312" w:hint="eastAsia"/>
          <w:sz w:val="32"/>
          <w:szCs w:val="32"/>
        </w:rPr>
        <w:t>、公路养护等资金预算年内陆续下达。</w:t>
      </w:r>
    </w:p>
    <w:p w:rsidR="000400A0" w:rsidRDefault="00891D33">
      <w:pPr>
        <w:pStyle w:val="1"/>
        <w:spacing w:before="0" w:after="0" w:line="360" w:lineRule="auto"/>
        <w:ind w:firstLineChars="200" w:firstLine="640"/>
        <w:rPr>
          <w:rFonts w:ascii="黑体" w:eastAsia="黑体" w:hAnsi="黑体" w:cs="黑体"/>
          <w:b w:val="0"/>
          <w:bCs/>
          <w:sz w:val="32"/>
          <w:szCs w:val="32"/>
        </w:rPr>
      </w:pPr>
      <w:bookmarkStart w:id="15" w:name="_Toc24562"/>
      <w:r>
        <w:rPr>
          <w:rFonts w:ascii="黑体" w:eastAsia="黑体" w:hAnsi="黑体" w:cs="黑体" w:hint="eastAsia"/>
          <w:b w:val="0"/>
          <w:bCs/>
          <w:sz w:val="32"/>
          <w:szCs w:val="32"/>
        </w:rPr>
        <w:lastRenderedPageBreak/>
        <w:t>五、总体评价结论</w:t>
      </w:r>
      <w:bookmarkEnd w:id="15"/>
    </w:p>
    <w:p w:rsidR="000400A0" w:rsidRDefault="00891D33">
      <w:pPr>
        <w:pStyle w:val="2"/>
        <w:spacing w:before="0" w:after="0" w:line="360" w:lineRule="auto"/>
        <w:ind w:firstLineChars="200" w:firstLine="640"/>
        <w:rPr>
          <w:rFonts w:ascii="楷体_GB2312" w:eastAsia="楷体_GB2312" w:hAnsi="楷体_GB2312" w:cs="楷体_GB2312"/>
          <w:b w:val="0"/>
          <w:bCs/>
        </w:rPr>
      </w:pPr>
      <w:bookmarkStart w:id="16" w:name="_Toc6069"/>
      <w:r>
        <w:rPr>
          <w:rFonts w:ascii="楷体_GB2312" w:eastAsia="楷体_GB2312" w:hAnsi="楷体_GB2312" w:cs="楷体_GB2312" w:hint="eastAsia"/>
          <w:b w:val="0"/>
          <w:bCs/>
        </w:rPr>
        <w:t>（一）评价得分情况</w:t>
      </w:r>
      <w:bookmarkEnd w:id="16"/>
    </w:p>
    <w:p w:rsidR="000400A0" w:rsidRDefault="00891D33">
      <w:pPr>
        <w:spacing w:line="360" w:lineRule="auto"/>
        <w:ind w:firstLineChars="200" w:firstLine="64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绩效评价得分为92.00分，评价等级为“优”。部门</w:t>
      </w:r>
      <w:r>
        <w:rPr>
          <w:rFonts w:ascii="仿宋_GB2312" w:eastAsia="仿宋_GB2312" w:hAnsi="仿宋_GB2312" w:cs="仿宋_GB2312" w:hint="eastAsia"/>
          <w:bCs/>
          <w:sz w:val="32"/>
          <w:szCs w:val="32"/>
        </w:rPr>
        <w:t>当年预算执行情况良好，预算执行率94.84%</w:t>
      </w:r>
      <w:r>
        <w:rPr>
          <w:rFonts w:ascii="仿宋_GB2312" w:eastAsia="仿宋_GB2312" w:hAnsi="仿宋_GB2312" w:cs="仿宋_GB2312" w:hint="eastAsia"/>
          <w:bCs/>
          <w:kern w:val="0"/>
          <w:sz w:val="32"/>
          <w:szCs w:val="32"/>
        </w:rPr>
        <w:t>，整体绩效目标实现情况良好，完成了年初制定的各项重点工作任务。内部建设方面，严格按照北京市财政局预算绩效管理的要求开展工作，财务管理制度健全，资金使用规范，会计基础信息完善，资产安全完整、资产使用及处置合</w:t>
      </w:r>
      <w:proofErr w:type="gramStart"/>
      <w:r>
        <w:rPr>
          <w:rFonts w:ascii="仿宋_GB2312" w:eastAsia="仿宋_GB2312" w:hAnsi="仿宋_GB2312" w:cs="仿宋_GB2312" w:hint="eastAsia"/>
          <w:bCs/>
          <w:kern w:val="0"/>
          <w:sz w:val="32"/>
          <w:szCs w:val="32"/>
        </w:rPr>
        <w:t>规</w:t>
      </w:r>
      <w:proofErr w:type="gramEnd"/>
      <w:r>
        <w:rPr>
          <w:rFonts w:ascii="仿宋_GB2312" w:eastAsia="仿宋_GB2312" w:hAnsi="仿宋_GB2312" w:cs="仿宋_GB2312" w:hint="eastAsia"/>
          <w:bCs/>
          <w:kern w:val="0"/>
          <w:sz w:val="32"/>
          <w:szCs w:val="32"/>
        </w:rPr>
        <w:t>，按照北京市全面贯彻预算绩效管理的要求开展预算绩效管理。但评价发现部门仍存在整体绩效目标设定不够合理规范，个别项目进度滞后，反映项目绩效的佐证性资料收集不够全面等问题。</w:t>
      </w:r>
    </w:p>
    <w:p w:rsidR="000400A0" w:rsidRDefault="000400A0">
      <w:pPr>
        <w:pStyle w:val="20"/>
        <w:spacing w:after="0" w:line="240" w:lineRule="auto"/>
        <w:ind w:leftChars="0" w:left="0"/>
        <w:jc w:val="center"/>
        <w:rPr>
          <w:rFonts w:ascii="黑体" w:eastAsia="黑体" w:hAnsi="黑体" w:cs="黑体"/>
          <w:bCs/>
          <w:szCs w:val="21"/>
        </w:rPr>
      </w:pPr>
    </w:p>
    <w:p w:rsidR="000400A0" w:rsidRDefault="00891D33">
      <w:pPr>
        <w:pStyle w:val="2"/>
        <w:spacing w:before="0" w:after="0" w:line="360" w:lineRule="auto"/>
        <w:ind w:firstLineChars="200" w:firstLine="640"/>
        <w:rPr>
          <w:rFonts w:ascii="楷体_GB2312" w:eastAsia="楷体_GB2312" w:hAnsi="楷体_GB2312" w:cs="楷体_GB2312"/>
          <w:b w:val="0"/>
          <w:bCs/>
        </w:rPr>
      </w:pPr>
      <w:bookmarkStart w:id="17" w:name="_Toc23461"/>
      <w:r>
        <w:rPr>
          <w:rFonts w:ascii="楷体_GB2312" w:eastAsia="楷体_GB2312" w:hAnsi="楷体_GB2312" w:cs="楷体_GB2312" w:hint="eastAsia"/>
          <w:b w:val="0"/>
          <w:bCs/>
        </w:rPr>
        <w:t>（二）存在的问题及原因分析</w:t>
      </w:r>
      <w:bookmarkEnd w:id="17"/>
    </w:p>
    <w:p w:rsidR="000400A0" w:rsidRDefault="00891D33">
      <w:pPr>
        <w:snapToGrid w:val="0"/>
        <w:spacing w:beforeLines="50" w:before="156" w:line="360" w:lineRule="auto"/>
        <w:ind w:firstLineChars="200" w:firstLine="643"/>
        <w:rPr>
          <w:rFonts w:ascii="仿宋_GB2312" w:eastAsia="仿宋_GB2312" w:hAnsi="仿宋_GB2312" w:cs="仿宋_GB2312"/>
          <w:b/>
          <w:bCs/>
          <w:color w:val="000000"/>
          <w:sz w:val="32"/>
          <w:szCs w:val="32"/>
        </w:rPr>
      </w:pPr>
      <w:r>
        <w:rPr>
          <w:rFonts w:ascii="仿宋_GB2312" w:eastAsia="仿宋_GB2312" w:hAnsi="仿宋_GB2312" w:cs="仿宋_GB2312" w:hint="eastAsia"/>
          <w:b/>
          <w:bCs/>
          <w:color w:val="000000"/>
          <w:sz w:val="32"/>
          <w:szCs w:val="32"/>
        </w:rPr>
        <w:t>1.部门绩效指标设置不够完善</w:t>
      </w:r>
    </w:p>
    <w:p w:rsidR="000400A0" w:rsidRDefault="00891D33">
      <w:pPr>
        <w:spacing w:line="360" w:lineRule="auto"/>
        <w:ind w:firstLineChars="200" w:firstLine="64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部门绩效指标需进一步细化量化，年初设定的绩效目标较为宏观，缺少细化量化的产出、质量、效益效果指标，可考核性不强。</w:t>
      </w:r>
    </w:p>
    <w:p w:rsidR="000400A0" w:rsidRDefault="00891D33">
      <w:pPr>
        <w:snapToGrid w:val="0"/>
        <w:spacing w:beforeLines="50" w:before="156" w:line="360" w:lineRule="auto"/>
        <w:ind w:firstLineChars="200" w:firstLine="643"/>
        <w:rPr>
          <w:rFonts w:ascii="仿宋_GB2312" w:eastAsia="仿宋_GB2312" w:hAnsi="仿宋_GB2312" w:cs="仿宋_GB2312"/>
          <w:b/>
          <w:bCs/>
          <w:color w:val="000000"/>
          <w:sz w:val="32"/>
          <w:szCs w:val="32"/>
        </w:rPr>
      </w:pPr>
      <w:r>
        <w:rPr>
          <w:rFonts w:ascii="仿宋_GB2312" w:eastAsia="仿宋_GB2312" w:hAnsi="仿宋_GB2312" w:cs="仿宋_GB2312" w:hint="eastAsia"/>
          <w:b/>
          <w:bCs/>
          <w:color w:val="000000"/>
          <w:sz w:val="32"/>
          <w:szCs w:val="32"/>
        </w:rPr>
        <w:t>2.个别项目计划规划性不够充分</w:t>
      </w:r>
    </w:p>
    <w:p w:rsidR="000400A0" w:rsidRDefault="00891D33">
      <w:pPr>
        <w:snapToGrid w:val="0"/>
        <w:spacing w:line="360" w:lineRule="auto"/>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个别项目未制定行之有效、指导性强的实施方案，项目的计划性较弱，造成执行进度滞后，一定程度上影响了项目实施效果。</w:t>
      </w:r>
    </w:p>
    <w:p w:rsidR="000400A0" w:rsidRDefault="00891D33">
      <w:pPr>
        <w:pStyle w:val="1"/>
        <w:spacing w:before="0" w:after="0" w:line="360" w:lineRule="auto"/>
        <w:ind w:firstLineChars="200" w:firstLine="640"/>
        <w:rPr>
          <w:rFonts w:ascii="黑体" w:eastAsia="黑体" w:hAnsi="黑体" w:cs="黑体"/>
          <w:b w:val="0"/>
          <w:bCs/>
          <w:sz w:val="32"/>
          <w:szCs w:val="32"/>
        </w:rPr>
      </w:pPr>
      <w:bookmarkStart w:id="18" w:name="_Toc3803"/>
      <w:r>
        <w:rPr>
          <w:rFonts w:ascii="黑体" w:eastAsia="黑体" w:hAnsi="黑体" w:cs="黑体" w:hint="eastAsia"/>
          <w:b w:val="0"/>
          <w:bCs/>
          <w:sz w:val="32"/>
          <w:szCs w:val="32"/>
        </w:rPr>
        <w:lastRenderedPageBreak/>
        <w:t>六、</w:t>
      </w:r>
      <w:bookmarkEnd w:id="18"/>
      <w:r>
        <w:rPr>
          <w:rFonts w:ascii="黑体" w:eastAsia="黑体" w:hAnsi="黑体" w:cs="黑体" w:hint="eastAsia"/>
          <w:b w:val="0"/>
          <w:bCs/>
          <w:sz w:val="32"/>
          <w:szCs w:val="32"/>
        </w:rPr>
        <w:t>下一步工作</w:t>
      </w:r>
    </w:p>
    <w:p w:rsidR="000400A0" w:rsidRDefault="00891D33">
      <w:pPr>
        <w:pStyle w:val="2"/>
        <w:spacing w:before="0" w:after="0" w:line="360" w:lineRule="auto"/>
        <w:ind w:firstLineChars="200" w:firstLine="640"/>
        <w:rPr>
          <w:rFonts w:ascii="楷体_GB2312" w:eastAsia="楷体_GB2312" w:hAnsi="楷体_GB2312" w:cs="楷体_GB2312"/>
          <w:b w:val="0"/>
          <w:bCs/>
        </w:rPr>
      </w:pPr>
      <w:r>
        <w:rPr>
          <w:rFonts w:ascii="楷体_GB2312" w:eastAsia="楷体_GB2312" w:hAnsi="楷体_GB2312" w:cs="楷体_GB2312" w:hint="eastAsia"/>
          <w:b w:val="0"/>
          <w:bCs/>
        </w:rPr>
        <w:t>（一）进一步提高绩效目标设置水平</w:t>
      </w:r>
    </w:p>
    <w:p w:rsidR="000400A0" w:rsidRDefault="00891D33">
      <w:pPr>
        <w:ind w:firstLineChars="200" w:firstLine="640"/>
        <w:rPr>
          <w:rFonts w:ascii="仿宋_GB2312" w:eastAsia="仿宋_GB2312"/>
          <w:sz w:val="32"/>
          <w:szCs w:val="32"/>
        </w:rPr>
      </w:pPr>
      <w:r>
        <w:rPr>
          <w:rFonts w:ascii="仿宋_GB2312" w:eastAsia="仿宋_GB2312" w:hint="eastAsia"/>
          <w:sz w:val="32"/>
          <w:szCs w:val="32"/>
        </w:rPr>
        <w:t>完善项目绩效目标，主要是加强绩效指标的细化量化水平，进一步提高可</w:t>
      </w:r>
      <w:proofErr w:type="gramStart"/>
      <w:r>
        <w:rPr>
          <w:rFonts w:ascii="仿宋_GB2312" w:eastAsia="仿宋_GB2312" w:hint="eastAsia"/>
          <w:sz w:val="32"/>
          <w:szCs w:val="32"/>
        </w:rPr>
        <w:t>考量</w:t>
      </w:r>
      <w:proofErr w:type="gramEnd"/>
      <w:r>
        <w:rPr>
          <w:rFonts w:ascii="仿宋_GB2312" w:eastAsia="仿宋_GB2312" w:hint="eastAsia"/>
          <w:sz w:val="32"/>
          <w:szCs w:val="32"/>
        </w:rPr>
        <w:t>性，提高绩效目标管理科学化、规范化、标准化水平。</w:t>
      </w:r>
    </w:p>
    <w:p w:rsidR="000400A0" w:rsidRDefault="00891D33">
      <w:pPr>
        <w:pStyle w:val="2"/>
        <w:spacing w:before="0" w:after="0" w:line="360" w:lineRule="auto"/>
        <w:ind w:firstLineChars="200" w:firstLine="640"/>
        <w:rPr>
          <w:rFonts w:ascii="楷体_GB2312" w:eastAsia="楷体_GB2312" w:hAnsi="楷体_GB2312" w:cs="楷体_GB2312"/>
          <w:b w:val="0"/>
          <w:bCs/>
        </w:rPr>
      </w:pPr>
      <w:r>
        <w:rPr>
          <w:rFonts w:ascii="楷体_GB2312" w:eastAsia="楷体_GB2312" w:hAnsi="楷体_GB2312" w:cs="楷体_GB2312" w:hint="eastAsia"/>
          <w:b w:val="0"/>
          <w:bCs/>
        </w:rPr>
        <w:t>（二）加强项目年度实施方案的制定</w:t>
      </w:r>
    </w:p>
    <w:p w:rsidR="000400A0" w:rsidRDefault="00891D33">
      <w:pPr>
        <w:ind w:firstLineChars="200" w:firstLine="640"/>
        <w:rPr>
          <w:rFonts w:ascii="仿宋_GB2312" w:eastAsia="仿宋_GB2312"/>
          <w:sz w:val="32"/>
          <w:szCs w:val="32"/>
        </w:rPr>
      </w:pPr>
      <w:r>
        <w:rPr>
          <w:rFonts w:ascii="仿宋_GB2312" w:eastAsia="仿宋_GB2312" w:hint="eastAsia"/>
          <w:sz w:val="32"/>
          <w:szCs w:val="32"/>
        </w:rPr>
        <w:t>根据每年的工作要求，提前做好各项目的工作安排和计划，针对各</w:t>
      </w:r>
      <w:proofErr w:type="gramStart"/>
      <w:r>
        <w:rPr>
          <w:rFonts w:ascii="仿宋_GB2312" w:eastAsia="仿宋_GB2312" w:hint="eastAsia"/>
          <w:sz w:val="32"/>
          <w:szCs w:val="32"/>
        </w:rPr>
        <w:t>类影响</w:t>
      </w:r>
      <w:proofErr w:type="gramEnd"/>
      <w:r>
        <w:rPr>
          <w:rFonts w:ascii="仿宋_GB2312" w:eastAsia="仿宋_GB2312" w:hint="eastAsia"/>
          <w:sz w:val="32"/>
          <w:szCs w:val="32"/>
        </w:rPr>
        <w:t>项目执行进度的事项，提前做出预判，进一步保障项目的及时、有效实施。</w:t>
      </w:r>
    </w:p>
    <w:p w:rsidR="000400A0" w:rsidRDefault="000400A0">
      <w:pPr>
        <w:spacing w:line="600" w:lineRule="exact"/>
      </w:pPr>
    </w:p>
    <w:p w:rsidR="000400A0" w:rsidRDefault="000400A0"/>
    <w:sectPr w:rsidR="000400A0">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6E65" w:rsidRDefault="002A6E65">
      <w:r>
        <w:separator/>
      </w:r>
    </w:p>
  </w:endnote>
  <w:endnote w:type="continuationSeparator" w:id="0">
    <w:p w:rsidR="002A6E65" w:rsidRDefault="002A6E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400A0" w:rsidRDefault="00891D33">
    <w:pPr>
      <w:pStyle w:val="a4"/>
      <w:jc w:val="center"/>
    </w:pPr>
    <w:r>
      <w:rPr>
        <w:noProof/>
      </w:rPr>
      <mc:AlternateContent>
        <mc:Choice Requires="wps">
          <w:drawing>
            <wp:anchor distT="0" distB="0" distL="114300" distR="114300" simplePos="0" relativeHeight="251660288" behindDoc="0" locked="0" layoutInCell="1" allowOverlap="1" wp14:anchorId="2F95DE59" wp14:editId="237FD56D">
              <wp:simplePos x="0" y="0"/>
              <wp:positionH relativeFrom="margin">
                <wp:align>center</wp:align>
              </wp:positionH>
              <wp:positionV relativeFrom="paragraph">
                <wp:posOffset>0</wp:posOffset>
              </wp:positionV>
              <wp:extent cx="114935" cy="131445"/>
              <wp:effectExtent l="0" t="0" r="12065" b="14605"/>
              <wp:wrapNone/>
              <wp:docPr id="4" name="文本框 4"/>
              <wp:cNvGraphicFramePr/>
              <a:graphic xmlns:a="http://schemas.openxmlformats.org/drawingml/2006/main">
                <a:graphicData uri="http://schemas.microsoft.com/office/word/2010/wordprocessingShape">
                  <wps:wsp>
                    <wps:cNvSpPr txBox="1"/>
                    <wps:spPr>
                      <a:xfrm>
                        <a:off x="0" y="0"/>
                        <a:ext cx="114935" cy="13144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0400A0" w:rsidRDefault="00891D33">
                          <w:pPr>
                            <w:pStyle w:val="a4"/>
                          </w:pPr>
                          <w:r>
                            <w:fldChar w:fldCharType="begin"/>
                          </w:r>
                          <w:r>
                            <w:instrText xml:space="preserve"> PAGE  \* MERGEFORMAT </w:instrText>
                          </w:r>
                          <w:r>
                            <w:fldChar w:fldCharType="separate"/>
                          </w:r>
                          <w:r w:rsidR="007C15A5">
                            <w:rPr>
                              <w:noProof/>
                            </w:rP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4" o:spid="_x0000_s1026" type="#_x0000_t202" style="position:absolute;left:0;text-align:left;margin-left:0;margin-top:0;width:9.05pt;height:10.35pt;z-index:251660288;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" filled="f" stroked="f" strokeweight=".5pt">
              <v:textbox style="mso-fit-shape-to-text:t" inset="0,0,0,0">
                <w:txbxContent>
                  <w:p w:rsidR="000400A0" w:rsidRDefault="00891D33">
                    <w:pPr>
                      <w:pStyle w:val="a4"/>
                    </w:pPr>
                    <w:r>
                      <w:fldChar w:fldCharType="begin"/>
                    </w:r>
                    <w:r>
                      <w:instrText xml:space="preserve"> PAGE  \* MERGEFORMAT </w:instrText>
                    </w:r>
                    <w:r>
                      <w:fldChar w:fldCharType="separate"/>
                    </w:r>
                    <w:r w:rsidR="007C15A5">
                      <w:rPr>
                        <w:noProof/>
                      </w:rPr>
                      <w:t>1</w:t>
                    </w:r>
                    <w:r>
                      <w:fldChar w:fldCharType="end"/>
                    </w:r>
                  </w:p>
                </w:txbxContent>
              </v:textbox>
              <w10:wrap anchorx="margin"/>
            </v:shape>
          </w:pict>
        </mc:Fallback>
      </mc:AlternateContent>
    </w:r>
  </w:p>
  <w:p w:rsidR="000400A0" w:rsidRDefault="000400A0">
    <w:pPr>
      <w:pStyle w:val="a4"/>
      <w:tabs>
        <w:tab w:val="clear" w:pos="4153"/>
      </w:tabs>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6E65" w:rsidRDefault="002A6E65">
      <w:r>
        <w:separator/>
      </w:r>
    </w:p>
  </w:footnote>
  <w:footnote w:type="continuationSeparator" w:id="0">
    <w:p w:rsidR="002A6E65" w:rsidRDefault="002A6E6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6ECC21E"/>
    <w:multiLevelType w:val="singleLevel"/>
    <w:tmpl w:val="B6ECC21E"/>
    <w:lvl w:ilvl="0">
      <w:start w:val="1"/>
      <w:numFmt w:val="decimal"/>
      <w:suff w:val="nothing"/>
      <w:lvlText w:val="（%1）"/>
      <w:lvlJc w:val="left"/>
    </w:lvl>
  </w:abstractNum>
  <w:abstractNum w:abstractNumId="1">
    <w:nsid w:val="3E65578B"/>
    <w:multiLevelType w:val="multilevel"/>
    <w:tmpl w:val="3E65578B"/>
    <w:lvl w:ilvl="0">
      <w:start w:val="1"/>
      <w:numFmt w:val="japaneseCounting"/>
      <w:lvlText w:val="（%1）"/>
      <w:lvlJc w:val="left"/>
      <w:pPr>
        <w:ind w:left="1630" w:hanging="99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3C63"/>
    <w:rsid w:val="00005E27"/>
    <w:rsid w:val="000071A3"/>
    <w:rsid w:val="00012F2A"/>
    <w:rsid w:val="000138DF"/>
    <w:rsid w:val="00015C30"/>
    <w:rsid w:val="00016732"/>
    <w:rsid w:val="000200FB"/>
    <w:rsid w:val="00022DED"/>
    <w:rsid w:val="000232CE"/>
    <w:rsid w:val="000254B3"/>
    <w:rsid w:val="00026C1B"/>
    <w:rsid w:val="00026C6E"/>
    <w:rsid w:val="00027A41"/>
    <w:rsid w:val="00033552"/>
    <w:rsid w:val="00034BA6"/>
    <w:rsid w:val="00034E36"/>
    <w:rsid w:val="00034FBF"/>
    <w:rsid w:val="00035338"/>
    <w:rsid w:val="000400A0"/>
    <w:rsid w:val="00040737"/>
    <w:rsid w:val="00041A97"/>
    <w:rsid w:val="000421D5"/>
    <w:rsid w:val="00045EF3"/>
    <w:rsid w:val="000512FF"/>
    <w:rsid w:val="00052689"/>
    <w:rsid w:val="00052B84"/>
    <w:rsid w:val="00053082"/>
    <w:rsid w:val="00057270"/>
    <w:rsid w:val="000671DD"/>
    <w:rsid w:val="00072DA0"/>
    <w:rsid w:val="00072E9B"/>
    <w:rsid w:val="000759A4"/>
    <w:rsid w:val="00084B65"/>
    <w:rsid w:val="00090849"/>
    <w:rsid w:val="000908D9"/>
    <w:rsid w:val="000928C2"/>
    <w:rsid w:val="000929A6"/>
    <w:rsid w:val="000934B2"/>
    <w:rsid w:val="000975B5"/>
    <w:rsid w:val="000A0F54"/>
    <w:rsid w:val="000A141F"/>
    <w:rsid w:val="000A17E2"/>
    <w:rsid w:val="000A447D"/>
    <w:rsid w:val="000A482E"/>
    <w:rsid w:val="000A56F2"/>
    <w:rsid w:val="000A71FC"/>
    <w:rsid w:val="000A7628"/>
    <w:rsid w:val="000A7B1A"/>
    <w:rsid w:val="000B3DE8"/>
    <w:rsid w:val="000B521A"/>
    <w:rsid w:val="000B54C3"/>
    <w:rsid w:val="000C1DBA"/>
    <w:rsid w:val="000C3C10"/>
    <w:rsid w:val="000D090A"/>
    <w:rsid w:val="000D4D7B"/>
    <w:rsid w:val="000D5293"/>
    <w:rsid w:val="000D64C7"/>
    <w:rsid w:val="000E088B"/>
    <w:rsid w:val="000E2B43"/>
    <w:rsid w:val="000E52C4"/>
    <w:rsid w:val="000E7DBB"/>
    <w:rsid w:val="000F04F9"/>
    <w:rsid w:val="000F342E"/>
    <w:rsid w:val="000F3813"/>
    <w:rsid w:val="000F476E"/>
    <w:rsid w:val="000F70DC"/>
    <w:rsid w:val="000F71D5"/>
    <w:rsid w:val="001031EF"/>
    <w:rsid w:val="00104094"/>
    <w:rsid w:val="00104473"/>
    <w:rsid w:val="001049AD"/>
    <w:rsid w:val="00105E30"/>
    <w:rsid w:val="001073DC"/>
    <w:rsid w:val="00111B62"/>
    <w:rsid w:val="00113144"/>
    <w:rsid w:val="0011510A"/>
    <w:rsid w:val="00116332"/>
    <w:rsid w:val="0012155A"/>
    <w:rsid w:val="001416A6"/>
    <w:rsid w:val="00144FCB"/>
    <w:rsid w:val="00150A58"/>
    <w:rsid w:val="00150C93"/>
    <w:rsid w:val="001520EE"/>
    <w:rsid w:val="001537DF"/>
    <w:rsid w:val="001538B1"/>
    <w:rsid w:val="00161B8D"/>
    <w:rsid w:val="00164B2B"/>
    <w:rsid w:val="00167B6D"/>
    <w:rsid w:val="00170366"/>
    <w:rsid w:val="00170F48"/>
    <w:rsid w:val="00174E35"/>
    <w:rsid w:val="0017624C"/>
    <w:rsid w:val="0018441C"/>
    <w:rsid w:val="00190F68"/>
    <w:rsid w:val="00192AF1"/>
    <w:rsid w:val="001947A8"/>
    <w:rsid w:val="001A0ACB"/>
    <w:rsid w:val="001A1E0B"/>
    <w:rsid w:val="001A49DC"/>
    <w:rsid w:val="001A6242"/>
    <w:rsid w:val="001A6E4B"/>
    <w:rsid w:val="001B7C71"/>
    <w:rsid w:val="001C0594"/>
    <w:rsid w:val="001C059A"/>
    <w:rsid w:val="001C0955"/>
    <w:rsid w:val="001C5409"/>
    <w:rsid w:val="001C6FC4"/>
    <w:rsid w:val="001C7B59"/>
    <w:rsid w:val="001C7CB7"/>
    <w:rsid w:val="001D1A9F"/>
    <w:rsid w:val="001D1B7E"/>
    <w:rsid w:val="001D30C8"/>
    <w:rsid w:val="001D382C"/>
    <w:rsid w:val="001D68F7"/>
    <w:rsid w:val="001E088D"/>
    <w:rsid w:val="001E30C8"/>
    <w:rsid w:val="001E3158"/>
    <w:rsid w:val="001E3AB2"/>
    <w:rsid w:val="001E3B5B"/>
    <w:rsid w:val="001E3E1C"/>
    <w:rsid w:val="001E563F"/>
    <w:rsid w:val="001F4A0E"/>
    <w:rsid w:val="001F6ACF"/>
    <w:rsid w:val="00207607"/>
    <w:rsid w:val="002171D9"/>
    <w:rsid w:val="0022578E"/>
    <w:rsid w:val="00227590"/>
    <w:rsid w:val="00230E0E"/>
    <w:rsid w:val="00232A2E"/>
    <w:rsid w:val="0023396D"/>
    <w:rsid w:val="00234D6C"/>
    <w:rsid w:val="002365C1"/>
    <w:rsid w:val="0024109A"/>
    <w:rsid w:val="00246438"/>
    <w:rsid w:val="00246B92"/>
    <w:rsid w:val="00247003"/>
    <w:rsid w:val="00250922"/>
    <w:rsid w:val="00253EE9"/>
    <w:rsid w:val="0025787B"/>
    <w:rsid w:val="002614EE"/>
    <w:rsid w:val="00261579"/>
    <w:rsid w:val="00262E0F"/>
    <w:rsid w:val="002654DE"/>
    <w:rsid w:val="002658FD"/>
    <w:rsid w:val="00266A8B"/>
    <w:rsid w:val="0026703B"/>
    <w:rsid w:val="00267817"/>
    <w:rsid w:val="00267CB6"/>
    <w:rsid w:val="002709D3"/>
    <w:rsid w:val="00270C54"/>
    <w:rsid w:val="002714C5"/>
    <w:rsid w:val="00286BDE"/>
    <w:rsid w:val="00287584"/>
    <w:rsid w:val="00290185"/>
    <w:rsid w:val="0029410A"/>
    <w:rsid w:val="00294197"/>
    <w:rsid w:val="0029773A"/>
    <w:rsid w:val="00297B65"/>
    <w:rsid w:val="002A09CF"/>
    <w:rsid w:val="002A139A"/>
    <w:rsid w:val="002A2E4B"/>
    <w:rsid w:val="002A44DA"/>
    <w:rsid w:val="002A6E1F"/>
    <w:rsid w:val="002A6E65"/>
    <w:rsid w:val="002A6FDD"/>
    <w:rsid w:val="002A7E96"/>
    <w:rsid w:val="002B2937"/>
    <w:rsid w:val="002B2BA6"/>
    <w:rsid w:val="002B3208"/>
    <w:rsid w:val="002B6377"/>
    <w:rsid w:val="002C04F5"/>
    <w:rsid w:val="002C321C"/>
    <w:rsid w:val="002C366B"/>
    <w:rsid w:val="002C775B"/>
    <w:rsid w:val="002D040A"/>
    <w:rsid w:val="002D1748"/>
    <w:rsid w:val="002D2085"/>
    <w:rsid w:val="002D3FA8"/>
    <w:rsid w:val="002D727E"/>
    <w:rsid w:val="002E17C6"/>
    <w:rsid w:val="002E1BD1"/>
    <w:rsid w:val="002E4B42"/>
    <w:rsid w:val="002F1558"/>
    <w:rsid w:val="002F1A34"/>
    <w:rsid w:val="002F26BB"/>
    <w:rsid w:val="002F3451"/>
    <w:rsid w:val="00303AA1"/>
    <w:rsid w:val="00306504"/>
    <w:rsid w:val="00314640"/>
    <w:rsid w:val="00315F0E"/>
    <w:rsid w:val="00320FA5"/>
    <w:rsid w:val="003236DD"/>
    <w:rsid w:val="0033297E"/>
    <w:rsid w:val="003407B0"/>
    <w:rsid w:val="003413B3"/>
    <w:rsid w:val="00342133"/>
    <w:rsid w:val="00344F9B"/>
    <w:rsid w:val="00347498"/>
    <w:rsid w:val="00350374"/>
    <w:rsid w:val="00350972"/>
    <w:rsid w:val="00352C87"/>
    <w:rsid w:val="0035426B"/>
    <w:rsid w:val="00357257"/>
    <w:rsid w:val="00370ADD"/>
    <w:rsid w:val="003828D8"/>
    <w:rsid w:val="00383092"/>
    <w:rsid w:val="00385F67"/>
    <w:rsid w:val="00386A9A"/>
    <w:rsid w:val="00394EEB"/>
    <w:rsid w:val="00395A8C"/>
    <w:rsid w:val="003A1874"/>
    <w:rsid w:val="003A72BF"/>
    <w:rsid w:val="003B2917"/>
    <w:rsid w:val="003B60AF"/>
    <w:rsid w:val="003B7E01"/>
    <w:rsid w:val="003C475D"/>
    <w:rsid w:val="003C552B"/>
    <w:rsid w:val="003C6EF0"/>
    <w:rsid w:val="003D2A29"/>
    <w:rsid w:val="003D4CC5"/>
    <w:rsid w:val="003D592C"/>
    <w:rsid w:val="003E4266"/>
    <w:rsid w:val="003E6438"/>
    <w:rsid w:val="003F2036"/>
    <w:rsid w:val="003F3197"/>
    <w:rsid w:val="003F43E7"/>
    <w:rsid w:val="003F478E"/>
    <w:rsid w:val="00403663"/>
    <w:rsid w:val="0040419F"/>
    <w:rsid w:val="004056F6"/>
    <w:rsid w:val="00414ADD"/>
    <w:rsid w:val="00415FF5"/>
    <w:rsid w:val="00416E12"/>
    <w:rsid w:val="00417E03"/>
    <w:rsid w:val="0042295C"/>
    <w:rsid w:val="00422A92"/>
    <w:rsid w:val="00423123"/>
    <w:rsid w:val="004245A7"/>
    <w:rsid w:val="00425DAD"/>
    <w:rsid w:val="00433EAA"/>
    <w:rsid w:val="004353D9"/>
    <w:rsid w:val="00435B32"/>
    <w:rsid w:val="00436461"/>
    <w:rsid w:val="00436E1D"/>
    <w:rsid w:val="00445210"/>
    <w:rsid w:val="00445DF8"/>
    <w:rsid w:val="00446FA9"/>
    <w:rsid w:val="00453965"/>
    <w:rsid w:val="00455F6F"/>
    <w:rsid w:val="00456082"/>
    <w:rsid w:val="00457ED9"/>
    <w:rsid w:val="004612DA"/>
    <w:rsid w:val="004634EE"/>
    <w:rsid w:val="0046414B"/>
    <w:rsid w:val="00465DBD"/>
    <w:rsid w:val="0046787E"/>
    <w:rsid w:val="00470546"/>
    <w:rsid w:val="00473786"/>
    <w:rsid w:val="004754FB"/>
    <w:rsid w:val="00475F8E"/>
    <w:rsid w:val="00477320"/>
    <w:rsid w:val="00481DAD"/>
    <w:rsid w:val="0048692F"/>
    <w:rsid w:val="00490657"/>
    <w:rsid w:val="00494636"/>
    <w:rsid w:val="00495790"/>
    <w:rsid w:val="004A1579"/>
    <w:rsid w:val="004A30BB"/>
    <w:rsid w:val="004A4506"/>
    <w:rsid w:val="004A59DA"/>
    <w:rsid w:val="004A727A"/>
    <w:rsid w:val="004B018B"/>
    <w:rsid w:val="004B18C3"/>
    <w:rsid w:val="004B522C"/>
    <w:rsid w:val="004B72FD"/>
    <w:rsid w:val="004B7CA4"/>
    <w:rsid w:val="004C34CE"/>
    <w:rsid w:val="004C5681"/>
    <w:rsid w:val="004E0C40"/>
    <w:rsid w:val="004E23D3"/>
    <w:rsid w:val="004E3311"/>
    <w:rsid w:val="004F0B77"/>
    <w:rsid w:val="004F3FD5"/>
    <w:rsid w:val="004F44D5"/>
    <w:rsid w:val="004F68F0"/>
    <w:rsid w:val="004F6936"/>
    <w:rsid w:val="004F72AF"/>
    <w:rsid w:val="005047E7"/>
    <w:rsid w:val="00510209"/>
    <w:rsid w:val="00514614"/>
    <w:rsid w:val="005155CB"/>
    <w:rsid w:val="0051616F"/>
    <w:rsid w:val="00521D52"/>
    <w:rsid w:val="0053252E"/>
    <w:rsid w:val="00537C14"/>
    <w:rsid w:val="0055039E"/>
    <w:rsid w:val="00550B5C"/>
    <w:rsid w:val="005515DD"/>
    <w:rsid w:val="00553656"/>
    <w:rsid w:val="005564DD"/>
    <w:rsid w:val="0056092D"/>
    <w:rsid w:val="00560CEB"/>
    <w:rsid w:val="0056238B"/>
    <w:rsid w:val="0057347F"/>
    <w:rsid w:val="00573C24"/>
    <w:rsid w:val="00575D74"/>
    <w:rsid w:val="00577996"/>
    <w:rsid w:val="00582636"/>
    <w:rsid w:val="0058309B"/>
    <w:rsid w:val="00584926"/>
    <w:rsid w:val="005849B6"/>
    <w:rsid w:val="005928DA"/>
    <w:rsid w:val="005951C2"/>
    <w:rsid w:val="00597750"/>
    <w:rsid w:val="00597F54"/>
    <w:rsid w:val="005A0081"/>
    <w:rsid w:val="005A1D9A"/>
    <w:rsid w:val="005A29C0"/>
    <w:rsid w:val="005A5AE2"/>
    <w:rsid w:val="005B15B7"/>
    <w:rsid w:val="005B5556"/>
    <w:rsid w:val="005B5FCD"/>
    <w:rsid w:val="005B64BA"/>
    <w:rsid w:val="005B6604"/>
    <w:rsid w:val="005B6D58"/>
    <w:rsid w:val="005B73D5"/>
    <w:rsid w:val="005C3E93"/>
    <w:rsid w:val="005C4A96"/>
    <w:rsid w:val="005C5637"/>
    <w:rsid w:val="005D2489"/>
    <w:rsid w:val="005D378E"/>
    <w:rsid w:val="005D5B52"/>
    <w:rsid w:val="005D5C22"/>
    <w:rsid w:val="005E069C"/>
    <w:rsid w:val="005E3A6E"/>
    <w:rsid w:val="005E4634"/>
    <w:rsid w:val="005E4D2E"/>
    <w:rsid w:val="005F1A5F"/>
    <w:rsid w:val="005F1BBD"/>
    <w:rsid w:val="005F2167"/>
    <w:rsid w:val="005F3543"/>
    <w:rsid w:val="005F384A"/>
    <w:rsid w:val="00600CB5"/>
    <w:rsid w:val="00604297"/>
    <w:rsid w:val="00606FCC"/>
    <w:rsid w:val="00611F3F"/>
    <w:rsid w:val="00615A56"/>
    <w:rsid w:val="00616436"/>
    <w:rsid w:val="006217DE"/>
    <w:rsid w:val="0062633D"/>
    <w:rsid w:val="006312B9"/>
    <w:rsid w:val="006341A8"/>
    <w:rsid w:val="00634692"/>
    <w:rsid w:val="006368BB"/>
    <w:rsid w:val="006410C0"/>
    <w:rsid w:val="0064361F"/>
    <w:rsid w:val="00650440"/>
    <w:rsid w:val="006519CC"/>
    <w:rsid w:val="00651ECF"/>
    <w:rsid w:val="00655421"/>
    <w:rsid w:val="00660EFD"/>
    <w:rsid w:val="006631B3"/>
    <w:rsid w:val="00667850"/>
    <w:rsid w:val="00674C2B"/>
    <w:rsid w:val="00680B5A"/>
    <w:rsid w:val="006812BE"/>
    <w:rsid w:val="00684027"/>
    <w:rsid w:val="0068796B"/>
    <w:rsid w:val="006900EC"/>
    <w:rsid w:val="006908E6"/>
    <w:rsid w:val="00694395"/>
    <w:rsid w:val="00695923"/>
    <w:rsid w:val="00696BCA"/>
    <w:rsid w:val="00696DA9"/>
    <w:rsid w:val="006A27F6"/>
    <w:rsid w:val="006A5B59"/>
    <w:rsid w:val="006B1008"/>
    <w:rsid w:val="006B1E07"/>
    <w:rsid w:val="006B2EB8"/>
    <w:rsid w:val="006C0DA4"/>
    <w:rsid w:val="006C142C"/>
    <w:rsid w:val="006C286C"/>
    <w:rsid w:val="006C467B"/>
    <w:rsid w:val="006C70AC"/>
    <w:rsid w:val="006C715E"/>
    <w:rsid w:val="006C764A"/>
    <w:rsid w:val="006D26FE"/>
    <w:rsid w:val="006D37D1"/>
    <w:rsid w:val="006D5F91"/>
    <w:rsid w:val="006D6D03"/>
    <w:rsid w:val="006D7DF2"/>
    <w:rsid w:val="006E0791"/>
    <w:rsid w:val="006E158C"/>
    <w:rsid w:val="006E7097"/>
    <w:rsid w:val="006E7098"/>
    <w:rsid w:val="006F044A"/>
    <w:rsid w:val="006F3D89"/>
    <w:rsid w:val="006F42DF"/>
    <w:rsid w:val="006F4560"/>
    <w:rsid w:val="006F7393"/>
    <w:rsid w:val="006F76F4"/>
    <w:rsid w:val="007000AC"/>
    <w:rsid w:val="00702065"/>
    <w:rsid w:val="007022FE"/>
    <w:rsid w:val="00703158"/>
    <w:rsid w:val="0070318E"/>
    <w:rsid w:val="007070DF"/>
    <w:rsid w:val="00707E2B"/>
    <w:rsid w:val="00714D4F"/>
    <w:rsid w:val="0071610A"/>
    <w:rsid w:val="007169F6"/>
    <w:rsid w:val="00731682"/>
    <w:rsid w:val="0073218D"/>
    <w:rsid w:val="0073485F"/>
    <w:rsid w:val="0074012A"/>
    <w:rsid w:val="0074157E"/>
    <w:rsid w:val="00746228"/>
    <w:rsid w:val="007513C0"/>
    <w:rsid w:val="00752FBD"/>
    <w:rsid w:val="0075400F"/>
    <w:rsid w:val="00755C48"/>
    <w:rsid w:val="00757067"/>
    <w:rsid w:val="00757AB1"/>
    <w:rsid w:val="00764550"/>
    <w:rsid w:val="007648E7"/>
    <w:rsid w:val="007657EF"/>
    <w:rsid w:val="007665E4"/>
    <w:rsid w:val="0077710A"/>
    <w:rsid w:val="0078026C"/>
    <w:rsid w:val="00781661"/>
    <w:rsid w:val="007872B8"/>
    <w:rsid w:val="007876D7"/>
    <w:rsid w:val="007912D7"/>
    <w:rsid w:val="00792568"/>
    <w:rsid w:val="007930EA"/>
    <w:rsid w:val="0079415E"/>
    <w:rsid w:val="00794BD7"/>
    <w:rsid w:val="00796A56"/>
    <w:rsid w:val="007A6F3E"/>
    <w:rsid w:val="007B7D2D"/>
    <w:rsid w:val="007C09C8"/>
    <w:rsid w:val="007C0E64"/>
    <w:rsid w:val="007C15A5"/>
    <w:rsid w:val="007C2875"/>
    <w:rsid w:val="007C3490"/>
    <w:rsid w:val="007C4770"/>
    <w:rsid w:val="007C7ADF"/>
    <w:rsid w:val="007D002B"/>
    <w:rsid w:val="007D36CB"/>
    <w:rsid w:val="007D586E"/>
    <w:rsid w:val="007D7381"/>
    <w:rsid w:val="007D7A14"/>
    <w:rsid w:val="007E0E22"/>
    <w:rsid w:val="007E3E8A"/>
    <w:rsid w:val="007E4F82"/>
    <w:rsid w:val="007E57D8"/>
    <w:rsid w:val="007E68C4"/>
    <w:rsid w:val="007E7B1D"/>
    <w:rsid w:val="007F104C"/>
    <w:rsid w:val="007F130F"/>
    <w:rsid w:val="007F4271"/>
    <w:rsid w:val="007F5ADD"/>
    <w:rsid w:val="007F6452"/>
    <w:rsid w:val="007F7867"/>
    <w:rsid w:val="00801DB6"/>
    <w:rsid w:val="008058A0"/>
    <w:rsid w:val="008069BF"/>
    <w:rsid w:val="00806A74"/>
    <w:rsid w:val="0080749F"/>
    <w:rsid w:val="0080769D"/>
    <w:rsid w:val="00813873"/>
    <w:rsid w:val="00820873"/>
    <w:rsid w:val="00822CFD"/>
    <w:rsid w:val="00822DF5"/>
    <w:rsid w:val="0082622B"/>
    <w:rsid w:val="008271F9"/>
    <w:rsid w:val="00833E93"/>
    <w:rsid w:val="008355B6"/>
    <w:rsid w:val="00836836"/>
    <w:rsid w:val="00836DA3"/>
    <w:rsid w:val="00840BC7"/>
    <w:rsid w:val="00840C24"/>
    <w:rsid w:val="00842A3F"/>
    <w:rsid w:val="00842D5E"/>
    <w:rsid w:val="00843D19"/>
    <w:rsid w:val="0085019D"/>
    <w:rsid w:val="00854EB8"/>
    <w:rsid w:val="00860AFD"/>
    <w:rsid w:val="00862309"/>
    <w:rsid w:val="00867114"/>
    <w:rsid w:val="008703F1"/>
    <w:rsid w:val="008704DB"/>
    <w:rsid w:val="0087072D"/>
    <w:rsid w:val="00872391"/>
    <w:rsid w:val="008733EE"/>
    <w:rsid w:val="008736C6"/>
    <w:rsid w:val="00881143"/>
    <w:rsid w:val="00882ACD"/>
    <w:rsid w:val="008832B6"/>
    <w:rsid w:val="00884BBB"/>
    <w:rsid w:val="00884FCA"/>
    <w:rsid w:val="008858A8"/>
    <w:rsid w:val="008860F9"/>
    <w:rsid w:val="0088751B"/>
    <w:rsid w:val="00890BFF"/>
    <w:rsid w:val="00891992"/>
    <w:rsid w:val="00891D33"/>
    <w:rsid w:val="00892BA6"/>
    <w:rsid w:val="008950A5"/>
    <w:rsid w:val="008963DE"/>
    <w:rsid w:val="008B1CCE"/>
    <w:rsid w:val="008B566C"/>
    <w:rsid w:val="008B6FEA"/>
    <w:rsid w:val="008B73BA"/>
    <w:rsid w:val="008C5B04"/>
    <w:rsid w:val="008D0ACC"/>
    <w:rsid w:val="008D3905"/>
    <w:rsid w:val="008D4030"/>
    <w:rsid w:val="008D4B74"/>
    <w:rsid w:val="008D4CFD"/>
    <w:rsid w:val="008D5A96"/>
    <w:rsid w:val="008E2081"/>
    <w:rsid w:val="008E6DD7"/>
    <w:rsid w:val="008F3CEB"/>
    <w:rsid w:val="008F556A"/>
    <w:rsid w:val="008F55E4"/>
    <w:rsid w:val="008F607A"/>
    <w:rsid w:val="008F659D"/>
    <w:rsid w:val="008F6A5A"/>
    <w:rsid w:val="008F6AF1"/>
    <w:rsid w:val="008F6EDD"/>
    <w:rsid w:val="008F7C79"/>
    <w:rsid w:val="009017EC"/>
    <w:rsid w:val="009042B2"/>
    <w:rsid w:val="00904A40"/>
    <w:rsid w:val="00907B5C"/>
    <w:rsid w:val="00915779"/>
    <w:rsid w:val="00920CB6"/>
    <w:rsid w:val="00927690"/>
    <w:rsid w:val="00930A7D"/>
    <w:rsid w:val="00932FA4"/>
    <w:rsid w:val="009344D4"/>
    <w:rsid w:val="0093728F"/>
    <w:rsid w:val="00942011"/>
    <w:rsid w:val="009443E5"/>
    <w:rsid w:val="0094446E"/>
    <w:rsid w:val="00945266"/>
    <w:rsid w:val="00945D4A"/>
    <w:rsid w:val="00947E94"/>
    <w:rsid w:val="0095744A"/>
    <w:rsid w:val="009644FA"/>
    <w:rsid w:val="00970529"/>
    <w:rsid w:val="009747DB"/>
    <w:rsid w:val="0097562F"/>
    <w:rsid w:val="009841BD"/>
    <w:rsid w:val="00984460"/>
    <w:rsid w:val="009871A2"/>
    <w:rsid w:val="00996B8B"/>
    <w:rsid w:val="00997BE5"/>
    <w:rsid w:val="00997D1C"/>
    <w:rsid w:val="009A0172"/>
    <w:rsid w:val="009A0450"/>
    <w:rsid w:val="009A09B3"/>
    <w:rsid w:val="009A40F7"/>
    <w:rsid w:val="009A67EF"/>
    <w:rsid w:val="009B0C46"/>
    <w:rsid w:val="009B1298"/>
    <w:rsid w:val="009B5202"/>
    <w:rsid w:val="009B5C7E"/>
    <w:rsid w:val="009C298F"/>
    <w:rsid w:val="009C3BBE"/>
    <w:rsid w:val="009C471F"/>
    <w:rsid w:val="009C47CF"/>
    <w:rsid w:val="009C5FE6"/>
    <w:rsid w:val="009C72D3"/>
    <w:rsid w:val="009D3C93"/>
    <w:rsid w:val="009D3CA3"/>
    <w:rsid w:val="009D59F9"/>
    <w:rsid w:val="009D6DB6"/>
    <w:rsid w:val="009D7153"/>
    <w:rsid w:val="009E072C"/>
    <w:rsid w:val="009E0F50"/>
    <w:rsid w:val="009E3C63"/>
    <w:rsid w:val="009E5BDE"/>
    <w:rsid w:val="009E7ACE"/>
    <w:rsid w:val="009F5979"/>
    <w:rsid w:val="00A01C10"/>
    <w:rsid w:val="00A02217"/>
    <w:rsid w:val="00A026C8"/>
    <w:rsid w:val="00A033D2"/>
    <w:rsid w:val="00A05810"/>
    <w:rsid w:val="00A1183E"/>
    <w:rsid w:val="00A128A3"/>
    <w:rsid w:val="00A129B5"/>
    <w:rsid w:val="00A2248E"/>
    <w:rsid w:val="00A22E81"/>
    <w:rsid w:val="00A26552"/>
    <w:rsid w:val="00A27E4C"/>
    <w:rsid w:val="00A3206D"/>
    <w:rsid w:val="00A329B2"/>
    <w:rsid w:val="00A354C0"/>
    <w:rsid w:val="00A42A10"/>
    <w:rsid w:val="00A42BF6"/>
    <w:rsid w:val="00A42D03"/>
    <w:rsid w:val="00A45463"/>
    <w:rsid w:val="00A52B5B"/>
    <w:rsid w:val="00A608A3"/>
    <w:rsid w:val="00A65020"/>
    <w:rsid w:val="00A65523"/>
    <w:rsid w:val="00A6596B"/>
    <w:rsid w:val="00A66D37"/>
    <w:rsid w:val="00A7370F"/>
    <w:rsid w:val="00A746DD"/>
    <w:rsid w:val="00A9600A"/>
    <w:rsid w:val="00A96236"/>
    <w:rsid w:val="00AA14AA"/>
    <w:rsid w:val="00AA2B81"/>
    <w:rsid w:val="00AA6057"/>
    <w:rsid w:val="00AB2EA1"/>
    <w:rsid w:val="00AB3424"/>
    <w:rsid w:val="00AB3CBB"/>
    <w:rsid w:val="00AB40D7"/>
    <w:rsid w:val="00AB5F80"/>
    <w:rsid w:val="00AC307C"/>
    <w:rsid w:val="00AD008C"/>
    <w:rsid w:val="00AD0FB2"/>
    <w:rsid w:val="00AD262D"/>
    <w:rsid w:val="00AD296D"/>
    <w:rsid w:val="00AD380B"/>
    <w:rsid w:val="00AD60C2"/>
    <w:rsid w:val="00AD6E83"/>
    <w:rsid w:val="00AE1EF0"/>
    <w:rsid w:val="00AE33B2"/>
    <w:rsid w:val="00AF3F64"/>
    <w:rsid w:val="00AF62BA"/>
    <w:rsid w:val="00AF6B57"/>
    <w:rsid w:val="00B0157D"/>
    <w:rsid w:val="00B01907"/>
    <w:rsid w:val="00B01E6B"/>
    <w:rsid w:val="00B04215"/>
    <w:rsid w:val="00B0685C"/>
    <w:rsid w:val="00B11B8F"/>
    <w:rsid w:val="00B12A99"/>
    <w:rsid w:val="00B21DFC"/>
    <w:rsid w:val="00B24AE0"/>
    <w:rsid w:val="00B24E67"/>
    <w:rsid w:val="00B30310"/>
    <w:rsid w:val="00B3054A"/>
    <w:rsid w:val="00B33AC4"/>
    <w:rsid w:val="00B36270"/>
    <w:rsid w:val="00B3732B"/>
    <w:rsid w:val="00B415CE"/>
    <w:rsid w:val="00B437D6"/>
    <w:rsid w:val="00B50ADD"/>
    <w:rsid w:val="00B513EB"/>
    <w:rsid w:val="00B5189C"/>
    <w:rsid w:val="00B54849"/>
    <w:rsid w:val="00B55002"/>
    <w:rsid w:val="00B5542E"/>
    <w:rsid w:val="00B5559C"/>
    <w:rsid w:val="00B56D36"/>
    <w:rsid w:val="00B605C1"/>
    <w:rsid w:val="00B609F7"/>
    <w:rsid w:val="00B65E0E"/>
    <w:rsid w:val="00B77EB1"/>
    <w:rsid w:val="00B836DE"/>
    <w:rsid w:val="00B85373"/>
    <w:rsid w:val="00B85B92"/>
    <w:rsid w:val="00B8635F"/>
    <w:rsid w:val="00B865CF"/>
    <w:rsid w:val="00B90D83"/>
    <w:rsid w:val="00B9360C"/>
    <w:rsid w:val="00BA0EE5"/>
    <w:rsid w:val="00BA1526"/>
    <w:rsid w:val="00BA28E9"/>
    <w:rsid w:val="00BA588A"/>
    <w:rsid w:val="00BA5AB6"/>
    <w:rsid w:val="00BA61CA"/>
    <w:rsid w:val="00BA7165"/>
    <w:rsid w:val="00BA725E"/>
    <w:rsid w:val="00BA79E1"/>
    <w:rsid w:val="00BC188C"/>
    <w:rsid w:val="00BC337A"/>
    <w:rsid w:val="00BC48D2"/>
    <w:rsid w:val="00BC56B4"/>
    <w:rsid w:val="00BD27CC"/>
    <w:rsid w:val="00BD2F34"/>
    <w:rsid w:val="00BD419C"/>
    <w:rsid w:val="00BD4347"/>
    <w:rsid w:val="00BD4971"/>
    <w:rsid w:val="00BD4BF6"/>
    <w:rsid w:val="00BD7A57"/>
    <w:rsid w:val="00BE1E88"/>
    <w:rsid w:val="00BE7829"/>
    <w:rsid w:val="00BF37D2"/>
    <w:rsid w:val="00BF4079"/>
    <w:rsid w:val="00BF4DF8"/>
    <w:rsid w:val="00BF615E"/>
    <w:rsid w:val="00C02EBD"/>
    <w:rsid w:val="00C037CD"/>
    <w:rsid w:val="00C07DE0"/>
    <w:rsid w:val="00C157F5"/>
    <w:rsid w:val="00C20C1E"/>
    <w:rsid w:val="00C20EFD"/>
    <w:rsid w:val="00C228D0"/>
    <w:rsid w:val="00C25874"/>
    <w:rsid w:val="00C274D1"/>
    <w:rsid w:val="00C30F72"/>
    <w:rsid w:val="00C34481"/>
    <w:rsid w:val="00C37FF0"/>
    <w:rsid w:val="00C42898"/>
    <w:rsid w:val="00C433E7"/>
    <w:rsid w:val="00C436C6"/>
    <w:rsid w:val="00C43BB8"/>
    <w:rsid w:val="00C43CF9"/>
    <w:rsid w:val="00C45166"/>
    <w:rsid w:val="00C478BD"/>
    <w:rsid w:val="00C5013F"/>
    <w:rsid w:val="00C577AB"/>
    <w:rsid w:val="00C60C97"/>
    <w:rsid w:val="00C63796"/>
    <w:rsid w:val="00C67208"/>
    <w:rsid w:val="00C67A14"/>
    <w:rsid w:val="00C67FBF"/>
    <w:rsid w:val="00C70945"/>
    <w:rsid w:val="00C71255"/>
    <w:rsid w:val="00C73B43"/>
    <w:rsid w:val="00C73CBA"/>
    <w:rsid w:val="00C75EE0"/>
    <w:rsid w:val="00C76D5C"/>
    <w:rsid w:val="00C85363"/>
    <w:rsid w:val="00C922AC"/>
    <w:rsid w:val="00C94C1E"/>
    <w:rsid w:val="00C96BFC"/>
    <w:rsid w:val="00C97C0A"/>
    <w:rsid w:val="00CA39F5"/>
    <w:rsid w:val="00CA61C7"/>
    <w:rsid w:val="00CA7ED6"/>
    <w:rsid w:val="00CB316A"/>
    <w:rsid w:val="00CB3AC5"/>
    <w:rsid w:val="00CB4564"/>
    <w:rsid w:val="00CB50B2"/>
    <w:rsid w:val="00CC314C"/>
    <w:rsid w:val="00CC3879"/>
    <w:rsid w:val="00CC415F"/>
    <w:rsid w:val="00CC474B"/>
    <w:rsid w:val="00CC5FDC"/>
    <w:rsid w:val="00CC71CC"/>
    <w:rsid w:val="00CD14F4"/>
    <w:rsid w:val="00CD2BA0"/>
    <w:rsid w:val="00CD6204"/>
    <w:rsid w:val="00CD72B3"/>
    <w:rsid w:val="00CE229C"/>
    <w:rsid w:val="00CE647C"/>
    <w:rsid w:val="00CE653F"/>
    <w:rsid w:val="00CE7050"/>
    <w:rsid w:val="00CE7BF7"/>
    <w:rsid w:val="00CF042E"/>
    <w:rsid w:val="00CF0AB7"/>
    <w:rsid w:val="00CF26D9"/>
    <w:rsid w:val="00CF2A9C"/>
    <w:rsid w:val="00CF6671"/>
    <w:rsid w:val="00CF7E81"/>
    <w:rsid w:val="00D00E4D"/>
    <w:rsid w:val="00D019B1"/>
    <w:rsid w:val="00D056CA"/>
    <w:rsid w:val="00D10760"/>
    <w:rsid w:val="00D1106E"/>
    <w:rsid w:val="00D11932"/>
    <w:rsid w:val="00D13CF3"/>
    <w:rsid w:val="00D1408A"/>
    <w:rsid w:val="00D1533C"/>
    <w:rsid w:val="00D15579"/>
    <w:rsid w:val="00D15C35"/>
    <w:rsid w:val="00D160BC"/>
    <w:rsid w:val="00D227F5"/>
    <w:rsid w:val="00D23D09"/>
    <w:rsid w:val="00D25595"/>
    <w:rsid w:val="00D307BE"/>
    <w:rsid w:val="00D33831"/>
    <w:rsid w:val="00D365C9"/>
    <w:rsid w:val="00D41129"/>
    <w:rsid w:val="00D42EF9"/>
    <w:rsid w:val="00D43CD9"/>
    <w:rsid w:val="00D43EBA"/>
    <w:rsid w:val="00D462EC"/>
    <w:rsid w:val="00D50554"/>
    <w:rsid w:val="00D625CD"/>
    <w:rsid w:val="00D6680F"/>
    <w:rsid w:val="00D731BD"/>
    <w:rsid w:val="00D77813"/>
    <w:rsid w:val="00D809DD"/>
    <w:rsid w:val="00D80FED"/>
    <w:rsid w:val="00D8224B"/>
    <w:rsid w:val="00D83E81"/>
    <w:rsid w:val="00D84806"/>
    <w:rsid w:val="00D84B36"/>
    <w:rsid w:val="00D85867"/>
    <w:rsid w:val="00D8677C"/>
    <w:rsid w:val="00D90037"/>
    <w:rsid w:val="00D9017C"/>
    <w:rsid w:val="00D905AA"/>
    <w:rsid w:val="00D938D1"/>
    <w:rsid w:val="00D97F47"/>
    <w:rsid w:val="00DA043E"/>
    <w:rsid w:val="00DA05E2"/>
    <w:rsid w:val="00DA0675"/>
    <w:rsid w:val="00DA0B1F"/>
    <w:rsid w:val="00DB28CA"/>
    <w:rsid w:val="00DB3187"/>
    <w:rsid w:val="00DB360C"/>
    <w:rsid w:val="00DB4144"/>
    <w:rsid w:val="00DC10D2"/>
    <w:rsid w:val="00DC151D"/>
    <w:rsid w:val="00DC6C1A"/>
    <w:rsid w:val="00DD438A"/>
    <w:rsid w:val="00DD798D"/>
    <w:rsid w:val="00DE1B11"/>
    <w:rsid w:val="00DE713C"/>
    <w:rsid w:val="00DE7405"/>
    <w:rsid w:val="00DE780D"/>
    <w:rsid w:val="00DF0163"/>
    <w:rsid w:val="00DF206A"/>
    <w:rsid w:val="00DF52C5"/>
    <w:rsid w:val="00DF5D61"/>
    <w:rsid w:val="00DF7E3D"/>
    <w:rsid w:val="00E00F83"/>
    <w:rsid w:val="00E06EA3"/>
    <w:rsid w:val="00E0764B"/>
    <w:rsid w:val="00E07D74"/>
    <w:rsid w:val="00E1474D"/>
    <w:rsid w:val="00E17670"/>
    <w:rsid w:val="00E21428"/>
    <w:rsid w:val="00E255C7"/>
    <w:rsid w:val="00E27782"/>
    <w:rsid w:val="00E27A31"/>
    <w:rsid w:val="00E27A9E"/>
    <w:rsid w:val="00E31F7C"/>
    <w:rsid w:val="00E33903"/>
    <w:rsid w:val="00E34EDC"/>
    <w:rsid w:val="00E40813"/>
    <w:rsid w:val="00E41D5A"/>
    <w:rsid w:val="00E437F5"/>
    <w:rsid w:val="00E44BA2"/>
    <w:rsid w:val="00E462CE"/>
    <w:rsid w:val="00E507F0"/>
    <w:rsid w:val="00E518B9"/>
    <w:rsid w:val="00E51F82"/>
    <w:rsid w:val="00E52099"/>
    <w:rsid w:val="00E525BD"/>
    <w:rsid w:val="00E5382B"/>
    <w:rsid w:val="00E54313"/>
    <w:rsid w:val="00E543B3"/>
    <w:rsid w:val="00E57BF4"/>
    <w:rsid w:val="00E608CA"/>
    <w:rsid w:val="00E60CCB"/>
    <w:rsid w:val="00E64626"/>
    <w:rsid w:val="00E65CC8"/>
    <w:rsid w:val="00E65E50"/>
    <w:rsid w:val="00E710B5"/>
    <w:rsid w:val="00E7122D"/>
    <w:rsid w:val="00E75449"/>
    <w:rsid w:val="00E858B1"/>
    <w:rsid w:val="00E87845"/>
    <w:rsid w:val="00E95FC5"/>
    <w:rsid w:val="00E96264"/>
    <w:rsid w:val="00E970E4"/>
    <w:rsid w:val="00EA32C1"/>
    <w:rsid w:val="00EA5A40"/>
    <w:rsid w:val="00EA5F61"/>
    <w:rsid w:val="00EB30A6"/>
    <w:rsid w:val="00EB380E"/>
    <w:rsid w:val="00EB46B1"/>
    <w:rsid w:val="00EC1632"/>
    <w:rsid w:val="00EC5B3C"/>
    <w:rsid w:val="00ED2B6B"/>
    <w:rsid w:val="00ED48F6"/>
    <w:rsid w:val="00ED57BC"/>
    <w:rsid w:val="00ED69F9"/>
    <w:rsid w:val="00EE1B29"/>
    <w:rsid w:val="00EE1E2A"/>
    <w:rsid w:val="00EE3DD8"/>
    <w:rsid w:val="00EE666C"/>
    <w:rsid w:val="00EE686B"/>
    <w:rsid w:val="00EE717C"/>
    <w:rsid w:val="00EE7C88"/>
    <w:rsid w:val="00EF08EF"/>
    <w:rsid w:val="00EF288D"/>
    <w:rsid w:val="00EF44D9"/>
    <w:rsid w:val="00EF4F27"/>
    <w:rsid w:val="00F06F7F"/>
    <w:rsid w:val="00F10C90"/>
    <w:rsid w:val="00F11E36"/>
    <w:rsid w:val="00F14223"/>
    <w:rsid w:val="00F17FBD"/>
    <w:rsid w:val="00F2136A"/>
    <w:rsid w:val="00F21AD4"/>
    <w:rsid w:val="00F27BCD"/>
    <w:rsid w:val="00F3062E"/>
    <w:rsid w:val="00F32DDE"/>
    <w:rsid w:val="00F45384"/>
    <w:rsid w:val="00F45E1F"/>
    <w:rsid w:val="00F460C6"/>
    <w:rsid w:val="00F46FF1"/>
    <w:rsid w:val="00F53F71"/>
    <w:rsid w:val="00F5488E"/>
    <w:rsid w:val="00F5779B"/>
    <w:rsid w:val="00F62C97"/>
    <w:rsid w:val="00F649B9"/>
    <w:rsid w:val="00F676F6"/>
    <w:rsid w:val="00F71C53"/>
    <w:rsid w:val="00F72077"/>
    <w:rsid w:val="00F72759"/>
    <w:rsid w:val="00F73E27"/>
    <w:rsid w:val="00F77737"/>
    <w:rsid w:val="00F8522B"/>
    <w:rsid w:val="00F854F5"/>
    <w:rsid w:val="00F9258C"/>
    <w:rsid w:val="00F9330D"/>
    <w:rsid w:val="00F9708D"/>
    <w:rsid w:val="00FB07F1"/>
    <w:rsid w:val="00FB15CF"/>
    <w:rsid w:val="00FB31F0"/>
    <w:rsid w:val="00FB35B9"/>
    <w:rsid w:val="00FB49A7"/>
    <w:rsid w:val="00FB4DE8"/>
    <w:rsid w:val="00FB5512"/>
    <w:rsid w:val="00FB6CEA"/>
    <w:rsid w:val="00FB7B3F"/>
    <w:rsid w:val="00FC0350"/>
    <w:rsid w:val="00FC47F2"/>
    <w:rsid w:val="00FC4F2E"/>
    <w:rsid w:val="00FC5D20"/>
    <w:rsid w:val="00FC73B8"/>
    <w:rsid w:val="00FD0863"/>
    <w:rsid w:val="00FD3149"/>
    <w:rsid w:val="00FD31BA"/>
    <w:rsid w:val="00FD6475"/>
    <w:rsid w:val="00FE2719"/>
    <w:rsid w:val="00FE2FBA"/>
    <w:rsid w:val="00FE36BD"/>
    <w:rsid w:val="00FE4663"/>
    <w:rsid w:val="00FE6A64"/>
    <w:rsid w:val="00FF1A69"/>
    <w:rsid w:val="00FF2A1A"/>
    <w:rsid w:val="00FF2AB7"/>
    <w:rsid w:val="00FF4C4D"/>
    <w:rsid w:val="00FF644F"/>
    <w:rsid w:val="00FF64E9"/>
    <w:rsid w:val="233753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0" w:unhideWhenUsed="0" w:qFormat="1"/>
    <w:lsdException w:name="toc 2" w:semiHidden="0" w:uiPriority="0" w:unhideWhenUsed="0"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uiPriority="0" w:unhideWhenUsed="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Body Text" w:semiHidden="0" w:unhideWhenUsed="0" w:qFormat="1"/>
    <w:lsdException w:name="Subtitle" w:semiHidden="0" w:uiPriority="11" w:unhideWhenUsed="0" w:qFormat="1"/>
    <w:lsdException w:name="Body Text Indent 2" w:semiHidden="0" w:uiPriority="0"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qFormat/>
    <w:pPr>
      <w:keepNext/>
      <w:keepLines/>
      <w:spacing w:before="340" w:after="330" w:line="576" w:lineRule="auto"/>
      <w:outlineLvl w:val="0"/>
    </w:pPr>
    <w:rPr>
      <w:b/>
      <w:kern w:val="44"/>
      <w:sz w:val="44"/>
    </w:rPr>
  </w:style>
  <w:style w:type="paragraph" w:styleId="2">
    <w:name w:val="heading 2"/>
    <w:basedOn w:val="a"/>
    <w:next w:val="a"/>
    <w:link w:val="2Char"/>
    <w:unhideWhenUsed/>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99"/>
    <w:qFormat/>
    <w:pPr>
      <w:ind w:firstLine="200"/>
    </w:pPr>
    <w:rPr>
      <w:rFonts w:ascii="仿宋_GB2312" w:eastAsia="仿宋_GB2312"/>
      <w:sz w:val="30"/>
      <w:szCs w:val="22"/>
    </w:rPr>
  </w:style>
  <w:style w:type="paragraph" w:styleId="20">
    <w:name w:val="Body Text Indent 2"/>
    <w:basedOn w:val="a"/>
    <w:link w:val="2Char0"/>
    <w:qFormat/>
    <w:pPr>
      <w:spacing w:after="120" w:line="480" w:lineRule="auto"/>
      <w:ind w:leftChars="200" w:left="420"/>
    </w:pPr>
  </w:style>
  <w:style w:type="paragraph" w:styleId="a4">
    <w:name w:val="footer"/>
    <w:basedOn w:val="a"/>
    <w:link w:val="Char0"/>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qFormat/>
  </w:style>
  <w:style w:type="paragraph" w:styleId="21">
    <w:name w:val="toc 2"/>
    <w:basedOn w:val="a"/>
    <w:next w:val="a"/>
    <w:qFormat/>
    <w:pPr>
      <w:ind w:leftChars="200" w:left="420"/>
    </w:pPr>
  </w:style>
  <w:style w:type="character" w:styleId="a6">
    <w:name w:val="page number"/>
    <w:basedOn w:val="a0"/>
    <w:qFormat/>
  </w:style>
  <w:style w:type="character" w:customStyle="1" w:styleId="1Char">
    <w:name w:val="标题 1 Char"/>
    <w:basedOn w:val="a0"/>
    <w:link w:val="1"/>
    <w:qFormat/>
    <w:rPr>
      <w:rFonts w:ascii="Times New Roman" w:eastAsia="宋体" w:hAnsi="Times New Roman" w:cs="Times New Roman"/>
      <w:b/>
      <w:kern w:val="44"/>
      <w:sz w:val="44"/>
      <w:szCs w:val="24"/>
    </w:rPr>
  </w:style>
  <w:style w:type="character" w:customStyle="1" w:styleId="2Char">
    <w:name w:val="标题 2 Char"/>
    <w:basedOn w:val="a0"/>
    <w:link w:val="2"/>
    <w:qFormat/>
    <w:rPr>
      <w:rFonts w:ascii="Arial" w:eastAsia="黑体" w:hAnsi="Arial" w:cs="Times New Roman"/>
      <w:b/>
      <w:sz w:val="32"/>
      <w:szCs w:val="24"/>
    </w:rPr>
  </w:style>
  <w:style w:type="character" w:customStyle="1" w:styleId="Char">
    <w:name w:val="正文文本 Char"/>
    <w:basedOn w:val="a0"/>
    <w:link w:val="a3"/>
    <w:uiPriority w:val="99"/>
    <w:qFormat/>
    <w:rPr>
      <w:rFonts w:ascii="仿宋_GB2312" w:eastAsia="仿宋_GB2312" w:hAnsi="Times New Roman" w:cs="Times New Roman"/>
      <w:sz w:val="30"/>
    </w:rPr>
  </w:style>
  <w:style w:type="character" w:customStyle="1" w:styleId="2Char0">
    <w:name w:val="正文文本缩进 2 Char"/>
    <w:basedOn w:val="a0"/>
    <w:link w:val="20"/>
    <w:qFormat/>
    <w:rPr>
      <w:rFonts w:ascii="Times New Roman" w:eastAsia="宋体" w:hAnsi="Times New Roman" w:cs="Times New Roman"/>
      <w:szCs w:val="24"/>
    </w:rPr>
  </w:style>
  <w:style w:type="character" w:customStyle="1" w:styleId="Char0">
    <w:name w:val="页脚 Char"/>
    <w:basedOn w:val="a0"/>
    <w:link w:val="a4"/>
    <w:qFormat/>
    <w:rPr>
      <w:rFonts w:ascii="Times New Roman" w:eastAsia="宋体" w:hAnsi="Times New Roman" w:cs="Times New Roman"/>
      <w:sz w:val="18"/>
      <w:szCs w:val="18"/>
    </w:rPr>
  </w:style>
  <w:style w:type="character" w:customStyle="1" w:styleId="Char1">
    <w:name w:val="页眉 Char"/>
    <w:basedOn w:val="a0"/>
    <w:link w:val="a5"/>
    <w:uiPriority w:val="99"/>
    <w:qFormat/>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0" w:unhideWhenUsed="0" w:qFormat="1"/>
    <w:lsdException w:name="toc 2" w:semiHidden="0" w:uiPriority="0" w:unhideWhenUsed="0"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uiPriority="0" w:unhideWhenUsed="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Body Text" w:semiHidden="0" w:unhideWhenUsed="0" w:qFormat="1"/>
    <w:lsdException w:name="Subtitle" w:semiHidden="0" w:uiPriority="11" w:unhideWhenUsed="0" w:qFormat="1"/>
    <w:lsdException w:name="Body Text Indent 2" w:semiHidden="0" w:uiPriority="0"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qFormat/>
    <w:pPr>
      <w:keepNext/>
      <w:keepLines/>
      <w:spacing w:before="340" w:after="330" w:line="576" w:lineRule="auto"/>
      <w:outlineLvl w:val="0"/>
    </w:pPr>
    <w:rPr>
      <w:b/>
      <w:kern w:val="44"/>
      <w:sz w:val="44"/>
    </w:rPr>
  </w:style>
  <w:style w:type="paragraph" w:styleId="2">
    <w:name w:val="heading 2"/>
    <w:basedOn w:val="a"/>
    <w:next w:val="a"/>
    <w:link w:val="2Char"/>
    <w:unhideWhenUsed/>
    <w:qFormat/>
    <w:pPr>
      <w:keepNext/>
      <w:keepLines/>
      <w:spacing w:before="260" w:after="260" w:line="413" w:lineRule="auto"/>
      <w:outlineLvl w:val="1"/>
    </w:pPr>
    <w:rPr>
      <w:rFonts w:ascii="Arial" w:eastAsia="黑体" w:hAnsi="Arial"/>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99"/>
    <w:qFormat/>
    <w:pPr>
      <w:ind w:firstLine="200"/>
    </w:pPr>
    <w:rPr>
      <w:rFonts w:ascii="仿宋_GB2312" w:eastAsia="仿宋_GB2312"/>
      <w:sz w:val="30"/>
      <w:szCs w:val="22"/>
    </w:rPr>
  </w:style>
  <w:style w:type="paragraph" w:styleId="20">
    <w:name w:val="Body Text Indent 2"/>
    <w:basedOn w:val="a"/>
    <w:link w:val="2Char0"/>
    <w:qFormat/>
    <w:pPr>
      <w:spacing w:after="120" w:line="480" w:lineRule="auto"/>
      <w:ind w:leftChars="200" w:left="420"/>
    </w:pPr>
  </w:style>
  <w:style w:type="paragraph" w:styleId="a4">
    <w:name w:val="footer"/>
    <w:basedOn w:val="a"/>
    <w:link w:val="Char0"/>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qFormat/>
  </w:style>
  <w:style w:type="paragraph" w:styleId="21">
    <w:name w:val="toc 2"/>
    <w:basedOn w:val="a"/>
    <w:next w:val="a"/>
    <w:qFormat/>
    <w:pPr>
      <w:ind w:leftChars="200" w:left="420"/>
    </w:pPr>
  </w:style>
  <w:style w:type="character" w:styleId="a6">
    <w:name w:val="page number"/>
    <w:basedOn w:val="a0"/>
    <w:qFormat/>
  </w:style>
  <w:style w:type="character" w:customStyle="1" w:styleId="1Char">
    <w:name w:val="标题 1 Char"/>
    <w:basedOn w:val="a0"/>
    <w:link w:val="1"/>
    <w:qFormat/>
    <w:rPr>
      <w:rFonts w:ascii="Times New Roman" w:eastAsia="宋体" w:hAnsi="Times New Roman" w:cs="Times New Roman"/>
      <w:b/>
      <w:kern w:val="44"/>
      <w:sz w:val="44"/>
      <w:szCs w:val="24"/>
    </w:rPr>
  </w:style>
  <w:style w:type="character" w:customStyle="1" w:styleId="2Char">
    <w:name w:val="标题 2 Char"/>
    <w:basedOn w:val="a0"/>
    <w:link w:val="2"/>
    <w:qFormat/>
    <w:rPr>
      <w:rFonts w:ascii="Arial" w:eastAsia="黑体" w:hAnsi="Arial" w:cs="Times New Roman"/>
      <w:b/>
      <w:sz w:val="32"/>
      <w:szCs w:val="24"/>
    </w:rPr>
  </w:style>
  <w:style w:type="character" w:customStyle="1" w:styleId="Char">
    <w:name w:val="正文文本 Char"/>
    <w:basedOn w:val="a0"/>
    <w:link w:val="a3"/>
    <w:uiPriority w:val="99"/>
    <w:qFormat/>
    <w:rPr>
      <w:rFonts w:ascii="仿宋_GB2312" w:eastAsia="仿宋_GB2312" w:hAnsi="Times New Roman" w:cs="Times New Roman"/>
      <w:sz w:val="30"/>
    </w:rPr>
  </w:style>
  <w:style w:type="character" w:customStyle="1" w:styleId="2Char0">
    <w:name w:val="正文文本缩进 2 Char"/>
    <w:basedOn w:val="a0"/>
    <w:link w:val="20"/>
    <w:qFormat/>
    <w:rPr>
      <w:rFonts w:ascii="Times New Roman" w:eastAsia="宋体" w:hAnsi="Times New Roman" w:cs="Times New Roman"/>
      <w:szCs w:val="24"/>
    </w:rPr>
  </w:style>
  <w:style w:type="character" w:customStyle="1" w:styleId="Char0">
    <w:name w:val="页脚 Char"/>
    <w:basedOn w:val="a0"/>
    <w:link w:val="a4"/>
    <w:qFormat/>
    <w:rPr>
      <w:rFonts w:ascii="Times New Roman" w:eastAsia="宋体" w:hAnsi="Times New Roman" w:cs="Times New Roman"/>
      <w:sz w:val="18"/>
      <w:szCs w:val="18"/>
    </w:rPr>
  </w:style>
  <w:style w:type="character" w:customStyle="1" w:styleId="Char1">
    <w:name w:val="页眉 Char"/>
    <w:basedOn w:val="a0"/>
    <w:link w:val="a5"/>
    <w:uiPriority w:val="99"/>
    <w:qFormat/>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18</Pages>
  <Words>1276</Words>
  <Characters>7278</Characters>
  <Application>Microsoft Office Word</Application>
  <DocSecurity>0</DocSecurity>
  <Lines>60</Lines>
  <Paragraphs>17</Paragraphs>
  <ScaleCrop>false</ScaleCrop>
  <Company/>
  <LinksUpToDate>false</LinksUpToDate>
  <CharactersWithSpaces>8537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王欣宇</dc:creator>
  <cp:lastModifiedBy>郭文武</cp:lastModifiedBy>
  <cp:revision>3</cp:revision>
  <dcterms:created xsi:type="dcterms:W3CDTF">2022-05-29T00:23:00Z</dcterms:created>
  <dcterms:modified xsi:type="dcterms:W3CDTF">2022-08-19T03:08:00Z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