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方正小标宋简体" w:eastAsia="方正小标宋简体"/>
          <w:color w:val="000000" w:themeColor="text1"/>
          <w:sz w:val="36"/>
          <w:szCs w:val="36"/>
        </w:rPr>
      </w:pPr>
      <w:r>
        <w:rPr>
          <w:rFonts w:hint="eastAsia" w:ascii="方正小标宋简体" w:eastAsia="方正小标宋简体"/>
          <w:color w:val="000000" w:themeColor="text1"/>
          <w:sz w:val="36"/>
          <w:szCs w:val="36"/>
        </w:rPr>
        <w:t>北京市交通</w:t>
      </w:r>
      <w:r>
        <w:rPr>
          <w:rFonts w:ascii="方正小标宋简体" w:eastAsia="方正小标宋简体"/>
          <w:color w:val="000000" w:themeColor="text1"/>
          <w:sz w:val="36"/>
          <w:szCs w:val="36"/>
        </w:rPr>
        <w:t>运输</w:t>
      </w:r>
      <w:r>
        <w:rPr>
          <w:rFonts w:hint="eastAsia" w:ascii="方正小标宋简体" w:eastAsia="方正小标宋简体"/>
          <w:color w:val="000000" w:themeColor="text1"/>
          <w:sz w:val="36"/>
          <w:szCs w:val="36"/>
        </w:rPr>
        <w:t>综合</w:t>
      </w:r>
      <w:r>
        <w:rPr>
          <w:rFonts w:ascii="方正小标宋简体" w:eastAsia="方正小标宋简体"/>
          <w:color w:val="000000" w:themeColor="text1"/>
          <w:sz w:val="36"/>
          <w:szCs w:val="36"/>
        </w:rPr>
        <w:t>执法总队</w:t>
      </w:r>
      <w:r>
        <w:rPr>
          <w:rFonts w:hint="eastAsia" w:ascii="方正小标宋简体" w:eastAsia="方正小标宋简体"/>
          <w:color w:val="000000" w:themeColor="text1"/>
          <w:sz w:val="36"/>
          <w:szCs w:val="36"/>
        </w:rPr>
        <w:t>单位</w:t>
      </w:r>
    </w:p>
    <w:p>
      <w:pPr>
        <w:spacing w:line="480" w:lineRule="auto"/>
        <w:jc w:val="center"/>
        <w:rPr>
          <w:rFonts w:ascii="方正小标宋简体" w:eastAsia="方正小标宋简体"/>
          <w:color w:val="000000" w:themeColor="text1"/>
          <w:sz w:val="36"/>
          <w:szCs w:val="36"/>
        </w:rPr>
      </w:pPr>
      <w:bookmarkStart w:id="1" w:name="_GoBack"/>
      <w:bookmarkEnd w:id="1"/>
      <w:r>
        <w:rPr>
          <w:rFonts w:hint="eastAsia" w:ascii="方正小标宋简体" w:eastAsia="方正小标宋简体"/>
          <w:color w:val="000000" w:themeColor="text1"/>
          <w:sz w:val="36"/>
          <w:szCs w:val="36"/>
        </w:rPr>
        <w:t>2022年财政预算信息公开</w:t>
      </w:r>
    </w:p>
    <w:p>
      <w:pPr>
        <w:spacing w:line="480" w:lineRule="auto"/>
        <w:jc w:val="center"/>
        <w:rPr>
          <w:rFonts w:ascii="方正小标宋简体" w:eastAsia="方正小标宋简体"/>
          <w:color w:val="000000" w:themeColor="text1"/>
          <w:sz w:val="32"/>
          <w:szCs w:val="32"/>
        </w:rPr>
      </w:pPr>
    </w:p>
    <w:p>
      <w:pPr>
        <w:spacing w:line="480" w:lineRule="auto"/>
        <w:jc w:val="center"/>
        <w:rPr>
          <w:rFonts w:ascii="方正小标宋简体" w:eastAsia="方正小标宋简体"/>
          <w:color w:val="000000" w:themeColor="text1"/>
          <w:sz w:val="32"/>
          <w:szCs w:val="32"/>
        </w:rPr>
      </w:pPr>
      <w:r>
        <w:rPr>
          <w:rFonts w:hint="eastAsia" w:ascii="方正小标宋简体" w:eastAsia="方正小标宋简体"/>
          <w:color w:val="000000" w:themeColor="text1"/>
          <w:sz w:val="32"/>
          <w:szCs w:val="32"/>
        </w:rPr>
        <w:t>目   录</w:t>
      </w:r>
    </w:p>
    <w:p>
      <w:pPr>
        <w:spacing w:line="480" w:lineRule="auto"/>
        <w:jc w:val="center"/>
        <w:rPr>
          <w:rFonts w:ascii="方正小标宋简体" w:eastAsia="方正小标宋简体"/>
          <w:color w:val="000000" w:themeColor="text1"/>
          <w:sz w:val="32"/>
          <w:szCs w:val="32"/>
        </w:rPr>
      </w:pPr>
    </w:p>
    <w:p>
      <w:pPr>
        <w:spacing w:line="480" w:lineRule="auto"/>
        <w:rPr>
          <w:rFonts w:ascii="仿宋_GB2312" w:eastAsia="仿宋_GB2312"/>
          <w:color w:val="000000" w:themeColor="text1"/>
          <w:sz w:val="32"/>
          <w:szCs w:val="32"/>
        </w:rPr>
      </w:pPr>
      <w:r>
        <w:rPr>
          <w:rFonts w:hint="eastAsia" w:ascii="仿宋_GB2312" w:eastAsia="仿宋_GB2312"/>
          <w:color w:val="000000" w:themeColor="text1"/>
          <w:sz w:val="32"/>
          <w:szCs w:val="32"/>
        </w:rPr>
        <w:t>第一部分 2022年度单位预算情况说明</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一、单位基本情况</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二、2022年收入及支出总体情况</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三、主要支出情况</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四、单位“三公”经费财政拨款预算说明</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五、其他情况说明</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六、名词解释</w:t>
      </w:r>
    </w:p>
    <w:p>
      <w:pPr>
        <w:spacing w:line="480" w:lineRule="auto"/>
        <w:rPr>
          <w:rFonts w:ascii="仿宋_GB2312" w:eastAsia="仿宋_GB2312"/>
          <w:color w:val="000000" w:themeColor="text1"/>
          <w:sz w:val="32"/>
          <w:szCs w:val="32"/>
        </w:rPr>
      </w:pPr>
      <w:r>
        <w:rPr>
          <w:rFonts w:hint="eastAsia" w:ascii="仿宋_GB2312" w:eastAsia="仿宋_GB2312"/>
          <w:color w:val="000000" w:themeColor="text1"/>
          <w:sz w:val="32"/>
          <w:szCs w:val="32"/>
        </w:rPr>
        <w:t>第二部分 2022年度单位预算报表</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一、收支总表</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 xml:space="preserve">二、收入总表    </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三、支出总表</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四、项目支出表</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五、政府采购预算明细表</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六、财政拨款收支总表</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七、一般公共预算财政拨款支出表</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八、一般公共预算财政拨款基本支出表</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九、政府性基金预算财政拨款支出表</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十、国有资本经营预算财政拨款支出表</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十一、财政拨款“三公”经费支出表</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十二、政府购买服务预算财政拨款明细表</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十三、项目支出绩效目标表</w:t>
      </w:r>
    </w:p>
    <w:p>
      <w:pPr>
        <w:spacing w:line="480" w:lineRule="auto"/>
        <w:ind w:firstLine="640" w:firstLineChars="200"/>
        <w:rPr>
          <w:rFonts w:ascii="仿宋_GB2312" w:eastAsia="仿宋_GB2312"/>
          <w:color w:val="000000" w:themeColor="text1"/>
          <w:sz w:val="32"/>
          <w:szCs w:val="32"/>
        </w:rPr>
      </w:pPr>
    </w:p>
    <w:p>
      <w:pPr>
        <w:spacing w:line="480" w:lineRule="auto"/>
        <w:ind w:firstLine="640" w:firstLineChars="200"/>
        <w:rPr>
          <w:rFonts w:ascii="仿宋_GB2312" w:eastAsia="仿宋_GB2312"/>
          <w:color w:val="000000" w:themeColor="text1"/>
          <w:sz w:val="32"/>
          <w:szCs w:val="32"/>
        </w:rPr>
      </w:pPr>
    </w:p>
    <w:p>
      <w:pPr>
        <w:widowControl/>
        <w:jc w:val="left"/>
        <w:rPr>
          <w:rFonts w:ascii="方正小标宋简体" w:eastAsia="方正小标宋简体"/>
          <w:color w:val="000000" w:themeColor="text1"/>
          <w:sz w:val="36"/>
          <w:szCs w:val="36"/>
        </w:rPr>
      </w:pPr>
      <w:r>
        <w:rPr>
          <w:rFonts w:ascii="方正小标宋简体" w:eastAsia="方正小标宋简体"/>
          <w:color w:val="000000" w:themeColor="text1"/>
          <w:sz w:val="36"/>
          <w:szCs w:val="36"/>
        </w:rPr>
        <w:br w:type="page"/>
      </w:r>
    </w:p>
    <w:p>
      <w:pPr>
        <w:spacing w:line="480" w:lineRule="auto"/>
        <w:ind w:firstLine="720" w:firstLineChars="200"/>
        <w:jc w:val="center"/>
        <w:rPr>
          <w:rFonts w:ascii="方正小标宋简体" w:eastAsia="方正小标宋简体"/>
          <w:color w:val="000000" w:themeColor="text1"/>
          <w:sz w:val="32"/>
          <w:szCs w:val="32"/>
        </w:rPr>
      </w:pPr>
      <w:r>
        <w:rPr>
          <w:rFonts w:hint="eastAsia" w:ascii="方正小标宋简体" w:eastAsia="方正小标宋简体"/>
          <w:color w:val="000000" w:themeColor="text1"/>
          <w:sz w:val="36"/>
          <w:szCs w:val="36"/>
        </w:rPr>
        <w:t>第一部分  2022年单位预算情况说明</w:t>
      </w:r>
    </w:p>
    <w:p>
      <w:pPr>
        <w:spacing w:line="480" w:lineRule="auto"/>
        <w:ind w:firstLine="640" w:firstLineChars="200"/>
        <w:rPr>
          <w:rFonts w:ascii="仿宋_GB2312" w:eastAsia="仿宋_GB2312"/>
          <w:color w:val="000000" w:themeColor="text1"/>
          <w:sz w:val="32"/>
          <w:szCs w:val="32"/>
        </w:rPr>
      </w:pPr>
    </w:p>
    <w:p>
      <w:pPr>
        <w:spacing w:line="480" w:lineRule="auto"/>
        <w:ind w:firstLine="640" w:firstLineChars="200"/>
        <w:rPr>
          <w:rFonts w:ascii="黑体" w:eastAsia="黑体"/>
          <w:color w:val="000000" w:themeColor="text1"/>
          <w:sz w:val="32"/>
          <w:szCs w:val="32"/>
        </w:rPr>
      </w:pPr>
      <w:r>
        <w:rPr>
          <w:rFonts w:hint="eastAsia" w:ascii="黑体" w:eastAsia="黑体"/>
          <w:color w:val="000000" w:themeColor="text1"/>
          <w:sz w:val="32"/>
          <w:szCs w:val="32"/>
        </w:rPr>
        <w:t>一、单位基本情况</w:t>
      </w:r>
    </w:p>
    <w:p>
      <w:pPr>
        <w:spacing w:line="480" w:lineRule="auto"/>
        <w:ind w:firstLine="640" w:firstLineChars="200"/>
        <w:rPr>
          <w:rFonts w:ascii="楷体_GB2312" w:eastAsia="楷体_GB2312"/>
          <w:color w:val="000000" w:themeColor="text1"/>
          <w:sz w:val="32"/>
          <w:szCs w:val="32"/>
        </w:rPr>
      </w:pPr>
      <w:r>
        <w:rPr>
          <w:rFonts w:hint="eastAsia" w:ascii="楷体_GB2312" w:eastAsia="楷体_GB2312"/>
          <w:color w:val="000000" w:themeColor="text1"/>
          <w:sz w:val="32"/>
          <w:szCs w:val="32"/>
        </w:rPr>
        <w:t>（一）本单位性质、职责等情况</w:t>
      </w:r>
    </w:p>
    <w:p>
      <w:pPr>
        <w:spacing w:line="480" w:lineRule="auto"/>
        <w:ind w:firstLine="640" w:firstLineChars="200"/>
        <w:outlineLvl w:val="0"/>
        <w:rPr>
          <w:rFonts w:ascii="仿宋_GB2312" w:eastAsia="仿宋_GB2312"/>
          <w:color w:val="000000" w:themeColor="text1"/>
          <w:sz w:val="32"/>
          <w:szCs w:val="32"/>
        </w:rPr>
      </w:pPr>
      <w:r>
        <w:rPr>
          <w:rFonts w:ascii="仿宋_GB2312" w:eastAsia="仿宋_GB2312"/>
          <w:color w:val="000000" w:themeColor="text1"/>
          <w:sz w:val="32"/>
          <w:szCs w:val="32"/>
        </w:rPr>
        <w:t>北京市交通运输综合执法总队，为市交通委管理的副局级行政执法机构。</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1.负责集中行使法律、法规、规章规定应由省级交通主管部门行使的行政处罚权以及与之相关的行政检查、行政强制权。</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2.负责相关领域重大疑难复杂案件和跨区域案件的查处工作。</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3.负责全市县级以上公路路政及相应工程质量监督管理方面的行政执法工作。</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4.负责全市轨道交通行政执法工作。</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5.负责东城区、西城区、朝阳区、海淀区、丰台区、石景山区的市管城市道路行政及相应工程质量监督管理、道路运政、水路运政、地方海事行政、渔船检验监督管理等方面的行政执法工作。</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6.负责监督指导、统筹协调各区交通运输综合执法工作。</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7.完成市委、市政府和市交通委交办的其他任务。</w:t>
      </w:r>
    </w:p>
    <w:p>
      <w:pPr>
        <w:spacing w:line="480" w:lineRule="auto"/>
        <w:ind w:firstLine="640" w:firstLineChars="200"/>
        <w:rPr>
          <w:rFonts w:ascii="楷体_GB2312" w:eastAsia="楷体_GB2312"/>
          <w:color w:val="000000" w:themeColor="text1"/>
          <w:sz w:val="32"/>
          <w:szCs w:val="32"/>
        </w:rPr>
      </w:pPr>
      <w:r>
        <w:rPr>
          <w:rFonts w:hint="eastAsia" w:ascii="楷体_GB2312" w:eastAsia="楷体_GB2312"/>
          <w:color w:val="000000" w:themeColor="text1"/>
          <w:sz w:val="32"/>
          <w:szCs w:val="32"/>
        </w:rPr>
        <w:t>（二）机构设置情况</w:t>
      </w:r>
    </w:p>
    <w:p>
      <w:pPr>
        <w:spacing w:line="480" w:lineRule="auto"/>
        <w:ind w:firstLine="640" w:firstLineChars="200"/>
        <w:outlineLvl w:val="0"/>
        <w:rPr>
          <w:rFonts w:ascii="仿宋_GB2312" w:eastAsia="仿宋_GB2312"/>
          <w:color w:val="000000" w:themeColor="text1"/>
          <w:sz w:val="32"/>
          <w:szCs w:val="32"/>
        </w:rPr>
      </w:pPr>
      <w:r>
        <w:rPr>
          <w:rFonts w:ascii="仿宋_GB2312" w:eastAsia="仿宋_GB2312"/>
          <w:color w:val="000000" w:themeColor="text1"/>
          <w:sz w:val="32"/>
          <w:szCs w:val="32"/>
        </w:rPr>
        <w:t>根据《中共北京市委机构编制委员会关于北京市交通运输综合执法总队职责机构编制事宜的通知》（京编委</w:t>
      </w:r>
      <w:r>
        <w:rPr>
          <w:rFonts w:hint="eastAsia" w:ascii="仿宋_GB2312" w:eastAsia="仿宋_GB2312"/>
          <w:color w:val="000000" w:themeColor="text1"/>
          <w:sz w:val="32"/>
          <w:szCs w:val="32"/>
        </w:rPr>
        <w:t>〔2020〕15号</w:t>
      </w:r>
      <w:r>
        <w:rPr>
          <w:rFonts w:ascii="仿宋_GB2312" w:eastAsia="仿宋_GB2312"/>
          <w:color w:val="000000" w:themeColor="text1"/>
          <w:sz w:val="32"/>
          <w:szCs w:val="32"/>
        </w:rPr>
        <w:t>）设立北京市交通运输综合执法总队。</w:t>
      </w:r>
      <w:r>
        <w:rPr>
          <w:rFonts w:hint="eastAsia" w:ascii="仿宋_GB2312" w:eastAsia="仿宋_GB2312"/>
          <w:color w:val="000000" w:themeColor="text1"/>
          <w:sz w:val="32"/>
          <w:szCs w:val="32"/>
        </w:rPr>
        <w:t>内设机构24个，包括8个处室，16个执法支队。2</w:t>
      </w:r>
      <w:r>
        <w:rPr>
          <w:rFonts w:ascii="仿宋_GB2312" w:eastAsia="仿宋_GB2312"/>
          <w:color w:val="000000" w:themeColor="text1"/>
          <w:sz w:val="32"/>
          <w:szCs w:val="32"/>
        </w:rPr>
        <w:t>022</w:t>
      </w:r>
      <w:r>
        <w:rPr>
          <w:rFonts w:hint="eastAsia" w:ascii="仿宋_GB2312" w:eastAsia="仿宋_GB2312"/>
          <w:color w:val="000000" w:themeColor="text1"/>
          <w:sz w:val="32"/>
          <w:szCs w:val="32"/>
        </w:rPr>
        <w:t>年</w:t>
      </w:r>
      <w:r>
        <w:rPr>
          <w:rFonts w:ascii="仿宋_GB2312" w:eastAsia="仿宋_GB2312"/>
          <w:color w:val="000000" w:themeColor="text1"/>
          <w:sz w:val="32"/>
          <w:szCs w:val="32"/>
        </w:rPr>
        <w:t>预算</w:t>
      </w:r>
      <w:r>
        <w:rPr>
          <w:rFonts w:hint="eastAsia" w:ascii="仿宋_GB2312" w:eastAsia="仿宋_GB2312"/>
          <w:color w:val="000000" w:themeColor="text1"/>
          <w:sz w:val="32"/>
          <w:szCs w:val="32"/>
        </w:rPr>
        <w:t>共计2个单位，具体是北京市交通运输综合执法总队本级和北京市交通运输综合执法总队执法保障中心。</w:t>
      </w:r>
    </w:p>
    <w:p>
      <w:pPr>
        <w:spacing w:line="480" w:lineRule="auto"/>
        <w:ind w:firstLine="640" w:firstLineChars="200"/>
        <w:rPr>
          <w:rFonts w:ascii="楷体_GB2312" w:eastAsia="楷体_GB2312"/>
          <w:color w:val="000000" w:themeColor="text1"/>
          <w:sz w:val="32"/>
          <w:szCs w:val="32"/>
        </w:rPr>
      </w:pPr>
      <w:r>
        <w:rPr>
          <w:rFonts w:hint="eastAsia" w:ascii="楷体_GB2312" w:eastAsia="楷体_GB2312"/>
          <w:color w:val="000000" w:themeColor="text1"/>
          <w:sz w:val="32"/>
          <w:szCs w:val="32"/>
        </w:rPr>
        <w:t>（三）人员构成情况</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北京市交通运输综合执法总队单位行政编制834人，实际</w:t>
      </w:r>
      <w:r>
        <w:rPr>
          <w:rFonts w:ascii="仿宋_GB2312" w:eastAsia="仿宋_GB2312"/>
          <w:color w:val="000000" w:themeColor="text1"/>
          <w:sz w:val="32"/>
          <w:szCs w:val="32"/>
        </w:rPr>
        <w:t>748</w:t>
      </w:r>
      <w:r>
        <w:rPr>
          <w:rFonts w:hint="eastAsia" w:ascii="仿宋_GB2312" w:eastAsia="仿宋_GB2312"/>
          <w:color w:val="000000" w:themeColor="text1"/>
          <w:sz w:val="32"/>
          <w:szCs w:val="32"/>
        </w:rPr>
        <w:t>人；事业编制</w:t>
      </w:r>
      <w:r>
        <w:rPr>
          <w:rFonts w:ascii="仿宋_GB2312" w:eastAsia="仿宋_GB2312"/>
          <w:color w:val="000000" w:themeColor="text1"/>
          <w:sz w:val="32"/>
          <w:szCs w:val="32"/>
        </w:rPr>
        <w:t>31</w:t>
      </w:r>
      <w:r>
        <w:rPr>
          <w:rFonts w:hint="eastAsia" w:ascii="仿宋_GB2312" w:eastAsia="仿宋_GB2312"/>
          <w:color w:val="000000" w:themeColor="text1"/>
          <w:sz w:val="32"/>
          <w:szCs w:val="32"/>
        </w:rPr>
        <w:t>人，实际</w:t>
      </w:r>
      <w:r>
        <w:rPr>
          <w:rFonts w:ascii="仿宋_GB2312" w:eastAsia="仿宋_GB2312"/>
          <w:color w:val="000000" w:themeColor="text1"/>
          <w:sz w:val="32"/>
          <w:szCs w:val="32"/>
        </w:rPr>
        <w:t>26</w:t>
      </w:r>
      <w:r>
        <w:rPr>
          <w:rFonts w:hint="eastAsia" w:ascii="仿宋_GB2312" w:eastAsia="仿宋_GB2312"/>
          <w:color w:val="000000" w:themeColor="text1"/>
          <w:sz w:val="32"/>
          <w:szCs w:val="32"/>
        </w:rPr>
        <w:t>人。离退休人员</w:t>
      </w:r>
      <w:r>
        <w:rPr>
          <w:rFonts w:ascii="仿宋_GB2312" w:eastAsia="仿宋_GB2312"/>
          <w:color w:val="000000" w:themeColor="text1"/>
          <w:sz w:val="32"/>
          <w:szCs w:val="32"/>
        </w:rPr>
        <w:t>163</w:t>
      </w:r>
      <w:r>
        <w:rPr>
          <w:rFonts w:hint="eastAsia" w:ascii="仿宋_GB2312" w:eastAsia="仿宋_GB2312"/>
          <w:color w:val="000000" w:themeColor="text1"/>
          <w:sz w:val="32"/>
          <w:szCs w:val="32"/>
        </w:rPr>
        <w:t>人，其中：离休0人，退休163人。</w:t>
      </w:r>
    </w:p>
    <w:p>
      <w:pPr>
        <w:spacing w:line="480" w:lineRule="auto"/>
        <w:ind w:firstLine="640" w:firstLineChars="200"/>
        <w:rPr>
          <w:rFonts w:ascii="黑体" w:eastAsia="黑体"/>
          <w:color w:val="000000" w:themeColor="text1"/>
          <w:sz w:val="32"/>
          <w:szCs w:val="32"/>
        </w:rPr>
      </w:pPr>
      <w:r>
        <w:rPr>
          <w:rFonts w:hint="eastAsia" w:ascii="黑体" w:eastAsia="黑体"/>
          <w:color w:val="000000" w:themeColor="text1"/>
          <w:sz w:val="32"/>
          <w:szCs w:val="32"/>
        </w:rPr>
        <w:t>二、2022年收入及支出总体情况</w:t>
      </w:r>
    </w:p>
    <w:p>
      <w:pPr>
        <w:spacing w:line="480" w:lineRule="auto"/>
        <w:ind w:firstLine="640" w:firstLineChars="200"/>
        <w:rPr>
          <w:rFonts w:ascii="楷体_GB2312" w:eastAsia="楷体_GB2312"/>
          <w:color w:val="000000" w:themeColor="text1"/>
          <w:sz w:val="32"/>
          <w:szCs w:val="32"/>
        </w:rPr>
      </w:pPr>
      <w:r>
        <w:rPr>
          <w:rFonts w:hint="eastAsia" w:ascii="楷体_GB2312" w:eastAsia="楷体_GB2312"/>
          <w:color w:val="000000" w:themeColor="text1"/>
          <w:sz w:val="32"/>
          <w:szCs w:val="32"/>
        </w:rPr>
        <w:t>（一）收入预算说明</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2022年收入预算</w:t>
      </w:r>
      <w:r>
        <w:rPr>
          <w:rFonts w:ascii="仿宋_GB2312" w:eastAsia="仿宋_GB2312"/>
          <w:color w:val="000000" w:themeColor="text1"/>
          <w:sz w:val="32"/>
          <w:szCs w:val="32"/>
        </w:rPr>
        <w:t>48584.21</w:t>
      </w:r>
      <w:r>
        <w:rPr>
          <w:rFonts w:hint="eastAsia" w:ascii="仿宋_GB2312" w:eastAsia="仿宋_GB2312"/>
          <w:color w:val="000000" w:themeColor="text1"/>
          <w:sz w:val="32"/>
          <w:szCs w:val="32"/>
        </w:rPr>
        <w:t>万元，比2021年</w:t>
      </w:r>
      <w:r>
        <w:rPr>
          <w:rFonts w:ascii="仿宋_GB2312" w:eastAsia="仿宋_GB2312"/>
          <w:color w:val="000000" w:themeColor="text1"/>
          <w:sz w:val="32"/>
          <w:szCs w:val="32"/>
        </w:rPr>
        <w:t>45963.92</w:t>
      </w:r>
      <w:r>
        <w:rPr>
          <w:rFonts w:hint="eastAsia" w:ascii="仿宋_GB2312" w:eastAsia="仿宋_GB2312"/>
          <w:color w:val="000000" w:themeColor="text1"/>
          <w:sz w:val="32"/>
          <w:szCs w:val="32"/>
        </w:rPr>
        <w:t>万元增加</w:t>
      </w:r>
      <w:r>
        <w:rPr>
          <w:rFonts w:ascii="仿宋_GB2312" w:eastAsia="仿宋_GB2312"/>
          <w:color w:val="000000" w:themeColor="text1"/>
          <w:sz w:val="32"/>
          <w:szCs w:val="32"/>
        </w:rPr>
        <w:t>2620.29</w:t>
      </w:r>
      <w:r>
        <w:rPr>
          <w:rFonts w:hint="eastAsia" w:ascii="仿宋_GB2312" w:eastAsia="仿宋_GB2312"/>
          <w:color w:val="000000" w:themeColor="text1"/>
          <w:sz w:val="32"/>
          <w:szCs w:val="32"/>
        </w:rPr>
        <w:t>万元，增长</w:t>
      </w:r>
      <w:r>
        <w:rPr>
          <w:rFonts w:ascii="仿宋_GB2312" w:eastAsia="仿宋_GB2312"/>
          <w:color w:val="000000" w:themeColor="text1"/>
          <w:sz w:val="32"/>
          <w:szCs w:val="32"/>
        </w:rPr>
        <w:t>5.70</w:t>
      </w:r>
      <w:r>
        <w:rPr>
          <w:rFonts w:hint="eastAsia" w:ascii="仿宋_GB2312" w:eastAsia="仿宋_GB2312"/>
          <w:color w:val="000000" w:themeColor="text1"/>
          <w:sz w:val="32"/>
          <w:szCs w:val="32"/>
        </w:rPr>
        <w:t>%。其中：本年财政拨款收入47381.63万元,比2021年43678.89万元增加3702.74万,主要原因</w:t>
      </w:r>
      <w:r>
        <w:rPr>
          <w:rFonts w:ascii="仿宋_GB2312" w:eastAsia="仿宋_GB2312"/>
          <w:color w:val="000000" w:themeColor="text1"/>
          <w:sz w:val="32"/>
          <w:szCs w:val="32"/>
        </w:rPr>
        <w:t>是</w:t>
      </w:r>
      <w:r>
        <w:rPr>
          <w:rFonts w:hint="eastAsia" w:ascii="仿宋_GB2312" w:eastAsia="仿宋_GB2312"/>
          <w:color w:val="000000" w:themeColor="text1"/>
          <w:sz w:val="32"/>
          <w:szCs w:val="32"/>
        </w:rPr>
        <w:t>机构</w:t>
      </w:r>
      <w:r>
        <w:rPr>
          <w:rFonts w:ascii="仿宋_GB2312" w:eastAsia="仿宋_GB2312"/>
          <w:color w:val="000000" w:themeColor="text1"/>
          <w:sz w:val="32"/>
          <w:szCs w:val="32"/>
        </w:rPr>
        <w:t>改革，</w:t>
      </w:r>
      <w:r>
        <w:rPr>
          <w:rFonts w:hint="eastAsia" w:ascii="仿宋_GB2312" w:eastAsia="仿宋_GB2312"/>
          <w:color w:val="000000" w:themeColor="text1"/>
          <w:sz w:val="32"/>
          <w:szCs w:val="32"/>
        </w:rPr>
        <w:t>其他单位人员、</w:t>
      </w:r>
      <w:r>
        <w:rPr>
          <w:rFonts w:ascii="仿宋_GB2312" w:eastAsia="仿宋_GB2312"/>
          <w:color w:val="000000" w:themeColor="text1"/>
          <w:sz w:val="32"/>
          <w:szCs w:val="32"/>
        </w:rPr>
        <w:t>资产等</w:t>
      </w:r>
      <w:r>
        <w:rPr>
          <w:rFonts w:hint="eastAsia" w:ascii="仿宋_GB2312" w:eastAsia="仿宋_GB2312"/>
          <w:color w:val="000000" w:themeColor="text1"/>
          <w:sz w:val="32"/>
          <w:szCs w:val="32"/>
        </w:rPr>
        <w:t>划入总队，基本</w:t>
      </w:r>
      <w:r>
        <w:rPr>
          <w:rFonts w:ascii="仿宋_GB2312" w:eastAsia="仿宋_GB2312"/>
          <w:color w:val="000000" w:themeColor="text1"/>
          <w:sz w:val="32"/>
          <w:szCs w:val="32"/>
        </w:rPr>
        <w:t>支出</w:t>
      </w:r>
      <w:r>
        <w:rPr>
          <w:rFonts w:hint="eastAsia" w:ascii="仿宋_GB2312" w:eastAsia="仿宋_GB2312"/>
          <w:color w:val="000000" w:themeColor="text1"/>
          <w:sz w:val="32"/>
          <w:szCs w:val="32"/>
        </w:rPr>
        <w:t>费用增加；本年其他资金收入0万元,比2021年30.84万元减少30.84万元，主要原因</w:t>
      </w:r>
      <w:r>
        <w:rPr>
          <w:rFonts w:ascii="仿宋_GB2312" w:eastAsia="仿宋_GB2312"/>
          <w:color w:val="000000" w:themeColor="text1"/>
          <w:sz w:val="32"/>
          <w:szCs w:val="32"/>
        </w:rPr>
        <w:t>是</w:t>
      </w:r>
      <w:r>
        <w:rPr>
          <w:rFonts w:hint="eastAsia" w:ascii="仿宋_GB2312" w:eastAsia="仿宋_GB2312"/>
          <w:color w:val="000000" w:themeColor="text1"/>
          <w:sz w:val="32"/>
          <w:szCs w:val="32"/>
        </w:rPr>
        <w:t>预计非</w:t>
      </w:r>
      <w:r>
        <w:rPr>
          <w:rFonts w:ascii="仿宋_GB2312" w:eastAsia="仿宋_GB2312"/>
          <w:color w:val="000000" w:themeColor="text1"/>
          <w:sz w:val="32"/>
          <w:szCs w:val="32"/>
        </w:rPr>
        <w:t>本级财政拨款收入减少</w:t>
      </w:r>
      <w:r>
        <w:rPr>
          <w:rFonts w:hint="eastAsia" w:ascii="仿宋_GB2312" w:eastAsia="仿宋_GB2312"/>
          <w:color w:val="000000" w:themeColor="text1"/>
          <w:sz w:val="32"/>
          <w:szCs w:val="32"/>
        </w:rPr>
        <w:t>；上年结转结余资金</w:t>
      </w:r>
      <w:r>
        <w:rPr>
          <w:rFonts w:ascii="仿宋_GB2312" w:eastAsia="仿宋_GB2312"/>
          <w:color w:val="000000" w:themeColor="text1"/>
          <w:sz w:val="32"/>
          <w:szCs w:val="32"/>
        </w:rPr>
        <w:t>1202.58</w:t>
      </w:r>
      <w:r>
        <w:rPr>
          <w:rFonts w:hint="eastAsia" w:ascii="仿宋_GB2312" w:eastAsia="仿宋_GB2312"/>
          <w:color w:val="000000" w:themeColor="text1"/>
          <w:sz w:val="32"/>
          <w:szCs w:val="32"/>
        </w:rPr>
        <w:t>万元,比2021年1007.29万元增加</w:t>
      </w:r>
      <w:r>
        <w:rPr>
          <w:rFonts w:ascii="仿宋_GB2312" w:eastAsia="仿宋_GB2312"/>
          <w:color w:val="000000" w:themeColor="text1"/>
          <w:sz w:val="32"/>
          <w:szCs w:val="32"/>
        </w:rPr>
        <w:t>195.29</w:t>
      </w:r>
      <w:r>
        <w:rPr>
          <w:rFonts w:hint="eastAsia" w:ascii="仿宋_GB2312" w:eastAsia="仿宋_GB2312"/>
          <w:color w:val="000000" w:themeColor="text1"/>
          <w:sz w:val="32"/>
          <w:szCs w:val="32"/>
        </w:rPr>
        <w:t>万元，主要原因</w:t>
      </w:r>
      <w:r>
        <w:rPr>
          <w:rFonts w:ascii="仿宋_GB2312" w:eastAsia="仿宋_GB2312"/>
          <w:color w:val="000000" w:themeColor="text1"/>
          <w:sz w:val="32"/>
          <w:szCs w:val="32"/>
        </w:rPr>
        <w:t>是</w:t>
      </w:r>
      <w:r>
        <w:rPr>
          <w:rFonts w:hint="eastAsia" w:ascii="仿宋_GB2312" w:eastAsia="仿宋_GB2312"/>
          <w:color w:val="000000" w:themeColor="text1"/>
          <w:sz w:val="32"/>
          <w:szCs w:val="32"/>
        </w:rPr>
        <w:t>上年结转</w:t>
      </w:r>
      <w:r>
        <w:rPr>
          <w:rFonts w:ascii="仿宋_GB2312" w:eastAsia="仿宋_GB2312"/>
          <w:color w:val="000000" w:themeColor="text1"/>
          <w:sz w:val="32"/>
          <w:szCs w:val="32"/>
        </w:rPr>
        <w:t>的</w:t>
      </w:r>
      <w:r>
        <w:rPr>
          <w:rFonts w:hint="eastAsia" w:ascii="仿宋_GB2312" w:eastAsia="仿宋_GB2312"/>
          <w:color w:val="000000" w:themeColor="text1"/>
          <w:sz w:val="32"/>
          <w:szCs w:val="32"/>
        </w:rPr>
        <w:t>单位</w:t>
      </w:r>
      <w:r>
        <w:rPr>
          <w:rFonts w:ascii="仿宋_GB2312" w:eastAsia="仿宋_GB2312"/>
          <w:color w:val="000000" w:themeColor="text1"/>
          <w:sz w:val="32"/>
          <w:szCs w:val="32"/>
        </w:rPr>
        <w:t>资金</w:t>
      </w:r>
      <w:r>
        <w:rPr>
          <w:rFonts w:hint="eastAsia" w:ascii="仿宋_GB2312" w:eastAsia="仿宋_GB2312"/>
          <w:color w:val="000000" w:themeColor="text1"/>
          <w:sz w:val="32"/>
          <w:szCs w:val="32"/>
        </w:rPr>
        <w:t>纳入</w:t>
      </w:r>
      <w:r>
        <w:rPr>
          <w:rFonts w:ascii="仿宋_GB2312" w:eastAsia="仿宋_GB2312"/>
          <w:color w:val="000000" w:themeColor="text1"/>
          <w:sz w:val="32"/>
          <w:szCs w:val="32"/>
        </w:rPr>
        <w:t>预算</w:t>
      </w:r>
      <w:r>
        <w:rPr>
          <w:rFonts w:hint="eastAsia" w:ascii="仿宋_GB2312" w:eastAsia="仿宋_GB2312"/>
          <w:color w:val="000000" w:themeColor="text1"/>
          <w:sz w:val="32"/>
          <w:szCs w:val="32"/>
        </w:rPr>
        <w:t>。</w:t>
      </w:r>
    </w:p>
    <w:p>
      <w:pPr>
        <w:spacing w:line="480" w:lineRule="auto"/>
        <w:ind w:firstLine="640" w:firstLineChars="200"/>
        <w:rPr>
          <w:rFonts w:ascii="楷体_GB2312" w:eastAsia="楷体_GB2312"/>
          <w:color w:val="000000" w:themeColor="text1"/>
          <w:sz w:val="32"/>
          <w:szCs w:val="32"/>
        </w:rPr>
      </w:pPr>
      <w:r>
        <w:rPr>
          <w:rFonts w:hint="eastAsia" w:ascii="楷体_GB2312" w:eastAsia="楷体_GB2312"/>
          <w:color w:val="000000" w:themeColor="text1"/>
          <w:sz w:val="32"/>
          <w:szCs w:val="32"/>
        </w:rPr>
        <w:t>（二）支出情况说明</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2022年支出预算</w:t>
      </w:r>
      <w:r>
        <w:rPr>
          <w:rFonts w:ascii="仿宋_GB2312" w:eastAsia="仿宋_GB2312"/>
          <w:color w:val="000000" w:themeColor="text1"/>
          <w:sz w:val="32"/>
          <w:szCs w:val="32"/>
        </w:rPr>
        <w:t>48584.21</w:t>
      </w:r>
      <w:r>
        <w:rPr>
          <w:rFonts w:hint="eastAsia" w:ascii="仿宋_GB2312" w:eastAsia="仿宋_GB2312"/>
          <w:color w:val="000000" w:themeColor="text1"/>
          <w:sz w:val="32"/>
          <w:szCs w:val="32"/>
        </w:rPr>
        <w:t>万元，比2021年</w:t>
      </w:r>
      <w:r>
        <w:rPr>
          <w:rFonts w:ascii="仿宋_GB2312" w:eastAsia="仿宋_GB2312"/>
          <w:color w:val="000000" w:themeColor="text1"/>
          <w:sz w:val="32"/>
          <w:szCs w:val="32"/>
        </w:rPr>
        <w:t>45963.92</w:t>
      </w:r>
      <w:r>
        <w:rPr>
          <w:rFonts w:hint="eastAsia" w:ascii="仿宋_GB2312" w:eastAsia="仿宋_GB2312"/>
          <w:color w:val="000000" w:themeColor="text1"/>
          <w:sz w:val="32"/>
          <w:szCs w:val="32"/>
        </w:rPr>
        <w:t>万元增加</w:t>
      </w:r>
      <w:r>
        <w:rPr>
          <w:rFonts w:ascii="仿宋_GB2312" w:eastAsia="仿宋_GB2312"/>
          <w:color w:val="000000" w:themeColor="text1"/>
          <w:sz w:val="32"/>
          <w:szCs w:val="32"/>
        </w:rPr>
        <w:t>2620.29</w:t>
      </w:r>
      <w:r>
        <w:rPr>
          <w:rFonts w:hint="eastAsia" w:ascii="仿宋_GB2312" w:eastAsia="仿宋_GB2312"/>
          <w:color w:val="000000" w:themeColor="text1"/>
          <w:sz w:val="32"/>
          <w:szCs w:val="32"/>
        </w:rPr>
        <w:t>万元，增长</w:t>
      </w:r>
      <w:r>
        <w:rPr>
          <w:rFonts w:ascii="仿宋_GB2312" w:eastAsia="仿宋_GB2312"/>
          <w:color w:val="000000" w:themeColor="text1"/>
          <w:sz w:val="32"/>
          <w:szCs w:val="32"/>
        </w:rPr>
        <w:t>5.70</w:t>
      </w:r>
      <w:r>
        <w:rPr>
          <w:rFonts w:hint="eastAsia" w:ascii="仿宋_GB2312" w:eastAsia="仿宋_GB2312"/>
          <w:color w:val="000000" w:themeColor="text1"/>
          <w:sz w:val="32"/>
          <w:szCs w:val="32"/>
        </w:rPr>
        <w:t>%。</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基本支出预算28800.59万元，占总支出预算</w:t>
      </w:r>
      <w:r>
        <w:rPr>
          <w:rFonts w:ascii="仿宋_GB2312" w:eastAsia="仿宋_GB2312"/>
          <w:color w:val="000000" w:themeColor="text1"/>
          <w:sz w:val="32"/>
          <w:szCs w:val="32"/>
        </w:rPr>
        <w:t>59.28</w:t>
      </w:r>
      <w:r>
        <w:rPr>
          <w:rFonts w:hint="eastAsia" w:ascii="仿宋_GB2312" w:eastAsia="仿宋_GB2312"/>
          <w:color w:val="000000" w:themeColor="text1"/>
          <w:sz w:val="32"/>
          <w:szCs w:val="32"/>
        </w:rPr>
        <w:t>%，比2021年</w:t>
      </w:r>
      <w:r>
        <w:rPr>
          <w:rFonts w:ascii="仿宋_GB2312" w:eastAsia="仿宋_GB2312"/>
          <w:color w:val="000000" w:themeColor="text1"/>
          <w:sz w:val="32"/>
          <w:szCs w:val="32"/>
        </w:rPr>
        <w:t>25663.18</w:t>
      </w:r>
      <w:r>
        <w:rPr>
          <w:rFonts w:hint="eastAsia" w:ascii="仿宋_GB2312" w:eastAsia="仿宋_GB2312"/>
          <w:color w:val="000000" w:themeColor="text1"/>
          <w:sz w:val="32"/>
          <w:szCs w:val="32"/>
        </w:rPr>
        <w:t>万元增加</w:t>
      </w:r>
      <w:r>
        <w:rPr>
          <w:rFonts w:ascii="仿宋_GB2312" w:eastAsia="仿宋_GB2312"/>
          <w:color w:val="000000" w:themeColor="text1"/>
          <w:sz w:val="32"/>
          <w:szCs w:val="32"/>
        </w:rPr>
        <w:t>3137.41</w:t>
      </w:r>
      <w:r>
        <w:rPr>
          <w:rFonts w:hint="eastAsia" w:ascii="仿宋_GB2312" w:eastAsia="仿宋_GB2312"/>
          <w:color w:val="000000" w:themeColor="text1"/>
          <w:sz w:val="32"/>
          <w:szCs w:val="32"/>
        </w:rPr>
        <w:t>万元，增长</w:t>
      </w:r>
      <w:r>
        <w:rPr>
          <w:rFonts w:ascii="仿宋_GB2312" w:eastAsia="仿宋_GB2312"/>
          <w:color w:val="000000" w:themeColor="text1"/>
          <w:sz w:val="32"/>
          <w:szCs w:val="32"/>
        </w:rPr>
        <w:t>12.23</w:t>
      </w:r>
      <w:r>
        <w:rPr>
          <w:rFonts w:hint="eastAsia" w:ascii="仿宋_GB2312" w:eastAsia="仿宋_GB2312"/>
          <w:color w:val="000000" w:themeColor="text1"/>
          <w:sz w:val="32"/>
          <w:szCs w:val="32"/>
        </w:rPr>
        <w:t>%。增长</w:t>
      </w:r>
      <w:r>
        <w:rPr>
          <w:rFonts w:ascii="仿宋_GB2312" w:eastAsia="仿宋_GB2312"/>
          <w:color w:val="000000" w:themeColor="text1"/>
          <w:sz w:val="32"/>
          <w:szCs w:val="32"/>
        </w:rPr>
        <w:t>的</w:t>
      </w:r>
      <w:r>
        <w:rPr>
          <w:rFonts w:hint="eastAsia" w:ascii="仿宋_GB2312" w:eastAsia="仿宋_GB2312"/>
          <w:color w:val="000000" w:themeColor="text1"/>
          <w:sz w:val="32"/>
          <w:szCs w:val="32"/>
        </w:rPr>
        <w:t>主要</w:t>
      </w:r>
      <w:r>
        <w:rPr>
          <w:rFonts w:ascii="仿宋_GB2312" w:eastAsia="仿宋_GB2312"/>
          <w:color w:val="000000" w:themeColor="text1"/>
          <w:sz w:val="32"/>
          <w:szCs w:val="32"/>
        </w:rPr>
        <w:t>原因是</w:t>
      </w:r>
      <w:r>
        <w:rPr>
          <w:rFonts w:hint="eastAsia" w:ascii="仿宋_GB2312" w:eastAsia="仿宋_GB2312"/>
          <w:color w:val="000000" w:themeColor="text1"/>
          <w:sz w:val="32"/>
          <w:szCs w:val="32"/>
        </w:rPr>
        <w:t>机构</w:t>
      </w:r>
      <w:r>
        <w:rPr>
          <w:rFonts w:ascii="仿宋_GB2312" w:eastAsia="仿宋_GB2312"/>
          <w:color w:val="000000" w:themeColor="text1"/>
          <w:sz w:val="32"/>
          <w:szCs w:val="32"/>
        </w:rPr>
        <w:t>改革，</w:t>
      </w:r>
      <w:r>
        <w:rPr>
          <w:rFonts w:hint="eastAsia" w:ascii="仿宋_GB2312" w:eastAsia="仿宋_GB2312"/>
          <w:color w:val="000000" w:themeColor="text1"/>
          <w:sz w:val="32"/>
          <w:szCs w:val="32"/>
        </w:rPr>
        <w:t>其他单位人员、</w:t>
      </w:r>
      <w:r>
        <w:rPr>
          <w:rFonts w:ascii="仿宋_GB2312" w:eastAsia="仿宋_GB2312"/>
          <w:color w:val="000000" w:themeColor="text1"/>
          <w:sz w:val="32"/>
          <w:szCs w:val="32"/>
        </w:rPr>
        <w:t>资产等</w:t>
      </w:r>
      <w:r>
        <w:rPr>
          <w:rFonts w:hint="eastAsia" w:ascii="仿宋_GB2312" w:eastAsia="仿宋_GB2312"/>
          <w:color w:val="000000" w:themeColor="text1"/>
          <w:sz w:val="32"/>
          <w:szCs w:val="32"/>
        </w:rPr>
        <w:t>划入总队，费用增加。项目支出预算</w:t>
      </w:r>
      <w:r>
        <w:rPr>
          <w:rFonts w:ascii="仿宋_GB2312" w:eastAsia="仿宋_GB2312"/>
          <w:color w:val="000000" w:themeColor="text1"/>
          <w:sz w:val="32"/>
          <w:szCs w:val="32"/>
        </w:rPr>
        <w:t>19783.62</w:t>
      </w:r>
      <w:r>
        <w:rPr>
          <w:rFonts w:hint="eastAsia" w:ascii="仿宋_GB2312" w:eastAsia="仿宋_GB2312"/>
          <w:color w:val="000000" w:themeColor="text1"/>
          <w:sz w:val="32"/>
          <w:szCs w:val="32"/>
        </w:rPr>
        <w:t>万元，比2021年20300.74万元减少</w:t>
      </w:r>
      <w:r>
        <w:rPr>
          <w:rFonts w:ascii="仿宋_GB2312" w:eastAsia="仿宋_GB2312"/>
          <w:color w:val="000000" w:themeColor="text1"/>
          <w:sz w:val="32"/>
          <w:szCs w:val="32"/>
        </w:rPr>
        <w:t>517.12</w:t>
      </w:r>
      <w:r>
        <w:rPr>
          <w:rFonts w:hint="eastAsia" w:ascii="仿宋_GB2312" w:eastAsia="仿宋_GB2312"/>
          <w:color w:val="000000" w:themeColor="text1"/>
          <w:sz w:val="32"/>
          <w:szCs w:val="32"/>
        </w:rPr>
        <w:t>万元，降低</w:t>
      </w:r>
      <w:r>
        <w:rPr>
          <w:rFonts w:ascii="仿宋_GB2312" w:eastAsia="仿宋_GB2312"/>
          <w:color w:val="000000" w:themeColor="text1"/>
          <w:sz w:val="32"/>
          <w:szCs w:val="32"/>
        </w:rPr>
        <w:t>2.55</w:t>
      </w:r>
      <w:r>
        <w:rPr>
          <w:rFonts w:hint="eastAsia" w:ascii="仿宋_GB2312" w:eastAsia="仿宋_GB2312"/>
          <w:color w:val="000000" w:themeColor="text1"/>
          <w:sz w:val="32"/>
          <w:szCs w:val="32"/>
        </w:rPr>
        <w:t>%，减少的</w:t>
      </w:r>
      <w:r>
        <w:rPr>
          <w:rFonts w:ascii="仿宋_GB2312" w:eastAsia="仿宋_GB2312"/>
          <w:color w:val="000000" w:themeColor="text1"/>
          <w:sz w:val="32"/>
          <w:szCs w:val="32"/>
        </w:rPr>
        <w:t>主要</w:t>
      </w:r>
      <w:r>
        <w:rPr>
          <w:rFonts w:hint="eastAsia" w:ascii="仿宋_GB2312" w:eastAsia="仿宋_GB2312"/>
          <w:color w:val="000000" w:themeColor="text1"/>
          <w:sz w:val="32"/>
          <w:szCs w:val="32"/>
        </w:rPr>
        <w:t>原因是继续坚决贯彻落实政府过“紧日子”的要求，从严从紧安排各项支出，压减部分</w:t>
      </w:r>
      <w:r>
        <w:rPr>
          <w:rFonts w:ascii="仿宋_GB2312" w:eastAsia="仿宋_GB2312"/>
          <w:color w:val="000000" w:themeColor="text1"/>
          <w:sz w:val="32"/>
          <w:szCs w:val="32"/>
        </w:rPr>
        <w:t>项目经费</w:t>
      </w:r>
      <w:r>
        <w:rPr>
          <w:rFonts w:hint="eastAsia" w:ascii="仿宋_GB2312" w:eastAsia="仿宋_GB2312"/>
          <w:color w:val="000000" w:themeColor="text1"/>
          <w:sz w:val="32"/>
          <w:szCs w:val="32"/>
        </w:rPr>
        <w:t>。</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1.事业单位经营支出</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2.上缴上级支出</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3.对附属单位补助支出</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p>
    <w:p>
      <w:pPr>
        <w:spacing w:line="480" w:lineRule="auto"/>
        <w:ind w:firstLine="640" w:firstLineChars="200"/>
        <w:rPr>
          <w:rFonts w:ascii="黑体" w:eastAsia="黑体"/>
          <w:color w:val="000000" w:themeColor="text1"/>
          <w:sz w:val="32"/>
          <w:szCs w:val="32"/>
        </w:rPr>
      </w:pPr>
      <w:r>
        <w:rPr>
          <w:rFonts w:hint="eastAsia" w:ascii="黑体" w:eastAsia="黑体"/>
          <w:color w:val="000000" w:themeColor="text1"/>
          <w:sz w:val="32"/>
          <w:szCs w:val="32"/>
        </w:rPr>
        <w:t>三、主要支出情况</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单位预算项目主要为轨道交通执法运营安全专职督查员经费项目、北京市交通运输行政执法综合管理信息系统项目、交通执法暂扣车辆保管项目等。</w:t>
      </w:r>
    </w:p>
    <w:p>
      <w:pPr>
        <w:spacing w:line="480" w:lineRule="auto"/>
        <w:ind w:firstLine="640" w:firstLineChars="200"/>
        <w:rPr>
          <w:rFonts w:ascii="黑体" w:eastAsia="黑体"/>
          <w:color w:val="000000" w:themeColor="text1"/>
          <w:sz w:val="32"/>
          <w:szCs w:val="32"/>
        </w:rPr>
      </w:pPr>
      <w:r>
        <w:rPr>
          <w:rFonts w:hint="eastAsia" w:ascii="黑体" w:eastAsia="黑体"/>
          <w:color w:val="000000" w:themeColor="text1"/>
          <w:sz w:val="32"/>
          <w:szCs w:val="32"/>
        </w:rPr>
        <w:t>四、单位“三公”经费财政拨款预算说明</w:t>
      </w:r>
    </w:p>
    <w:p>
      <w:pPr>
        <w:spacing w:line="480" w:lineRule="auto"/>
        <w:ind w:firstLine="640" w:firstLineChars="200"/>
        <w:rPr>
          <w:rFonts w:ascii="楷体_GB2312" w:eastAsia="楷体_GB2312"/>
          <w:color w:val="000000" w:themeColor="text1"/>
          <w:sz w:val="32"/>
          <w:szCs w:val="32"/>
        </w:rPr>
      </w:pPr>
      <w:r>
        <w:rPr>
          <w:rFonts w:hint="eastAsia" w:ascii="楷体_GB2312" w:eastAsia="楷体_GB2312"/>
          <w:color w:val="000000" w:themeColor="text1"/>
          <w:sz w:val="32"/>
          <w:szCs w:val="32"/>
        </w:rPr>
        <w:t>（一）“三公”经费的单位范围</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北京市交通运输综合执法总队因公出国（境）费用、公务接待费、公务用车购置和运行维护费开支单位包括1个所属单位。</w:t>
      </w:r>
    </w:p>
    <w:p>
      <w:pPr>
        <w:spacing w:line="480" w:lineRule="auto"/>
        <w:ind w:firstLine="640" w:firstLineChars="200"/>
        <w:rPr>
          <w:rFonts w:ascii="楷体_GB2312" w:eastAsia="楷体_GB2312"/>
          <w:color w:val="000000" w:themeColor="text1"/>
          <w:sz w:val="32"/>
          <w:szCs w:val="32"/>
        </w:rPr>
      </w:pPr>
      <w:r>
        <w:rPr>
          <w:rFonts w:hint="eastAsia" w:ascii="楷体_GB2312" w:eastAsia="楷体_GB2312"/>
          <w:color w:val="000000" w:themeColor="text1"/>
          <w:sz w:val="32"/>
          <w:szCs w:val="32"/>
        </w:rPr>
        <w:t>（二）“三公”经费预算财政拨款情况说明</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2022年“三公”经费财政拨款预算373.72万元，比2021年“三公”经费财政拨款预算增加111.68万元。其中：</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1.因公出国（境）费用。2022年预算数0万元，与2021年持平。</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2.公务接待费。2022年预算数1.72万元，与2021年预算数1.72万元持平。</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3.公务用车购置和运行维护费。2022年预算数372.00万元，其中，公务用车购置费2022年预算数0万元，与2021年预算数0万元持平；公务用车运行维护费2022年预算数372.00万元，其中：公务用车加油160.00万元，公务用车维修92.00万元，公务用车保险70.00万元，其他50.00万元。比2021年预算数260.32万元增加111.68万元，主要原因：部分公务用车原使用事业基金保障，执法机构改革后，2022年全额使用财政拨款保障。</w:t>
      </w:r>
    </w:p>
    <w:p>
      <w:pPr>
        <w:spacing w:line="480" w:lineRule="auto"/>
        <w:ind w:firstLine="640" w:firstLineChars="200"/>
        <w:rPr>
          <w:rFonts w:ascii="黑体" w:eastAsia="黑体"/>
          <w:color w:val="000000" w:themeColor="text1"/>
          <w:sz w:val="32"/>
          <w:szCs w:val="32"/>
        </w:rPr>
      </w:pPr>
      <w:r>
        <w:rPr>
          <w:rFonts w:hint="eastAsia" w:ascii="黑体" w:eastAsia="黑体"/>
          <w:color w:val="000000" w:themeColor="text1"/>
          <w:sz w:val="32"/>
          <w:szCs w:val="32"/>
        </w:rPr>
        <w:t>五、其他情况说明</w:t>
      </w:r>
    </w:p>
    <w:p>
      <w:pPr>
        <w:spacing w:line="480" w:lineRule="auto"/>
        <w:ind w:firstLine="640" w:firstLineChars="200"/>
        <w:rPr>
          <w:rFonts w:ascii="楷体_GB2312" w:eastAsia="楷体_GB2312"/>
          <w:color w:val="000000" w:themeColor="text1"/>
          <w:sz w:val="32"/>
          <w:szCs w:val="32"/>
        </w:rPr>
      </w:pPr>
      <w:r>
        <w:rPr>
          <w:rFonts w:hint="eastAsia" w:ascii="楷体_GB2312" w:eastAsia="楷体_GB2312"/>
          <w:color w:val="000000" w:themeColor="text1"/>
          <w:sz w:val="32"/>
          <w:szCs w:val="32"/>
        </w:rPr>
        <w:t>（一）政府采购预算说明</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2022年北京市交通运输综合执法总队政府采购预算总额4705.37万元。其中：政府采购货物预算</w:t>
      </w:r>
      <w:r>
        <w:rPr>
          <w:rFonts w:ascii="仿宋_GB2312" w:eastAsia="仿宋_GB2312"/>
          <w:color w:val="000000" w:themeColor="text1"/>
          <w:sz w:val="32"/>
          <w:szCs w:val="32"/>
        </w:rPr>
        <w:t>1736.88</w:t>
      </w:r>
      <w:r>
        <w:rPr>
          <w:rFonts w:hint="eastAsia" w:ascii="仿宋_GB2312" w:eastAsia="仿宋_GB2312"/>
          <w:color w:val="000000" w:themeColor="text1"/>
          <w:sz w:val="32"/>
          <w:szCs w:val="32"/>
        </w:rPr>
        <w:t>万元，政府采购服务预算</w:t>
      </w:r>
      <w:r>
        <w:rPr>
          <w:rFonts w:ascii="仿宋_GB2312" w:eastAsia="仿宋_GB2312"/>
          <w:color w:val="000000" w:themeColor="text1"/>
          <w:sz w:val="32"/>
          <w:szCs w:val="32"/>
        </w:rPr>
        <w:t>2968.49</w:t>
      </w:r>
      <w:r>
        <w:rPr>
          <w:rFonts w:hint="eastAsia" w:ascii="仿宋_GB2312" w:eastAsia="仿宋_GB2312"/>
          <w:color w:val="000000" w:themeColor="text1"/>
          <w:sz w:val="32"/>
          <w:szCs w:val="32"/>
        </w:rPr>
        <w:t>万元。</w:t>
      </w:r>
    </w:p>
    <w:p>
      <w:pPr>
        <w:spacing w:line="480" w:lineRule="auto"/>
        <w:ind w:firstLine="640" w:firstLineChars="200"/>
        <w:rPr>
          <w:rFonts w:ascii="楷体_GB2312" w:eastAsia="楷体_GB2312"/>
          <w:color w:val="000000" w:themeColor="text1"/>
          <w:sz w:val="32"/>
          <w:szCs w:val="32"/>
        </w:rPr>
      </w:pPr>
      <w:r>
        <w:rPr>
          <w:rFonts w:hint="eastAsia" w:ascii="楷体_GB2312" w:eastAsia="楷体_GB2312"/>
          <w:color w:val="000000" w:themeColor="text1"/>
          <w:sz w:val="32"/>
          <w:szCs w:val="32"/>
        </w:rPr>
        <w:t>（二）政府购买服务预算说明</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2022年北京市交通运输综合执法总队政府购买服务预算总额6243.73万元。</w:t>
      </w:r>
    </w:p>
    <w:p>
      <w:pPr>
        <w:spacing w:line="480" w:lineRule="auto"/>
        <w:ind w:firstLine="640" w:firstLineChars="200"/>
        <w:rPr>
          <w:rFonts w:ascii="楷体_GB2312" w:eastAsia="楷体_GB2312"/>
          <w:color w:val="000000" w:themeColor="text1"/>
          <w:sz w:val="32"/>
          <w:szCs w:val="32"/>
        </w:rPr>
      </w:pPr>
      <w:r>
        <w:rPr>
          <w:rFonts w:hint="eastAsia" w:ascii="楷体_GB2312" w:eastAsia="楷体_GB2312"/>
          <w:color w:val="000000" w:themeColor="text1"/>
          <w:sz w:val="32"/>
          <w:szCs w:val="32"/>
        </w:rPr>
        <w:t>（三）机关运行经费说明</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2022年北京市交通运输综合执法总队机关运行经费财政拨款预算</w:t>
      </w:r>
      <w:r>
        <w:rPr>
          <w:rFonts w:ascii="仿宋_GB2312" w:eastAsia="仿宋_GB2312"/>
          <w:color w:val="000000" w:themeColor="text1"/>
          <w:sz w:val="32"/>
          <w:szCs w:val="32"/>
        </w:rPr>
        <w:t>3934.10</w:t>
      </w:r>
      <w:r>
        <w:rPr>
          <w:rFonts w:hint="eastAsia" w:ascii="仿宋_GB2312" w:eastAsia="仿宋_GB2312"/>
          <w:color w:val="000000" w:themeColor="text1"/>
          <w:sz w:val="32"/>
          <w:szCs w:val="32"/>
        </w:rPr>
        <w:t>万元。</w:t>
      </w:r>
    </w:p>
    <w:p>
      <w:pPr>
        <w:spacing w:line="480" w:lineRule="auto"/>
        <w:ind w:firstLine="640" w:firstLineChars="200"/>
        <w:rPr>
          <w:rFonts w:ascii="楷体_GB2312" w:eastAsia="楷体_GB2312"/>
          <w:color w:val="000000" w:themeColor="text1"/>
          <w:sz w:val="32"/>
          <w:szCs w:val="32"/>
        </w:rPr>
      </w:pPr>
      <w:r>
        <w:rPr>
          <w:rFonts w:hint="eastAsia" w:ascii="楷体_GB2312" w:eastAsia="楷体_GB2312"/>
          <w:color w:val="000000" w:themeColor="text1"/>
          <w:sz w:val="32"/>
          <w:szCs w:val="32"/>
        </w:rPr>
        <w:t>（四）项目支出绩效目标情况说明</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2022年，北京市交通运输综合执法总队填报绩效目标的预算项目17个，占全部预算项目17个的100%。填报绩效目标的项目支出预算18955.32万元，占本单位全部项目支出预算的100%。</w:t>
      </w:r>
    </w:p>
    <w:p>
      <w:pPr>
        <w:spacing w:line="480" w:lineRule="auto"/>
        <w:ind w:firstLine="640" w:firstLineChars="200"/>
        <w:rPr>
          <w:rFonts w:ascii="楷体_GB2312" w:eastAsia="楷体_GB2312"/>
          <w:color w:val="000000" w:themeColor="text1"/>
          <w:sz w:val="32"/>
          <w:szCs w:val="32"/>
        </w:rPr>
      </w:pPr>
      <w:r>
        <w:rPr>
          <w:rFonts w:hint="eastAsia" w:ascii="楷体_GB2312" w:eastAsia="楷体_GB2312"/>
          <w:color w:val="000000" w:themeColor="text1"/>
          <w:sz w:val="32"/>
          <w:szCs w:val="32"/>
        </w:rPr>
        <w:t>（五）重点行政事业性收费情况说明</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本单位2022年无重点行政事业性收费。</w:t>
      </w:r>
    </w:p>
    <w:p>
      <w:pPr>
        <w:spacing w:line="480" w:lineRule="auto"/>
        <w:ind w:firstLine="640" w:firstLineChars="200"/>
        <w:rPr>
          <w:rFonts w:ascii="楷体_GB2312" w:eastAsia="楷体_GB2312"/>
          <w:color w:val="000000" w:themeColor="text1"/>
          <w:sz w:val="32"/>
          <w:szCs w:val="32"/>
        </w:rPr>
      </w:pPr>
      <w:r>
        <w:rPr>
          <w:rFonts w:hint="eastAsia" w:ascii="楷体_GB2312" w:eastAsia="楷体_GB2312"/>
          <w:color w:val="000000" w:themeColor="text1"/>
          <w:sz w:val="32"/>
          <w:szCs w:val="32"/>
        </w:rPr>
        <w:t>（六）国有资本经营预算财政拨款情况说明</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本单位2022年无国有资本经营预算财政拨款安排的预算。</w:t>
      </w:r>
    </w:p>
    <w:p>
      <w:pPr>
        <w:spacing w:line="480" w:lineRule="auto"/>
        <w:ind w:firstLine="640" w:firstLineChars="200"/>
        <w:rPr>
          <w:rFonts w:ascii="楷体_GB2312" w:eastAsia="楷体_GB2312"/>
          <w:color w:val="000000" w:themeColor="text1"/>
          <w:sz w:val="32"/>
          <w:szCs w:val="32"/>
        </w:rPr>
      </w:pPr>
      <w:r>
        <w:rPr>
          <w:rFonts w:hint="eastAsia" w:ascii="楷体_GB2312" w:eastAsia="楷体_GB2312"/>
          <w:color w:val="000000" w:themeColor="text1"/>
          <w:sz w:val="32"/>
          <w:szCs w:val="32"/>
        </w:rPr>
        <w:t>（七）国有资产占用情况说明</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截至2021年底，北京市交通运输综合执法总队共有车辆96台，共计3131.32万元；单位价值50万元以上的通用设备11台（套），共计2152.83万元，单位价值100万元以上的专用设备1台（套）、共计142.61万元。</w:t>
      </w:r>
    </w:p>
    <w:p>
      <w:pPr>
        <w:spacing w:line="480" w:lineRule="auto"/>
        <w:ind w:firstLine="640" w:firstLineChars="200"/>
        <w:rPr>
          <w:rFonts w:ascii="仿宋_GB2312" w:eastAsia="仿宋_GB2312"/>
          <w:color w:val="000000" w:themeColor="text1"/>
          <w:spacing w:val="-2"/>
          <w:sz w:val="32"/>
          <w:szCs w:val="32"/>
        </w:rPr>
      </w:pPr>
      <w:r>
        <w:rPr>
          <w:rFonts w:hint="eastAsia" w:ascii="黑体" w:eastAsia="黑体"/>
          <w:color w:val="000000" w:themeColor="text1"/>
          <w:sz w:val="32"/>
          <w:szCs w:val="32"/>
        </w:rPr>
        <w:t>六、名词解释</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基本支出：指为保障机构正常运转、完成日常工作任务而发生的人员支出和公用支出。</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项目支出：指在基本支出之外为完成特定行政任务或事业发展目标所发生的支出。</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“三公”经费财政拨款预算数：指本单位当年单位预算安排的因公出国（境）费用、公务接待费、公务用车购置和运行维护费预算数。</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widowControl/>
        <w:jc w:val="left"/>
        <w:rPr>
          <w:rFonts w:ascii="方正小标宋简体" w:eastAsia="方正小标宋简体"/>
          <w:color w:val="000000" w:themeColor="text1"/>
          <w:sz w:val="36"/>
          <w:szCs w:val="36"/>
        </w:rPr>
      </w:pPr>
      <w:r>
        <w:rPr>
          <w:rFonts w:ascii="方正小标宋简体" w:eastAsia="方正小标宋简体"/>
          <w:color w:val="000000" w:themeColor="text1"/>
          <w:sz w:val="36"/>
          <w:szCs w:val="36"/>
        </w:rPr>
        <w:br w:type="page"/>
      </w:r>
    </w:p>
    <w:p>
      <w:pPr>
        <w:spacing w:line="480" w:lineRule="auto"/>
        <w:ind w:firstLine="720" w:firstLineChars="200"/>
        <w:jc w:val="center"/>
        <w:rPr>
          <w:rFonts w:ascii="方正小标宋简体" w:eastAsia="方正小标宋简体"/>
          <w:color w:val="000000" w:themeColor="text1"/>
          <w:sz w:val="36"/>
          <w:szCs w:val="36"/>
        </w:rPr>
      </w:pPr>
      <w:r>
        <w:rPr>
          <w:rFonts w:hint="eastAsia" w:ascii="方正小标宋简体" w:eastAsia="方正小标宋简体"/>
          <w:color w:val="000000" w:themeColor="text1"/>
          <w:sz w:val="36"/>
          <w:szCs w:val="36"/>
        </w:rPr>
        <w:t>第二部分  2022年单位预算报表</w:t>
      </w:r>
    </w:p>
    <w:p>
      <w:pPr>
        <w:autoSpaceDE w:val="0"/>
        <w:autoSpaceDN w:val="0"/>
        <w:adjustRightInd w:val="0"/>
        <w:spacing w:line="480" w:lineRule="auto"/>
        <w:ind w:firstLine="720" w:firstLineChars="200"/>
        <w:jc w:val="left"/>
        <w:rPr>
          <w:rFonts w:ascii="方正小标宋简体" w:eastAsia="方正小标宋简体"/>
          <w:color w:val="000000" w:themeColor="text1"/>
          <w:sz w:val="36"/>
          <w:szCs w:val="36"/>
        </w:rPr>
      </w:pPr>
    </w:p>
    <w:p>
      <w:pPr>
        <w:spacing w:line="48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附件：北京市</w:t>
      </w:r>
      <w:r>
        <w:rPr>
          <w:rFonts w:ascii="仿宋_GB2312" w:eastAsia="仿宋_GB2312"/>
          <w:color w:val="000000" w:themeColor="text1"/>
          <w:sz w:val="32"/>
          <w:szCs w:val="32"/>
        </w:rPr>
        <w:t>交通运输综合执法总队</w:t>
      </w:r>
      <w:r>
        <w:rPr>
          <w:rFonts w:hint="eastAsia" w:ascii="仿宋_GB2312" w:eastAsia="仿宋_GB2312"/>
          <w:color w:val="000000" w:themeColor="text1"/>
          <w:sz w:val="32"/>
          <w:szCs w:val="32"/>
        </w:rPr>
        <w:t>单位2022年度单位预算报表</w:t>
      </w:r>
      <w:r>
        <w:rPr>
          <w:rFonts w:hint="eastAsia" w:ascii="仿宋_GB2312" w:eastAsia="仿宋_GB2312" w:cs="宋体"/>
          <w:color w:val="000000" w:themeColor="text1"/>
          <w:kern w:val="0"/>
          <w:sz w:val="32"/>
          <w:szCs w:val="32"/>
          <w:lang w:val="zh-CN"/>
        </w:rPr>
        <w:t xml:space="preserve"> </w:t>
      </w:r>
    </w:p>
    <w:p>
      <w:pPr>
        <w:spacing w:line="480" w:lineRule="auto"/>
        <w:rPr>
          <w:rFonts w:ascii="仿宋_GB2312" w:eastAsia="仿宋_GB2312"/>
          <w:color w:val="000000" w:themeColor="text1"/>
          <w:sz w:val="32"/>
          <w:szCs w:val="32"/>
        </w:rPr>
      </w:pPr>
      <w:bookmarkStart w:id="0" w:name="chaosong"/>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pict>
        <v:shape id="_x0000_s4097" o:spid="_x0000_s4097" o:spt="202" type="#_x0000_t202" style="position:absolute;left:0pt;margin-top:0pt;height:18.15pt;width:7.75pt;mso-position-horizontal:outside;mso-position-horizontal-relative:margin;mso-wrap-distance-bottom:0pt;mso-wrap-distance-left:0pt;mso-wrap-distance-right:0pt;mso-wrap-distance-top:0pt;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jc w:val="right"/>
                  <w:rPr>
                    <w:rStyle w:val="8"/>
                    <w:rFonts w:ascii="宋体"/>
                    <w:sz w:val="28"/>
                    <w:szCs w:val="28"/>
                  </w:rPr>
                </w:pPr>
                <w:r>
                  <w:rPr>
                    <w:rStyle w:val="8"/>
                    <w:rFonts w:hint="eastAsia" w:ascii="宋体"/>
                    <w:sz w:val="28"/>
                    <w:szCs w:val="28"/>
                  </w:rPr>
                  <w:t>1</w:t>
                </w:r>
              </w:p>
            </w:txbxContent>
          </v:textbox>
          <w10:wrap type="square"/>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F33DF"/>
    <w:rsid w:val="00037E8D"/>
    <w:rsid w:val="000C1D84"/>
    <w:rsid w:val="00130465"/>
    <w:rsid w:val="00153A42"/>
    <w:rsid w:val="001E4362"/>
    <w:rsid w:val="00290A59"/>
    <w:rsid w:val="002D32E8"/>
    <w:rsid w:val="003509E4"/>
    <w:rsid w:val="00421025"/>
    <w:rsid w:val="004C01AF"/>
    <w:rsid w:val="00515FC7"/>
    <w:rsid w:val="005B313A"/>
    <w:rsid w:val="005E7D8A"/>
    <w:rsid w:val="00635DE3"/>
    <w:rsid w:val="00686ED5"/>
    <w:rsid w:val="006D02C3"/>
    <w:rsid w:val="006E4A71"/>
    <w:rsid w:val="007231B6"/>
    <w:rsid w:val="007E705B"/>
    <w:rsid w:val="0081205D"/>
    <w:rsid w:val="00937FA5"/>
    <w:rsid w:val="00946086"/>
    <w:rsid w:val="00966E2B"/>
    <w:rsid w:val="00A114E0"/>
    <w:rsid w:val="00A505CE"/>
    <w:rsid w:val="00A65521"/>
    <w:rsid w:val="00B201B0"/>
    <w:rsid w:val="00B6146A"/>
    <w:rsid w:val="00BF3447"/>
    <w:rsid w:val="00C76403"/>
    <w:rsid w:val="00C94BD0"/>
    <w:rsid w:val="00D02BB3"/>
    <w:rsid w:val="00D47C1A"/>
    <w:rsid w:val="00DA4F0F"/>
    <w:rsid w:val="00DF33DF"/>
    <w:rsid w:val="00E25255"/>
    <w:rsid w:val="00F327C2"/>
    <w:rsid w:val="00FC4A00"/>
    <w:rsid w:val="00FE6750"/>
    <w:rsid w:val="10B24BFB"/>
    <w:rsid w:val="5D446B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qFormat/>
    <w:uiPriority w:val="0"/>
  </w:style>
  <w:style w:type="character" w:customStyle="1" w:styleId="9">
    <w:name w:val="页眉 Char"/>
    <w:basedOn w:val="7"/>
    <w:link w:val="5"/>
    <w:qFormat/>
    <w:uiPriority w:val="0"/>
    <w:rPr>
      <w:sz w:val="18"/>
      <w:szCs w:val="18"/>
    </w:rPr>
  </w:style>
  <w:style w:type="character" w:customStyle="1" w:styleId="10">
    <w:name w:val="页脚 Char"/>
    <w:basedOn w:val="7"/>
    <w:link w:val="4"/>
    <w:semiHidden/>
    <w:qFormat/>
    <w:uiPriority w:val="99"/>
    <w:rPr>
      <w:sz w:val="18"/>
      <w:szCs w:val="18"/>
    </w:rPr>
  </w:style>
  <w:style w:type="character" w:customStyle="1" w:styleId="11">
    <w:name w:val="标题 2 Char"/>
    <w:basedOn w:val="7"/>
    <w:link w:val="2"/>
    <w:qFormat/>
    <w:uiPriority w:val="9"/>
    <w:rPr>
      <w:rFonts w:asciiTheme="majorHAnsi" w:hAnsiTheme="majorHAnsi" w:eastAsiaTheme="majorEastAsia" w:cstheme="majorBidi"/>
      <w:b/>
      <w:bCs/>
      <w:sz w:val="32"/>
      <w:szCs w:val="32"/>
    </w:rPr>
  </w:style>
  <w:style w:type="character" w:customStyle="1" w:styleId="12">
    <w:name w:val="批注框文本 Char"/>
    <w:basedOn w:val="7"/>
    <w:link w:val="3"/>
    <w:semiHidden/>
    <w:qFormat/>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461</Words>
  <Characters>2632</Characters>
  <Lines>21</Lines>
  <Paragraphs>6</Paragraphs>
  <TotalTime>2</TotalTime>
  <ScaleCrop>false</ScaleCrop>
  <LinksUpToDate>false</LinksUpToDate>
  <CharactersWithSpaces>3087</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2022-02-14T01:57:00Z</dcterms:created>
  <dc:creator>任邯丽</dc:creator>
  <cp:lastModifiedBy>謩色苍茫</cp:lastModifiedBy>
  <cp:lastPrinted>2022-02-16T09:07:00Z</cp:lastPrinted>
  <dcterms:modified xsi:type="dcterms:W3CDTF">2022-02-25T09:30:58Z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38717A0B6F5749B4B750AAB146D35AF2</vt:lpwstr>
  </property>
</Properties>
</file>