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方正小标宋简体" w:eastAsia="方正小标宋简体"/>
          <w:color w:val="000000"/>
          <w:sz w:val="32"/>
          <w:szCs w:val="32"/>
        </w:rPr>
      </w:pPr>
      <w:r>
        <w:rPr>
          <w:rFonts w:hint="eastAsia" w:ascii="方正小标宋简体" w:eastAsia="方正小标宋简体"/>
          <w:color w:val="000000"/>
          <w:sz w:val="36"/>
          <w:szCs w:val="36"/>
        </w:rPr>
        <w:t>北京市交通委员会本级2022年财政预算信息公开</w:t>
      </w:r>
    </w:p>
    <w:p>
      <w:pPr>
        <w:spacing w:line="480" w:lineRule="auto"/>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480" w:lineRule="auto"/>
        <w:jc w:val="center"/>
        <w:rPr>
          <w:rFonts w:ascii="方正小标宋简体" w:eastAsia="方正小标宋简体"/>
          <w:color w:val="000000"/>
          <w:sz w:val="32"/>
          <w:szCs w:val="32"/>
        </w:rPr>
      </w:pPr>
    </w:p>
    <w:p>
      <w:pPr>
        <w:spacing w:line="480" w:lineRule="auto"/>
        <w:rPr>
          <w:rFonts w:ascii="仿宋_GB2312" w:eastAsia="仿宋_GB2312"/>
          <w:color w:val="000000"/>
          <w:sz w:val="32"/>
          <w:szCs w:val="32"/>
        </w:rPr>
      </w:pPr>
      <w:r>
        <w:rPr>
          <w:rFonts w:hint="eastAsia" w:ascii="仿宋_GB2312" w:eastAsia="仿宋_GB2312"/>
          <w:color w:val="000000"/>
          <w:sz w:val="32"/>
          <w:szCs w:val="32"/>
        </w:rPr>
        <w:t>第一部分 2022年度单位预算情况说明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二、2022年收入及支出总体情况</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四、部单位“三公”经费财政拨款预算说明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480" w:lineRule="auto"/>
        <w:rPr>
          <w:rFonts w:ascii="仿宋_GB2312" w:eastAsia="仿宋_GB2312"/>
          <w:color w:val="000000"/>
          <w:sz w:val="32"/>
          <w:szCs w:val="32"/>
        </w:rPr>
      </w:pPr>
      <w:r>
        <w:rPr>
          <w:rFonts w:hint="eastAsia" w:ascii="仿宋_GB2312" w:eastAsia="仿宋_GB2312"/>
          <w:color w:val="000000"/>
          <w:sz w:val="32"/>
          <w:szCs w:val="32"/>
        </w:rPr>
        <w:t>第二部分 2022年度部门预算报表</w:t>
      </w:r>
    </w:p>
    <w:p>
      <w:pPr>
        <w:autoSpaceDE w:val="0"/>
        <w:autoSpaceDN w:val="0"/>
        <w:adjustRightInd w:val="0"/>
        <w:spacing w:line="480" w:lineRule="auto"/>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480" w:lineRule="auto"/>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二、收入总表    </w:t>
      </w:r>
    </w:p>
    <w:p>
      <w:pPr>
        <w:autoSpaceDE w:val="0"/>
        <w:autoSpaceDN w:val="0"/>
        <w:adjustRightInd w:val="0"/>
        <w:spacing w:line="480" w:lineRule="auto"/>
        <w:ind w:firstLine="64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三、支出总表</w:t>
      </w:r>
    </w:p>
    <w:p>
      <w:pPr>
        <w:autoSpaceDE w:val="0"/>
        <w:autoSpaceDN w:val="0"/>
        <w:adjustRightInd w:val="0"/>
        <w:spacing w:line="480" w:lineRule="auto"/>
        <w:ind w:firstLine="64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四、项目支出表</w:t>
      </w:r>
    </w:p>
    <w:p>
      <w:pPr>
        <w:autoSpaceDE w:val="0"/>
        <w:autoSpaceDN w:val="0"/>
        <w:adjustRightInd w:val="0"/>
        <w:spacing w:line="480" w:lineRule="auto"/>
        <w:ind w:firstLine="64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五、政府采购预算明细表</w:t>
      </w:r>
    </w:p>
    <w:p>
      <w:pPr>
        <w:autoSpaceDE w:val="0"/>
        <w:autoSpaceDN w:val="0"/>
        <w:adjustRightInd w:val="0"/>
        <w:spacing w:line="480" w:lineRule="auto"/>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六、财政拨款收支总表</w:t>
      </w:r>
    </w:p>
    <w:p>
      <w:pPr>
        <w:autoSpaceDE w:val="0"/>
        <w:autoSpaceDN w:val="0"/>
        <w:adjustRightInd w:val="0"/>
        <w:spacing w:line="480" w:lineRule="auto"/>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七、一般公共预算财政拨款支出表</w:t>
      </w:r>
    </w:p>
    <w:p>
      <w:pPr>
        <w:autoSpaceDE w:val="0"/>
        <w:autoSpaceDN w:val="0"/>
        <w:adjustRightInd w:val="0"/>
        <w:spacing w:line="480" w:lineRule="auto"/>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 xml:space="preserve">    </w:t>
      </w:r>
      <w:r>
        <w:rPr>
          <w:rFonts w:hint="eastAsia" w:ascii="仿宋_GB2312" w:eastAsia="仿宋_GB2312" w:cs="宋体"/>
          <w:color w:val="000000"/>
          <w:spacing w:val="-16"/>
          <w:kern w:val="0"/>
          <w:sz w:val="32"/>
          <w:szCs w:val="32"/>
          <w:lang w:val="zh-CN"/>
        </w:rPr>
        <w:t>八、一般公共预算财政拨款基本支出表</w:t>
      </w:r>
    </w:p>
    <w:p>
      <w:pPr>
        <w:autoSpaceDE w:val="0"/>
        <w:autoSpaceDN w:val="0"/>
        <w:adjustRightInd w:val="0"/>
        <w:spacing w:line="480" w:lineRule="auto"/>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480" w:lineRule="auto"/>
        <w:ind w:firstLine="640"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autoSpaceDE w:val="0"/>
        <w:autoSpaceDN w:val="0"/>
        <w:adjustRightInd w:val="0"/>
        <w:spacing w:line="480" w:lineRule="auto"/>
        <w:ind w:firstLine="576"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spacing w:val="-16"/>
          <w:kern w:val="0"/>
          <w:sz w:val="32"/>
          <w:szCs w:val="32"/>
          <w:lang w:val="zh-CN"/>
        </w:rPr>
        <w:t>十一、财政拨款</w:t>
      </w:r>
      <w:r>
        <w:rPr>
          <w:rFonts w:hint="eastAsia" w:ascii="仿宋_GB2312" w:eastAsia="仿宋_GB2312" w:cs="宋体"/>
          <w:color w:val="000000"/>
          <w:kern w:val="0"/>
          <w:sz w:val="32"/>
          <w:szCs w:val="32"/>
          <w:lang w:val="zh-CN"/>
        </w:rPr>
        <w:t>“三公”经费支出表</w:t>
      </w:r>
    </w:p>
    <w:p>
      <w:pPr>
        <w:autoSpaceDE w:val="0"/>
        <w:autoSpaceDN w:val="0"/>
        <w:adjustRightInd w:val="0"/>
        <w:spacing w:line="480" w:lineRule="auto"/>
        <w:ind w:firstLine="568" w:firstLineChars="200"/>
        <w:jc w:val="left"/>
        <w:rPr>
          <w:rFonts w:ascii="仿宋_GB2312" w:eastAsia="仿宋_GB2312" w:cs="宋体"/>
          <w:color w:val="000000"/>
          <w:spacing w:val="-18"/>
          <w:kern w:val="0"/>
          <w:sz w:val="32"/>
          <w:szCs w:val="32"/>
          <w:lang w:val="zh-CN"/>
        </w:rPr>
      </w:pPr>
      <w:r>
        <w:rPr>
          <w:rFonts w:hint="eastAsia" w:ascii="仿宋_GB2312" w:eastAsia="仿宋_GB2312" w:cs="宋体"/>
          <w:color w:val="000000"/>
          <w:spacing w:val="-18"/>
          <w:kern w:val="0"/>
          <w:sz w:val="32"/>
          <w:szCs w:val="32"/>
          <w:lang w:val="zh-CN"/>
        </w:rPr>
        <w:t>十二、政府购买服务预算财政拨款明细表</w:t>
      </w:r>
    </w:p>
    <w:p>
      <w:pPr>
        <w:autoSpaceDE w:val="0"/>
        <w:autoSpaceDN w:val="0"/>
        <w:adjustRightInd w:val="0"/>
        <w:spacing w:line="480" w:lineRule="auto"/>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十三、项目支出绩效目标表</w:t>
      </w:r>
    </w:p>
    <w:p>
      <w:pPr>
        <w:autoSpaceDE w:val="0"/>
        <w:autoSpaceDN w:val="0"/>
        <w:adjustRightInd w:val="0"/>
        <w:spacing w:line="480" w:lineRule="auto"/>
        <w:ind w:firstLine="640" w:firstLineChars="200"/>
        <w:rPr>
          <w:rFonts w:ascii="仿宋_GB2312" w:eastAsia="仿宋_GB2312" w:cs="宋体"/>
          <w:color w:val="000000"/>
          <w:kern w:val="0"/>
          <w:sz w:val="32"/>
          <w:szCs w:val="32"/>
          <w:lang w:val="zh-CN"/>
        </w:rPr>
      </w:pPr>
      <w:r>
        <w:rPr>
          <w:rFonts w:ascii="仿宋_GB2312" w:eastAsia="仿宋_GB2312" w:cs="宋体"/>
          <w:color w:val="000000"/>
          <w:kern w:val="0"/>
          <w:sz w:val="32"/>
          <w:szCs w:val="32"/>
          <w:lang w:val="zh-CN"/>
        </w:rPr>
        <w:br w:type="page"/>
      </w:r>
    </w:p>
    <w:p>
      <w:pPr>
        <w:autoSpaceDE w:val="0"/>
        <w:autoSpaceDN w:val="0"/>
        <w:adjustRightInd w:val="0"/>
        <w:spacing w:line="480" w:lineRule="auto"/>
        <w:jc w:val="center"/>
        <w:rPr>
          <w:rFonts w:ascii="仿宋_GB2312" w:eastAsia="仿宋_GB2312" w:cs="宋体"/>
          <w:color w:val="000000"/>
          <w:kern w:val="0"/>
          <w:sz w:val="32"/>
          <w:szCs w:val="32"/>
          <w:lang w:val="zh-CN"/>
        </w:rPr>
      </w:pPr>
      <w:r>
        <w:rPr>
          <w:rFonts w:hint="eastAsia" w:ascii="方正小标宋简体" w:eastAsia="方正小标宋简体"/>
          <w:color w:val="000000"/>
          <w:sz w:val="36"/>
          <w:szCs w:val="36"/>
        </w:rPr>
        <w:t>第一部分  2022年单位预算情况说明</w:t>
      </w:r>
    </w:p>
    <w:p>
      <w:pPr>
        <w:spacing w:line="480" w:lineRule="auto"/>
        <w:ind w:firstLine="640" w:firstLineChars="200"/>
        <w:rPr>
          <w:rFonts w:ascii="仿宋_GB2312" w:eastAsia="仿宋_GB2312"/>
          <w:sz w:val="32"/>
          <w:szCs w:val="32"/>
        </w:rPr>
      </w:pPr>
    </w:p>
    <w:p>
      <w:pPr>
        <w:spacing w:line="480" w:lineRule="auto"/>
        <w:ind w:firstLine="640" w:firstLineChars="200"/>
        <w:rPr>
          <w:rFonts w:ascii="黑体" w:hAnsi="黑体" w:eastAsia="黑体"/>
          <w:sz w:val="32"/>
          <w:szCs w:val="32"/>
        </w:rPr>
      </w:pPr>
      <w:r>
        <w:rPr>
          <w:rFonts w:hint="eastAsia" w:ascii="黑体" w:hAnsi="黑体" w:eastAsia="黑体"/>
          <w:sz w:val="32"/>
          <w:szCs w:val="32"/>
        </w:rPr>
        <w:t>一、单位基本情况</w:t>
      </w:r>
    </w:p>
    <w:p>
      <w:pPr>
        <w:spacing w:line="480" w:lineRule="auto"/>
        <w:ind w:firstLine="640" w:firstLineChars="200"/>
        <w:rPr>
          <w:rFonts w:ascii="仿宋_GB2312" w:eastAsia="仿宋_GB2312"/>
          <w:sz w:val="32"/>
          <w:szCs w:val="32"/>
        </w:rPr>
      </w:pPr>
      <w:r>
        <w:rPr>
          <w:rFonts w:hint="eastAsia" w:ascii="楷体_GB2312" w:eastAsia="楷体_GB2312"/>
          <w:sz w:val="32"/>
          <w:szCs w:val="32"/>
        </w:rPr>
        <w:t>（一）本单位性质、职责等情况</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北京市交通委员会本级是负责本市城乡交通统筹发展、交通运输和交通基础设施综合管理的市政府组成部门。</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1.贯彻落实国家关于交通运输方面的法律法规、规章和政策，起草本市相关地方性法规草案、政府规章草案和政策措施，并组织实施。拟订交通运输发展战略，对交通运输行业改革与发展中的重大问题进行调查研究，并提出对策建议。</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组织编制本市交通基础设施建设和交通运输行业的中长期发展规划。参与编制综合交通规划、交通专项规划、城市轨道交通建设规划及相关规划实施的评估工作。负责大型城建项目交通影响评价的审核。负责市管道路建设项目规划设计方案中交通内容的审查。参与市级交通基础设施建设项目初步设计的审查。统筹推进重大交通基础设施建设，会同相关部门建立交通基础设施建设项目库。</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3.组织编制市级交通基础设施建设项目前期工作建议计划和年度建设建议计划。组织编制交通基础设施维修养护以及交通运输行业年度计划，并组织实施和监督管理。负责提出交通基础设施建设和维修养护财政性资金安排意见。参与交通发展建设投融资政策的研究和实施。负责城市轨道交通和其他公共交通特许经营项目的具体实施和监督管理工作。提出交通运输行业收费政策及标准的建议。</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4.负责推进区域交通一体化协同发展。负责本行政区域内铁路、民航和邮政等综合运输的协调工作。组织拟订各类重点交通运输服务保障方案，并监督实施。参与编制现代物流业发展战略和规划，并提出有关政策和标准建议。</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5.负责本市交通基础设施的监督管理和交通运输业的行业管理，拟订有关政策和标准。负责公路建设市场和道路、水路运输市场监督管理，协调推进交通运输产业发展。负责交通运输行业的行政许可和信用体系建设工作。指导交通运输行业节能减排工作。</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6.负责本市交通基础设施和交通运输行业安全生产的监督管理。负责交通运输安全应急方面的组织协调，协助有关部门调查处理交通运输行业重大安全事故。负责重大突发事件中的运输组织和交通设施保障。负责铁路监护道口安全的管理工作。承担北京市交通安全应急指挥部的具体工作。</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7.负责组织协调本市交通综合治理工作。负责统筹停车管理工作，负责互联网租赁自行车的行业管理。</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8.负责本市地方海事工作。</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9.制定本市交通运输科技和智能交通发展规划、年度计划、政策。组织指导交通运输信息化建设，推动智能交通系统建设。组织指导重大交通科技项目立项、研究、开发和成果推广、应用工作。</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10.负责本市交通运输行业的宣传教育工作，组织开展交通运输行业精神文明建设工作。负责交通运输行业对外交流与合作。</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11.指导本市交通运输综合执法工作。</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12.指导、协调和监督各区的交通运输工作。</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13.承担北京市国防动员委员会交通战备办公室工作。</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14.完成市委、市政府交办的其他任务。</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（二）机构设置情况</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根据《中共北京市委办公厅 北京市人民政府办公厅关于印发&lt;北京市交通委员会职能配置、内设机构和人员编制规定&gt;的通知》（京办字〔2019〕47号），北京市交通委员会本级共计39个内设处室。</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（三）人员构成情况</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北京市交通委员会本级单位行政编制391人，实际386人。离退休人员183人，其中：离休11人，退休172人。 </w:t>
      </w:r>
    </w:p>
    <w:p>
      <w:pPr>
        <w:spacing w:line="480" w:lineRule="auto"/>
        <w:ind w:firstLine="640" w:firstLineChars="200"/>
        <w:rPr>
          <w:rFonts w:ascii="仿宋_GB2312" w:eastAsia="仿宋_GB2312"/>
          <w:sz w:val="32"/>
          <w:szCs w:val="32"/>
        </w:rPr>
      </w:pPr>
      <w:r>
        <w:rPr>
          <w:rFonts w:hint="eastAsia" w:ascii="黑体" w:hAnsi="黑体" w:eastAsia="黑体"/>
          <w:sz w:val="32"/>
          <w:szCs w:val="32"/>
        </w:rPr>
        <w:t>二、2022年收入及支出总体情况</w:t>
      </w:r>
    </w:p>
    <w:p>
      <w:pPr>
        <w:spacing w:line="480" w:lineRule="auto"/>
        <w:ind w:firstLine="640" w:firstLineChars="200"/>
        <w:rPr>
          <w:rFonts w:ascii="楷体_GB2312" w:hAnsi="黑体" w:eastAsia="楷体_GB2312"/>
          <w:sz w:val="32"/>
          <w:szCs w:val="32"/>
        </w:rPr>
      </w:pPr>
      <w:r>
        <w:rPr>
          <w:rFonts w:hint="eastAsia" w:ascii="楷体_GB2312" w:hAnsi="黑体" w:eastAsia="楷体_GB2312"/>
          <w:sz w:val="32"/>
          <w:szCs w:val="32"/>
        </w:rPr>
        <w:t>（一）收入预算说明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2022年收入预算</w:t>
      </w:r>
      <w:r>
        <w:rPr>
          <w:rFonts w:ascii="仿宋_GB2312" w:eastAsia="仿宋_GB2312"/>
          <w:sz w:val="32"/>
          <w:szCs w:val="32"/>
        </w:rPr>
        <w:t>1158777.6</w:t>
      </w:r>
      <w:r>
        <w:rPr>
          <w:rFonts w:hint="eastAsia" w:ascii="仿宋_GB2312" w:eastAsia="仿宋_GB2312"/>
          <w:sz w:val="32"/>
          <w:szCs w:val="32"/>
        </w:rPr>
        <w:t>7万元，比2021年807753.26万元增加351024.41万元，增长43.46%。其中：本年财政拨款收入</w:t>
      </w:r>
      <w:r>
        <w:rPr>
          <w:rFonts w:ascii="仿宋_GB2312" w:eastAsia="仿宋_GB2312"/>
          <w:sz w:val="32"/>
          <w:szCs w:val="32"/>
        </w:rPr>
        <w:t>111950</w:t>
      </w:r>
      <w:r>
        <w:rPr>
          <w:rFonts w:hint="eastAsia" w:ascii="仿宋_GB2312" w:eastAsia="仿宋_GB2312"/>
          <w:sz w:val="32"/>
          <w:szCs w:val="32"/>
        </w:rPr>
        <w:t>5</w:t>
      </w:r>
      <w:r>
        <w:rPr>
          <w:rFonts w:ascii="仿宋_GB2312" w:eastAsia="仿宋_GB2312"/>
          <w:sz w:val="32"/>
          <w:szCs w:val="32"/>
        </w:rPr>
        <w:t>.</w:t>
      </w:r>
      <w:r>
        <w:rPr>
          <w:rFonts w:hint="eastAsia" w:ascii="仿宋_GB2312" w:eastAsia="仿宋_GB2312"/>
          <w:sz w:val="32"/>
          <w:szCs w:val="32"/>
        </w:rPr>
        <w:t>00万元,比2021年757333.29万元增加362171.71万元，增长47.82%，主要原因：一是</w:t>
      </w:r>
      <w:r>
        <w:rPr>
          <w:rFonts w:hint="eastAsia" w:ascii="仿宋_GB2312" w:eastAsia="仿宋_GB2312"/>
          <w:sz w:val="32"/>
          <w:szCs w:val="32"/>
          <w:lang w:eastAsia="zh-CN"/>
        </w:rPr>
        <w:t>中央</w:t>
      </w:r>
      <w:r>
        <w:rPr>
          <w:rFonts w:hint="eastAsia" w:ascii="仿宋_GB2312" w:eastAsia="仿宋_GB2312"/>
          <w:sz w:val="32"/>
          <w:szCs w:val="32"/>
        </w:rPr>
        <w:t>提前下达中央车购税资金，用于京雄高速公路（北京段）工程、京哈高速公路（东五环—东六环）加宽改造、北京东六环（潞苑大街-京哈高速）改造项目；二是为完成轨道交通噪声治理任务，新增地铁线路加装声屏障项目，为贯彻落实《北京市打赢蓝天保卫战三年行动计划》，新增发放新能源轻型货车激励资金项目。本年其他资金收入949.56万元,比2021年880.00万元增加69.56万元，与2021年基本持平。上年结转结余资金</w:t>
      </w:r>
      <w:r>
        <w:rPr>
          <w:rFonts w:ascii="仿宋_GB2312" w:eastAsia="仿宋_GB2312"/>
          <w:sz w:val="32"/>
          <w:szCs w:val="32"/>
        </w:rPr>
        <w:t>38323.1</w:t>
      </w:r>
      <w:r>
        <w:rPr>
          <w:rFonts w:hint="eastAsia" w:ascii="仿宋_GB2312" w:eastAsia="仿宋_GB2312"/>
          <w:sz w:val="32"/>
          <w:szCs w:val="32"/>
        </w:rPr>
        <w:t>1万元,比2021年49539.97万元减少11216.86万元，主要原因是根据本市纯电动出租汽车推广应用任务推进情况安排项目预算。</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（二）支出情况说明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2022年支出预算</w:t>
      </w:r>
      <w:r>
        <w:rPr>
          <w:rFonts w:ascii="仿宋_GB2312" w:eastAsia="仿宋_GB2312"/>
          <w:sz w:val="32"/>
          <w:szCs w:val="32"/>
        </w:rPr>
        <w:t>1158777.67</w:t>
      </w:r>
      <w:r>
        <w:rPr>
          <w:rFonts w:hint="eastAsia" w:ascii="仿宋_GB2312" w:eastAsia="仿宋_GB2312"/>
          <w:sz w:val="32"/>
          <w:szCs w:val="32"/>
        </w:rPr>
        <w:t>万元，比2021年807753.26万元增加351024.41万元，增长43.46%。</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基本支出预算17211.62万元，占总支出预算1.49%，比2021年17258.92万元减少47.3万元，减少0.27%，与2021年基本持平。项目支出预算</w:t>
      </w:r>
      <w:r>
        <w:rPr>
          <w:rFonts w:ascii="仿宋_GB2312" w:eastAsia="仿宋_GB2312"/>
          <w:sz w:val="32"/>
          <w:szCs w:val="32"/>
        </w:rPr>
        <w:t>1141566.0</w:t>
      </w:r>
      <w:r>
        <w:rPr>
          <w:rFonts w:hint="eastAsia" w:ascii="仿宋_GB2312" w:eastAsia="仿宋_GB2312"/>
          <w:sz w:val="32"/>
          <w:szCs w:val="32"/>
        </w:rPr>
        <w:t>5万元，比2021年790494.34万元增加351071.71万元，增长44.41%，主要原因：一是较上年度提前下达的中央车购税资金，用于京雄高速公路（北京段）工程、京哈高速公路（东五环—东六环）加宽改造、北京东六环（潞苑大街-京哈高速）改造项目；二是为完成轨道交通噪声治理任务，新增地铁线路加装声屏障项目，为贯彻落实《北京市打赢蓝天保卫战三年行动计划》，新增发放新能源轻型货车激励资金项目。其中：</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1.事业单位经营支出0万元。</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2.上缴上级支出0万元。</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3.对附属单位补助支出0万元。</w:t>
      </w:r>
    </w:p>
    <w:p>
      <w:pPr>
        <w:spacing w:line="480" w:lineRule="auto"/>
        <w:ind w:firstLine="640" w:firstLineChars="200"/>
        <w:rPr>
          <w:rFonts w:ascii="黑体" w:hAnsi="黑体" w:eastAsia="黑体"/>
          <w:sz w:val="32"/>
          <w:szCs w:val="32"/>
        </w:rPr>
      </w:pPr>
      <w:r>
        <w:rPr>
          <w:rFonts w:hint="eastAsia" w:ascii="黑体" w:hAnsi="黑体" w:eastAsia="黑体"/>
          <w:sz w:val="32"/>
          <w:szCs w:val="32"/>
        </w:rPr>
        <w:t>三、主要支出情况</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单位预算项目主要为支持轨道交通政企合作项目、地面公交购买服务、市郊铁路委托运营服务、纯电动出租汽车推广应用奖励资金、高速公路PPP项目、新能源轻型货车运营激励方案激励资金、市郊铁路机车车辆大中修、地铁线路加装声屏障项目等。</w:t>
      </w:r>
    </w:p>
    <w:p>
      <w:pPr>
        <w:spacing w:line="480" w:lineRule="auto"/>
        <w:ind w:firstLine="640" w:firstLineChars="200"/>
        <w:rPr>
          <w:rFonts w:ascii="黑体" w:hAnsi="黑体" w:eastAsia="黑体"/>
          <w:sz w:val="32"/>
          <w:szCs w:val="32"/>
        </w:rPr>
      </w:pPr>
      <w:r>
        <w:rPr>
          <w:rFonts w:hint="eastAsia" w:ascii="黑体" w:hAnsi="黑体" w:eastAsia="黑体"/>
          <w:sz w:val="32"/>
          <w:szCs w:val="32"/>
        </w:rPr>
        <w:t>四、单位“三公”经费财政拨款预算说明</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（一）“三公”经费的单位范围</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北京市交通委员会本级因公出国（境）费用、公务接待费、公务用车购置和运行维护费开支单位包括1个所属单位。</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（二）“三公”经费预算财政拨款情况说明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2022年“三公”经费财政拨款预算324.25万元，比2021年“三公”经费财政拨款预算</w:t>
      </w:r>
      <w:r>
        <w:rPr>
          <w:rFonts w:ascii="仿宋_GB2312" w:eastAsia="仿宋_GB2312"/>
          <w:sz w:val="32"/>
          <w:szCs w:val="32"/>
        </w:rPr>
        <w:t>335.5</w:t>
      </w:r>
      <w:r>
        <w:rPr>
          <w:rFonts w:hint="eastAsia" w:ascii="仿宋_GB2312" w:eastAsia="仿宋_GB2312"/>
          <w:sz w:val="32"/>
          <w:szCs w:val="32"/>
        </w:rPr>
        <w:t>6减少11.31万元。其中：</w:t>
      </w:r>
      <w:bookmarkStart w:id="0" w:name="_GoBack"/>
      <w:bookmarkEnd w:id="0"/>
    </w:p>
    <w:p>
      <w:pPr>
        <w:spacing w:line="480" w:lineRule="auto"/>
        <w:ind w:firstLine="640" w:firstLineChars="200"/>
        <w:rPr>
          <w:rFonts w:ascii="仿宋_GB2312" w:eastAsia="仿宋_GB2312"/>
          <w:sz w:val="32"/>
          <w:szCs w:val="32"/>
        </w:rPr>
      </w:pPr>
      <w:r>
        <w:rPr>
          <w:rFonts w:hint="eastAsia" w:ascii="仿宋_GB2312" w:eastAsia="仿宋_GB2312"/>
          <w:sz w:val="32"/>
          <w:szCs w:val="32"/>
        </w:rPr>
        <w:t>1.因公出国（境）费用。2022年预算数195.3万元，与2021年预算数195.3万元持平，2022年因公出国（境）费用主要用于参加国际交通会议、交通需求管理、公共交通服务、交通基础设施管理等方面的国际交流等。</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2.公务接待费。2022年预算数2.05万元，与2021年预算数</w:t>
      </w:r>
      <w:r>
        <w:rPr>
          <w:rFonts w:ascii="仿宋_GB2312" w:eastAsia="仿宋_GB2312"/>
          <w:sz w:val="32"/>
          <w:szCs w:val="32"/>
        </w:rPr>
        <w:t>2.05</w:t>
      </w:r>
      <w:r>
        <w:rPr>
          <w:rFonts w:hint="eastAsia" w:ascii="仿宋_GB2312" w:eastAsia="仿宋_GB2312"/>
          <w:sz w:val="32"/>
          <w:szCs w:val="32"/>
        </w:rPr>
        <w:t>万元持平。2022年公务接待费主要用于接待外省市交通部门来京交流等方面支出。</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3.公务用车购置和运行维护费。2022年预算数126.90万元，其中，公务用车购置费2022年预算数0万元，比2021年预算数16.71万元减少16.71万元，主要原因是2022年本级无购车计划；公务用车运行维护费2022年预算数126.90万元，其中：公务用车加油67.26万元，公务用车维修21.57万元，公务用车保险21.57万元，其他16.50万元。比2021年预算数121.50万元增加5.4万元，主要原因是2021年新购置公务用车1辆。</w:t>
      </w:r>
    </w:p>
    <w:p>
      <w:pPr>
        <w:spacing w:line="480" w:lineRule="auto"/>
        <w:ind w:firstLine="640" w:firstLineChars="200"/>
        <w:rPr>
          <w:rFonts w:ascii="黑体" w:hAnsi="黑体" w:eastAsia="黑体"/>
          <w:sz w:val="32"/>
          <w:szCs w:val="32"/>
        </w:rPr>
      </w:pPr>
      <w:r>
        <w:rPr>
          <w:rFonts w:hint="eastAsia" w:ascii="黑体" w:hAnsi="黑体" w:eastAsia="黑体"/>
          <w:sz w:val="32"/>
          <w:szCs w:val="32"/>
        </w:rPr>
        <w:t>五、其他情况说明</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2022年北京市交通委员会本级政府采购预算总额</w:t>
      </w:r>
      <w:r>
        <w:rPr>
          <w:rFonts w:ascii="仿宋_GB2312" w:eastAsia="仿宋_GB2312"/>
          <w:sz w:val="32"/>
          <w:szCs w:val="32"/>
        </w:rPr>
        <w:t>10020.0</w:t>
      </w:r>
      <w:r>
        <w:rPr>
          <w:rFonts w:hint="eastAsia" w:ascii="仿宋_GB2312" w:eastAsia="仿宋_GB2312"/>
          <w:sz w:val="32"/>
          <w:szCs w:val="32"/>
        </w:rPr>
        <w:t>1万元，其中：政府采购货物预算30万元，政府采购服务预算</w:t>
      </w:r>
      <w:r>
        <w:rPr>
          <w:rFonts w:ascii="仿宋_GB2312" w:eastAsia="仿宋_GB2312"/>
          <w:sz w:val="32"/>
          <w:szCs w:val="32"/>
        </w:rPr>
        <w:t>9990.0</w:t>
      </w:r>
      <w:r>
        <w:rPr>
          <w:rFonts w:hint="eastAsia" w:ascii="仿宋_GB2312" w:eastAsia="仿宋_GB2312"/>
          <w:sz w:val="32"/>
          <w:szCs w:val="32"/>
        </w:rPr>
        <w:t>1万元。</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2022年北京市交通委员会本级政府购买服务预算总额</w:t>
      </w:r>
      <w:r>
        <w:rPr>
          <w:rFonts w:ascii="仿宋_GB2312" w:eastAsia="仿宋_GB2312"/>
          <w:sz w:val="32"/>
          <w:szCs w:val="32"/>
        </w:rPr>
        <w:t>13812.76</w:t>
      </w:r>
      <w:r>
        <w:rPr>
          <w:rFonts w:hint="eastAsia" w:ascii="仿宋_GB2312" w:eastAsia="仿宋_GB2312"/>
          <w:sz w:val="32"/>
          <w:szCs w:val="32"/>
        </w:rPr>
        <w:t>万元。</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（三）机关运行经费情况说明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2022年北京市交通委员会本级1家行政单位的机关运行经费财政拨款预算2896.28万元。</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2022年，北京市交通委员会本级填报绩效目标的预算项目178个，占本单位本年预算项目178个的100%。填报绩效目标的项目支出预算1103242.94万元，占本单位本年项目支出预算的100%。</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（五）重点行政事业性收费情况说明</w:t>
      </w:r>
    </w:p>
    <w:p>
      <w:pPr>
        <w:spacing w:line="480" w:lineRule="auto"/>
        <w:ind w:firstLine="640" w:firstLineChars="200"/>
        <w:rPr>
          <w:rFonts w:ascii="仿宋_GB2312" w:hAnsi="Calibri" w:eastAsia="仿宋_GB2312" w:cs="Times New Roman"/>
          <w:sz w:val="32"/>
          <w:szCs w:val="32"/>
        </w:rPr>
      </w:pPr>
      <w:r>
        <w:rPr>
          <w:rFonts w:hint="eastAsia" w:ascii="仿宋_GB2312" w:hAnsi="黑体" w:eastAsia="仿宋_GB2312" w:cs="Times New Roman"/>
          <w:sz w:val="32"/>
          <w:szCs w:val="32"/>
        </w:rPr>
        <w:t>2022年北京市交通委员会部门行政事业性收费项目名称：城市道路挖掘修复费152010001，</w:t>
      </w:r>
      <w:r>
        <w:rPr>
          <w:rFonts w:hint="eastAsia" w:ascii="仿宋_GB2312" w:hAnsi="Calibri" w:eastAsia="仿宋_GB2312" w:cs="Times New Roman"/>
          <w:sz w:val="32"/>
          <w:szCs w:val="32"/>
        </w:rPr>
        <w:t>收费依据：《北京市财政局 北京市发展和改革委员会关于同意城市道路挖掘修复收费立项的函》（京财综〔2010〕1615号），执收主体: 北京市交通委员会，收费部门：北京市交通委员会，收费标准：《北京市交通委员会关于调整城市道路挖掘修复费收费标准的通知》（京交财发〔2011〕144号），收入预计：9000万元。</w:t>
      </w:r>
    </w:p>
    <w:tbl>
      <w:tblPr>
        <w:tblStyle w:val="5"/>
        <w:tblW w:w="5000" w:type="pct"/>
        <w:tblInd w:w="0" w:type="dxa"/>
        <w:tblLayout w:type="autofit"/>
        <w:tblCellMar>
          <w:top w:w="0" w:type="dxa"/>
          <w:left w:w="108" w:type="dxa"/>
          <w:bottom w:w="0" w:type="dxa"/>
          <w:right w:w="108" w:type="dxa"/>
        </w:tblCellMar>
      </w:tblPr>
      <w:tblGrid>
        <w:gridCol w:w="750"/>
        <w:gridCol w:w="2961"/>
        <w:gridCol w:w="3700"/>
        <w:gridCol w:w="1111"/>
      </w:tblGrid>
      <w:tr>
        <w:tblPrEx>
          <w:tblCellMar>
            <w:top w:w="0" w:type="dxa"/>
            <w:left w:w="108" w:type="dxa"/>
            <w:bottom w:w="0" w:type="dxa"/>
            <w:right w:w="108" w:type="dxa"/>
          </w:tblCellMar>
        </w:tblPrEx>
        <w:trPr>
          <w:trHeight w:val="570" w:hRule="atLeast"/>
        </w:trPr>
        <w:tc>
          <w:tcPr>
            <w:tcW w:w="5000" w:type="pct"/>
            <w:gridSpan w:val="4"/>
            <w:tcBorders>
              <w:top w:val="nil"/>
              <w:left w:val="nil"/>
              <w:bottom w:val="nil"/>
              <w:right w:val="nil"/>
            </w:tcBorders>
            <w:shd w:val="clear" w:color="auto" w:fill="auto"/>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北京市城市道路挖掘修复费标准</w:t>
            </w:r>
          </w:p>
        </w:tc>
      </w:tr>
      <w:tr>
        <w:tblPrEx>
          <w:tblCellMar>
            <w:top w:w="0" w:type="dxa"/>
            <w:left w:w="108" w:type="dxa"/>
            <w:bottom w:w="0" w:type="dxa"/>
            <w:right w:w="108" w:type="dxa"/>
          </w:tblCellMar>
        </w:tblPrEx>
        <w:trPr>
          <w:trHeight w:val="480" w:hRule="atLeast"/>
        </w:trPr>
        <w:tc>
          <w:tcPr>
            <w:tcW w:w="44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rPr>
            </w:pPr>
            <w:r>
              <w:rPr>
                <w:rFonts w:hint="eastAsia" w:ascii="宋体" w:hAnsi="宋体" w:eastAsia="宋体" w:cs="宋体"/>
                <w:b/>
                <w:bCs/>
                <w:kern w:val="0"/>
                <w:sz w:val="20"/>
              </w:rPr>
              <w:t>序号</w:t>
            </w:r>
          </w:p>
        </w:tc>
        <w:tc>
          <w:tcPr>
            <w:tcW w:w="173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0"/>
              </w:rPr>
            </w:pPr>
            <w:r>
              <w:rPr>
                <w:rFonts w:hint="eastAsia" w:ascii="宋体" w:hAnsi="宋体" w:eastAsia="宋体" w:cs="宋体"/>
                <w:b/>
                <w:bCs/>
                <w:kern w:val="0"/>
                <w:sz w:val="20"/>
              </w:rPr>
              <w:t>项目名称</w:t>
            </w:r>
          </w:p>
        </w:tc>
        <w:tc>
          <w:tcPr>
            <w:tcW w:w="217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0"/>
              </w:rPr>
            </w:pPr>
            <w:r>
              <w:rPr>
                <w:rFonts w:hint="eastAsia" w:ascii="宋体" w:hAnsi="宋体" w:eastAsia="宋体" w:cs="宋体"/>
                <w:b/>
                <w:bCs/>
                <w:color w:val="000000"/>
                <w:kern w:val="0"/>
                <w:sz w:val="20"/>
              </w:rPr>
              <w:t>结构内容</w:t>
            </w:r>
          </w:p>
        </w:tc>
        <w:tc>
          <w:tcPr>
            <w:tcW w:w="651"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0"/>
              </w:rPr>
            </w:pPr>
            <w:r>
              <w:rPr>
                <w:rFonts w:hint="eastAsia" w:ascii="宋体" w:hAnsi="宋体" w:eastAsia="宋体" w:cs="宋体"/>
                <w:b/>
                <w:bCs/>
                <w:kern w:val="0"/>
                <w:sz w:val="20"/>
              </w:rPr>
              <w:t>收费标准</w:t>
            </w:r>
          </w:p>
        </w:tc>
      </w:tr>
      <w:tr>
        <w:tblPrEx>
          <w:tblCellMar>
            <w:top w:w="0" w:type="dxa"/>
            <w:left w:w="108" w:type="dxa"/>
            <w:bottom w:w="0" w:type="dxa"/>
            <w:right w:w="108" w:type="dxa"/>
          </w:tblCellMar>
        </w:tblPrEx>
        <w:trPr>
          <w:trHeight w:val="480" w:hRule="atLeast"/>
        </w:trPr>
        <w:tc>
          <w:tcPr>
            <w:tcW w:w="4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1 </w:t>
            </w:r>
          </w:p>
        </w:tc>
        <w:tc>
          <w:tcPr>
            <w:tcW w:w="173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快速路、主干路沥青路面</w:t>
            </w:r>
          </w:p>
        </w:tc>
        <w:tc>
          <w:tcPr>
            <w:tcW w:w="217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沥青砼15cm+水稳18cm+无机料36cm（69cm）</w:t>
            </w:r>
          </w:p>
        </w:tc>
        <w:tc>
          <w:tcPr>
            <w:tcW w:w="651" w:type="pct"/>
            <w:tcBorders>
              <w:top w:val="nil"/>
              <w:left w:val="nil"/>
              <w:bottom w:val="single" w:color="auto" w:sz="4" w:space="0"/>
              <w:right w:val="single" w:color="auto" w:sz="4" w:space="0"/>
            </w:tcBorders>
            <w:shd w:val="clear" w:color="auto" w:fill="auto"/>
            <w:vAlign w:val="center"/>
          </w:tcPr>
          <w:p>
            <w:pPr>
              <w:jc w:val="center"/>
              <w:rPr>
                <w:rFonts w:ascii="仿宋_GB2312" w:hAnsi="宋体" w:eastAsia="宋体" w:cs="Times New Roman"/>
                <w:sz w:val="18"/>
                <w:szCs w:val="18"/>
              </w:rPr>
            </w:pPr>
            <w:r>
              <w:rPr>
                <w:rFonts w:hint="eastAsia" w:ascii="宋体" w:hAnsi="宋体" w:eastAsia="宋体" w:cs="宋体"/>
                <w:kern w:val="0"/>
                <w:sz w:val="18"/>
                <w:szCs w:val="18"/>
              </w:rPr>
              <w:t>342元/</w:t>
            </w: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480" w:hRule="atLeast"/>
        </w:trPr>
        <w:tc>
          <w:tcPr>
            <w:tcW w:w="4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2 </w:t>
            </w:r>
          </w:p>
        </w:tc>
        <w:tc>
          <w:tcPr>
            <w:tcW w:w="173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次干路沥青路面</w:t>
            </w:r>
          </w:p>
        </w:tc>
        <w:tc>
          <w:tcPr>
            <w:tcW w:w="217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沥青砼12cm+水稳18cm+无机料36cm(66cm)</w:t>
            </w:r>
          </w:p>
        </w:tc>
        <w:tc>
          <w:tcPr>
            <w:tcW w:w="651" w:type="pct"/>
            <w:tcBorders>
              <w:top w:val="nil"/>
              <w:left w:val="nil"/>
              <w:bottom w:val="single" w:color="auto" w:sz="4" w:space="0"/>
              <w:right w:val="single" w:color="auto" w:sz="4" w:space="0"/>
            </w:tcBorders>
            <w:shd w:val="clear" w:color="auto" w:fill="auto"/>
            <w:vAlign w:val="center"/>
          </w:tcPr>
          <w:p>
            <w:pPr>
              <w:jc w:val="center"/>
              <w:rPr>
                <w:rFonts w:ascii="仿宋_GB2312" w:hAnsi="宋体" w:eastAsia="宋体" w:cs="Times New Roman"/>
                <w:sz w:val="18"/>
                <w:szCs w:val="18"/>
              </w:rPr>
            </w:pPr>
            <w:r>
              <w:rPr>
                <w:rFonts w:hint="eastAsia" w:ascii="宋体" w:hAnsi="宋体" w:eastAsia="宋体" w:cs="宋体"/>
                <w:kern w:val="0"/>
                <w:sz w:val="18"/>
                <w:szCs w:val="18"/>
              </w:rPr>
              <w:t>312元/</w:t>
            </w: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480" w:hRule="atLeast"/>
        </w:trPr>
        <w:tc>
          <w:tcPr>
            <w:tcW w:w="4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3 </w:t>
            </w:r>
          </w:p>
        </w:tc>
        <w:tc>
          <w:tcPr>
            <w:tcW w:w="173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支路沥青路面</w:t>
            </w:r>
          </w:p>
        </w:tc>
        <w:tc>
          <w:tcPr>
            <w:tcW w:w="217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沥青砼12cm+水稳18cm+无机料20cm(50cm)</w:t>
            </w:r>
          </w:p>
        </w:tc>
        <w:tc>
          <w:tcPr>
            <w:tcW w:w="651" w:type="pct"/>
            <w:tcBorders>
              <w:top w:val="nil"/>
              <w:left w:val="nil"/>
              <w:bottom w:val="single" w:color="auto" w:sz="4" w:space="0"/>
              <w:right w:val="single" w:color="auto" w:sz="4" w:space="0"/>
            </w:tcBorders>
            <w:shd w:val="clear" w:color="auto" w:fill="auto"/>
            <w:vAlign w:val="center"/>
          </w:tcPr>
          <w:p>
            <w:pPr>
              <w:jc w:val="center"/>
              <w:rPr>
                <w:rFonts w:ascii="仿宋_GB2312" w:hAnsi="宋体" w:eastAsia="宋体" w:cs="Times New Roman"/>
                <w:sz w:val="18"/>
                <w:szCs w:val="18"/>
              </w:rPr>
            </w:pPr>
            <w:r>
              <w:rPr>
                <w:rFonts w:hint="eastAsia" w:ascii="宋体" w:hAnsi="宋体" w:eastAsia="宋体" w:cs="宋体"/>
                <w:kern w:val="0"/>
                <w:sz w:val="18"/>
                <w:szCs w:val="18"/>
              </w:rPr>
              <w:t>277元/</w:t>
            </w: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480" w:hRule="atLeast"/>
        </w:trPr>
        <w:tc>
          <w:tcPr>
            <w:tcW w:w="4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4 </w:t>
            </w:r>
          </w:p>
        </w:tc>
        <w:tc>
          <w:tcPr>
            <w:tcW w:w="173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水泥混凝土路面</w:t>
            </w:r>
          </w:p>
        </w:tc>
        <w:tc>
          <w:tcPr>
            <w:tcW w:w="2171" w:type="pct"/>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18"/>
                <w:szCs w:val="18"/>
              </w:rPr>
            </w:pPr>
            <w:r>
              <w:rPr>
                <w:rFonts w:hint="eastAsia" w:ascii="宋体" w:hAnsi="宋体" w:eastAsia="宋体" w:cs="宋体"/>
                <w:color w:val="000000"/>
                <w:kern w:val="0"/>
                <w:sz w:val="18"/>
                <w:szCs w:val="18"/>
              </w:rPr>
              <w:t>30cm无机结合料， 22cm水泥砼面层</w:t>
            </w:r>
          </w:p>
        </w:tc>
        <w:tc>
          <w:tcPr>
            <w:tcW w:w="651" w:type="pct"/>
            <w:tcBorders>
              <w:top w:val="nil"/>
              <w:left w:val="nil"/>
              <w:bottom w:val="single" w:color="auto" w:sz="4" w:space="0"/>
              <w:right w:val="single" w:color="auto" w:sz="4" w:space="0"/>
            </w:tcBorders>
            <w:shd w:val="clear" w:color="auto" w:fill="auto"/>
            <w:vAlign w:val="center"/>
          </w:tcPr>
          <w:p>
            <w:pPr>
              <w:jc w:val="center"/>
              <w:rPr>
                <w:rFonts w:ascii="仿宋_GB2312" w:hAnsi="宋体" w:eastAsia="宋体" w:cs="Times New Roman"/>
                <w:sz w:val="18"/>
                <w:szCs w:val="18"/>
              </w:rPr>
            </w:pPr>
            <w:r>
              <w:rPr>
                <w:rFonts w:hint="eastAsia" w:ascii="宋体" w:hAnsi="宋体" w:eastAsia="宋体" w:cs="宋体"/>
                <w:kern w:val="0"/>
                <w:sz w:val="18"/>
                <w:szCs w:val="18"/>
              </w:rPr>
              <w:t>255元/</w:t>
            </w: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480" w:hRule="atLeast"/>
        </w:trPr>
        <w:tc>
          <w:tcPr>
            <w:tcW w:w="4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5 </w:t>
            </w:r>
          </w:p>
        </w:tc>
        <w:tc>
          <w:tcPr>
            <w:tcW w:w="173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彩色方砖路面</w:t>
            </w:r>
          </w:p>
        </w:tc>
        <w:tc>
          <w:tcPr>
            <w:tcW w:w="2171" w:type="pct"/>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18"/>
                <w:szCs w:val="18"/>
              </w:rPr>
            </w:pPr>
            <w:r>
              <w:rPr>
                <w:rFonts w:hint="eastAsia" w:ascii="宋体" w:hAnsi="宋体" w:eastAsia="宋体" w:cs="宋体"/>
                <w:color w:val="000000"/>
                <w:kern w:val="0"/>
                <w:sz w:val="18"/>
                <w:szCs w:val="18"/>
              </w:rPr>
              <w:t>30cm无机结合料、7cm面层</w:t>
            </w:r>
          </w:p>
        </w:tc>
        <w:tc>
          <w:tcPr>
            <w:tcW w:w="651" w:type="pct"/>
            <w:tcBorders>
              <w:top w:val="nil"/>
              <w:left w:val="nil"/>
              <w:bottom w:val="nil"/>
              <w:right w:val="single" w:color="auto" w:sz="4" w:space="0"/>
            </w:tcBorders>
            <w:shd w:val="clear" w:color="auto" w:fill="auto"/>
            <w:vAlign w:val="center"/>
          </w:tcPr>
          <w:p>
            <w:pPr>
              <w:jc w:val="center"/>
              <w:rPr>
                <w:rFonts w:ascii="仿宋_GB2312" w:hAnsi="宋体" w:eastAsia="宋体" w:cs="Times New Roman"/>
                <w:sz w:val="18"/>
                <w:szCs w:val="18"/>
              </w:rPr>
            </w:pPr>
            <w:r>
              <w:rPr>
                <w:rFonts w:hint="eastAsia" w:ascii="宋体" w:hAnsi="宋体" w:eastAsia="宋体" w:cs="宋体"/>
                <w:kern w:val="0"/>
                <w:sz w:val="18"/>
                <w:szCs w:val="18"/>
              </w:rPr>
              <w:t>190元/</w:t>
            </w: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480" w:hRule="atLeast"/>
        </w:trPr>
        <w:tc>
          <w:tcPr>
            <w:tcW w:w="4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6 </w:t>
            </w:r>
          </w:p>
        </w:tc>
        <w:tc>
          <w:tcPr>
            <w:tcW w:w="173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盲道砖路面</w:t>
            </w:r>
          </w:p>
        </w:tc>
        <w:tc>
          <w:tcPr>
            <w:tcW w:w="2171" w:type="pct"/>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18"/>
                <w:szCs w:val="18"/>
              </w:rPr>
            </w:pPr>
            <w:r>
              <w:rPr>
                <w:rFonts w:hint="eastAsia" w:ascii="宋体" w:hAnsi="宋体" w:eastAsia="宋体" w:cs="宋体"/>
                <w:color w:val="000000"/>
                <w:kern w:val="0"/>
                <w:sz w:val="18"/>
                <w:szCs w:val="18"/>
              </w:rPr>
              <w:t>30cm无机结合料、7cm面层</w:t>
            </w:r>
          </w:p>
        </w:tc>
        <w:tc>
          <w:tcPr>
            <w:tcW w:w="651" w:type="pct"/>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宋体" w:eastAsia="宋体" w:cs="Times New Roman"/>
                <w:sz w:val="18"/>
                <w:szCs w:val="18"/>
              </w:rPr>
            </w:pPr>
            <w:r>
              <w:rPr>
                <w:rFonts w:hint="eastAsia" w:ascii="宋体" w:hAnsi="宋体" w:eastAsia="宋体" w:cs="宋体"/>
                <w:kern w:val="0"/>
                <w:sz w:val="18"/>
                <w:szCs w:val="18"/>
              </w:rPr>
              <w:t>225元/</w:t>
            </w: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480" w:hRule="atLeast"/>
        </w:trPr>
        <w:tc>
          <w:tcPr>
            <w:tcW w:w="4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7 </w:t>
            </w:r>
          </w:p>
        </w:tc>
        <w:tc>
          <w:tcPr>
            <w:tcW w:w="173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水泥方砖路面</w:t>
            </w:r>
          </w:p>
        </w:tc>
        <w:tc>
          <w:tcPr>
            <w:tcW w:w="2171" w:type="pct"/>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18"/>
                <w:szCs w:val="18"/>
              </w:rPr>
            </w:pPr>
            <w:r>
              <w:rPr>
                <w:rFonts w:hint="eastAsia" w:ascii="宋体" w:hAnsi="宋体" w:eastAsia="宋体" w:cs="宋体"/>
                <w:color w:val="000000"/>
                <w:kern w:val="0"/>
                <w:sz w:val="18"/>
                <w:szCs w:val="18"/>
              </w:rPr>
              <w:t>30cm无机结合料， 50×50×10大方砖</w:t>
            </w:r>
          </w:p>
        </w:tc>
        <w:tc>
          <w:tcPr>
            <w:tcW w:w="651" w:type="pct"/>
            <w:tcBorders>
              <w:top w:val="nil"/>
              <w:left w:val="nil"/>
              <w:bottom w:val="single" w:color="auto" w:sz="4" w:space="0"/>
              <w:right w:val="single" w:color="auto" w:sz="4" w:space="0"/>
            </w:tcBorders>
            <w:shd w:val="clear" w:color="auto" w:fill="auto"/>
            <w:vAlign w:val="center"/>
          </w:tcPr>
          <w:p>
            <w:pPr>
              <w:jc w:val="center"/>
              <w:rPr>
                <w:rFonts w:ascii="仿宋_GB2312" w:hAnsi="宋体" w:eastAsia="宋体" w:cs="Times New Roman"/>
                <w:sz w:val="18"/>
                <w:szCs w:val="18"/>
              </w:rPr>
            </w:pPr>
            <w:r>
              <w:rPr>
                <w:rFonts w:hint="eastAsia" w:ascii="宋体" w:hAnsi="宋体" w:eastAsia="宋体" w:cs="宋体"/>
                <w:kern w:val="0"/>
                <w:sz w:val="18"/>
                <w:szCs w:val="18"/>
              </w:rPr>
              <w:t>182元/</w:t>
            </w: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480" w:hRule="atLeast"/>
        </w:trPr>
        <w:tc>
          <w:tcPr>
            <w:tcW w:w="4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8 </w:t>
            </w:r>
          </w:p>
        </w:tc>
        <w:tc>
          <w:tcPr>
            <w:tcW w:w="173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石材路面</w:t>
            </w:r>
          </w:p>
        </w:tc>
        <w:tc>
          <w:tcPr>
            <w:tcW w:w="2171" w:type="pct"/>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18"/>
                <w:szCs w:val="18"/>
              </w:rPr>
            </w:pPr>
            <w:r>
              <w:rPr>
                <w:rFonts w:hint="eastAsia" w:ascii="宋体" w:hAnsi="宋体" w:eastAsia="宋体" w:cs="宋体"/>
                <w:color w:val="000000"/>
                <w:kern w:val="0"/>
                <w:sz w:val="18"/>
                <w:szCs w:val="18"/>
              </w:rPr>
              <w:t>30cm无机结合料、8cm面层</w:t>
            </w:r>
          </w:p>
        </w:tc>
        <w:tc>
          <w:tcPr>
            <w:tcW w:w="651" w:type="pct"/>
            <w:tcBorders>
              <w:top w:val="nil"/>
              <w:left w:val="nil"/>
              <w:bottom w:val="nil"/>
              <w:right w:val="single" w:color="auto" w:sz="4" w:space="0"/>
            </w:tcBorders>
            <w:shd w:val="clear" w:color="auto" w:fill="auto"/>
            <w:vAlign w:val="center"/>
          </w:tcPr>
          <w:p>
            <w:pPr>
              <w:jc w:val="center"/>
              <w:rPr>
                <w:rFonts w:ascii="仿宋_GB2312" w:hAnsi="宋体" w:eastAsia="宋体" w:cs="Times New Roman"/>
                <w:sz w:val="18"/>
                <w:szCs w:val="18"/>
              </w:rPr>
            </w:pPr>
            <w:r>
              <w:rPr>
                <w:rFonts w:hint="eastAsia" w:ascii="宋体" w:hAnsi="宋体" w:eastAsia="宋体" w:cs="宋体"/>
                <w:kern w:val="0"/>
                <w:sz w:val="18"/>
                <w:szCs w:val="18"/>
              </w:rPr>
              <w:t>468元/</w:t>
            </w: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480" w:hRule="atLeast"/>
        </w:trPr>
        <w:tc>
          <w:tcPr>
            <w:tcW w:w="4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9 </w:t>
            </w:r>
          </w:p>
        </w:tc>
        <w:tc>
          <w:tcPr>
            <w:tcW w:w="173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混凝土缘石</w:t>
            </w:r>
          </w:p>
        </w:tc>
        <w:tc>
          <w:tcPr>
            <w:tcW w:w="217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49.5×20×10缘石 </w:t>
            </w:r>
          </w:p>
        </w:tc>
        <w:tc>
          <w:tcPr>
            <w:tcW w:w="651" w:type="pct"/>
            <w:tcBorders>
              <w:top w:val="single" w:color="auto" w:sz="4" w:space="0"/>
              <w:left w:val="nil"/>
              <w:bottom w:val="nil"/>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46元/m</w:t>
            </w:r>
          </w:p>
        </w:tc>
      </w:tr>
      <w:tr>
        <w:tblPrEx>
          <w:tblCellMar>
            <w:top w:w="0" w:type="dxa"/>
            <w:left w:w="108" w:type="dxa"/>
            <w:bottom w:w="0" w:type="dxa"/>
            <w:right w:w="108" w:type="dxa"/>
          </w:tblCellMar>
        </w:tblPrEx>
        <w:trPr>
          <w:trHeight w:val="480" w:hRule="atLeast"/>
        </w:trPr>
        <w:tc>
          <w:tcPr>
            <w:tcW w:w="4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10 </w:t>
            </w:r>
          </w:p>
        </w:tc>
        <w:tc>
          <w:tcPr>
            <w:tcW w:w="173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花岗岩缘石</w:t>
            </w:r>
          </w:p>
        </w:tc>
        <w:tc>
          <w:tcPr>
            <w:tcW w:w="217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豆石混凝土花岗岩缘石</w:t>
            </w:r>
          </w:p>
        </w:tc>
        <w:tc>
          <w:tcPr>
            <w:tcW w:w="65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188元/m</w:t>
            </w:r>
          </w:p>
        </w:tc>
      </w:tr>
      <w:tr>
        <w:tblPrEx>
          <w:tblCellMar>
            <w:top w:w="0" w:type="dxa"/>
            <w:left w:w="108" w:type="dxa"/>
            <w:bottom w:w="0" w:type="dxa"/>
            <w:right w:w="108" w:type="dxa"/>
          </w:tblCellMar>
        </w:tblPrEx>
        <w:trPr>
          <w:trHeight w:val="480" w:hRule="atLeast"/>
        </w:trPr>
        <w:tc>
          <w:tcPr>
            <w:tcW w:w="4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11 </w:t>
            </w:r>
          </w:p>
        </w:tc>
        <w:tc>
          <w:tcPr>
            <w:tcW w:w="173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混凝土树池</w:t>
            </w:r>
          </w:p>
        </w:tc>
        <w:tc>
          <w:tcPr>
            <w:tcW w:w="217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1.5×1.5树池</w:t>
            </w:r>
          </w:p>
        </w:tc>
        <w:tc>
          <w:tcPr>
            <w:tcW w:w="651" w:type="pct"/>
            <w:tcBorders>
              <w:top w:val="nil"/>
              <w:left w:val="nil"/>
              <w:bottom w:val="nil"/>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222元/座</w:t>
            </w:r>
          </w:p>
        </w:tc>
      </w:tr>
      <w:tr>
        <w:tblPrEx>
          <w:tblCellMar>
            <w:top w:w="0" w:type="dxa"/>
            <w:left w:w="108" w:type="dxa"/>
            <w:bottom w:w="0" w:type="dxa"/>
            <w:right w:w="108" w:type="dxa"/>
          </w:tblCellMar>
        </w:tblPrEx>
        <w:trPr>
          <w:trHeight w:val="480" w:hRule="atLeast"/>
        </w:trPr>
        <w:tc>
          <w:tcPr>
            <w:tcW w:w="4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12 </w:t>
            </w:r>
          </w:p>
        </w:tc>
        <w:tc>
          <w:tcPr>
            <w:tcW w:w="173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花岗岩树池</w:t>
            </w:r>
          </w:p>
        </w:tc>
        <w:tc>
          <w:tcPr>
            <w:tcW w:w="2171"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1.5×1.5树池</w:t>
            </w:r>
          </w:p>
        </w:tc>
        <w:tc>
          <w:tcPr>
            <w:tcW w:w="65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417元/座</w:t>
            </w:r>
          </w:p>
        </w:tc>
      </w:tr>
      <w:tr>
        <w:tblPrEx>
          <w:tblCellMar>
            <w:top w:w="0" w:type="dxa"/>
            <w:left w:w="108" w:type="dxa"/>
            <w:bottom w:w="0" w:type="dxa"/>
            <w:right w:w="108" w:type="dxa"/>
          </w:tblCellMar>
        </w:tblPrEx>
        <w:trPr>
          <w:trHeight w:val="480" w:hRule="atLeast"/>
        </w:trPr>
        <w:tc>
          <w:tcPr>
            <w:tcW w:w="4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13 </w:t>
            </w:r>
          </w:p>
        </w:tc>
        <w:tc>
          <w:tcPr>
            <w:tcW w:w="173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抗车辙沥青混凝土路面增加费用 </w:t>
            </w:r>
          </w:p>
        </w:tc>
        <w:tc>
          <w:tcPr>
            <w:tcW w:w="2171"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651" w:type="pct"/>
            <w:tcBorders>
              <w:top w:val="nil"/>
              <w:left w:val="nil"/>
              <w:bottom w:val="single" w:color="auto" w:sz="4" w:space="0"/>
              <w:right w:val="single" w:color="auto" w:sz="4" w:space="0"/>
            </w:tcBorders>
            <w:shd w:val="clear" w:color="auto" w:fill="auto"/>
            <w:vAlign w:val="center"/>
          </w:tcPr>
          <w:p>
            <w:pPr>
              <w:jc w:val="center"/>
              <w:rPr>
                <w:rFonts w:ascii="仿宋_GB2312" w:hAnsi="宋体" w:eastAsia="宋体" w:cs="Times New Roman"/>
                <w:sz w:val="18"/>
                <w:szCs w:val="18"/>
              </w:rPr>
            </w:pPr>
            <w:r>
              <w:rPr>
                <w:rFonts w:hint="eastAsia" w:ascii="宋体" w:hAnsi="宋体" w:eastAsia="宋体" w:cs="宋体"/>
                <w:kern w:val="0"/>
                <w:sz w:val="18"/>
                <w:szCs w:val="18"/>
              </w:rPr>
              <w:t>15元/</w:t>
            </w: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480" w:hRule="atLeast"/>
        </w:trPr>
        <w:tc>
          <w:tcPr>
            <w:tcW w:w="4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14 </w:t>
            </w:r>
          </w:p>
        </w:tc>
        <w:tc>
          <w:tcPr>
            <w:tcW w:w="173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改性沥青混凝土路面增加费用</w:t>
            </w:r>
          </w:p>
        </w:tc>
        <w:tc>
          <w:tcPr>
            <w:tcW w:w="2171"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651" w:type="pct"/>
            <w:tcBorders>
              <w:top w:val="nil"/>
              <w:left w:val="nil"/>
              <w:bottom w:val="single" w:color="auto" w:sz="4" w:space="0"/>
              <w:right w:val="single" w:color="auto" w:sz="4" w:space="0"/>
            </w:tcBorders>
            <w:shd w:val="clear" w:color="auto" w:fill="auto"/>
            <w:vAlign w:val="center"/>
          </w:tcPr>
          <w:p>
            <w:pPr>
              <w:jc w:val="center"/>
              <w:rPr>
                <w:rFonts w:ascii="仿宋_GB2312" w:hAnsi="宋体" w:eastAsia="宋体" w:cs="Times New Roman"/>
                <w:sz w:val="18"/>
                <w:szCs w:val="18"/>
              </w:rPr>
            </w:pPr>
            <w:r>
              <w:rPr>
                <w:rFonts w:hint="eastAsia" w:ascii="宋体" w:hAnsi="宋体" w:eastAsia="宋体" w:cs="宋体"/>
                <w:kern w:val="0"/>
                <w:sz w:val="18"/>
                <w:szCs w:val="18"/>
              </w:rPr>
              <w:t>48元/</w:t>
            </w: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480" w:hRule="atLeast"/>
        </w:trPr>
        <w:tc>
          <w:tcPr>
            <w:tcW w:w="44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15 </w:t>
            </w:r>
          </w:p>
        </w:tc>
        <w:tc>
          <w:tcPr>
            <w:tcW w:w="173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沥青路面铣刨加铺（5cm)</w:t>
            </w:r>
          </w:p>
        </w:tc>
        <w:tc>
          <w:tcPr>
            <w:tcW w:w="2171" w:type="pct"/>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651" w:type="pct"/>
            <w:tcBorders>
              <w:top w:val="nil"/>
              <w:left w:val="nil"/>
              <w:bottom w:val="single" w:color="auto" w:sz="4" w:space="0"/>
              <w:right w:val="single" w:color="auto" w:sz="4" w:space="0"/>
            </w:tcBorders>
            <w:shd w:val="clear" w:color="auto" w:fill="auto"/>
            <w:vAlign w:val="center"/>
          </w:tcPr>
          <w:p>
            <w:pPr>
              <w:jc w:val="center"/>
              <w:rPr>
                <w:rFonts w:ascii="仿宋_GB2312" w:hAnsi="宋体" w:eastAsia="宋体" w:cs="Times New Roman"/>
                <w:sz w:val="18"/>
                <w:szCs w:val="18"/>
              </w:rPr>
            </w:pPr>
            <w:r>
              <w:rPr>
                <w:rFonts w:hint="eastAsia" w:ascii="宋体" w:hAnsi="宋体" w:eastAsia="宋体" w:cs="宋体"/>
                <w:kern w:val="0"/>
                <w:sz w:val="18"/>
                <w:szCs w:val="18"/>
              </w:rPr>
              <w:t>137元/</w:t>
            </w: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480" w:hRule="atLeast"/>
        </w:trPr>
        <w:tc>
          <w:tcPr>
            <w:tcW w:w="5000" w:type="pct"/>
            <w:gridSpan w:val="4"/>
            <w:tcBorders>
              <w:top w:val="single" w:color="auto" w:sz="4" w:space="0"/>
              <w:left w:val="nil"/>
              <w:bottom w:val="nil"/>
              <w:right w:val="nil"/>
            </w:tcBorders>
            <w:shd w:val="clear" w:color="auto" w:fill="auto"/>
            <w:vAlign w:val="center"/>
          </w:tcPr>
          <w:p>
            <w:pPr>
              <w:widowControl/>
              <w:jc w:val="left"/>
              <w:rPr>
                <w:rFonts w:ascii="仿宋_GB2312" w:hAnsi="宋体" w:eastAsia="宋体" w:cs="宋体"/>
                <w:kern w:val="0"/>
                <w:sz w:val="24"/>
                <w:szCs w:val="24"/>
              </w:rPr>
            </w:pPr>
            <w:r>
              <w:rPr>
                <w:rFonts w:hint="eastAsia" w:ascii="仿宋_GB2312" w:hAnsi="宋体" w:eastAsia="宋体" w:cs="宋体"/>
                <w:kern w:val="0"/>
                <w:sz w:val="24"/>
                <w:szCs w:val="24"/>
              </w:rPr>
              <w:t>说明：单项工程小于15平方米的按15平方米收费。</w:t>
            </w:r>
          </w:p>
        </w:tc>
      </w:tr>
    </w:tbl>
    <w:p>
      <w:pPr>
        <w:spacing w:line="480" w:lineRule="auto"/>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本单位2022年无国有资本经营预算财政拨款安排的预算。</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（七）国有资产占用情况说明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截至2021年底，北京市交通委员会本级共有车辆64台，共计</w:t>
      </w:r>
      <w:r>
        <w:rPr>
          <w:rFonts w:ascii="仿宋_GB2312" w:eastAsia="仿宋_GB2312"/>
          <w:sz w:val="32"/>
          <w:szCs w:val="32"/>
        </w:rPr>
        <w:t>1837.3</w:t>
      </w:r>
      <w:r>
        <w:rPr>
          <w:rFonts w:hint="eastAsia" w:ascii="仿宋_GB2312" w:eastAsia="仿宋_GB2312"/>
          <w:sz w:val="32"/>
          <w:szCs w:val="32"/>
        </w:rPr>
        <w:t>2万元；单位价值50万元以上的通用设备15台（套）、共计</w:t>
      </w:r>
      <w:r>
        <w:rPr>
          <w:rFonts w:ascii="仿宋_GB2312" w:eastAsia="仿宋_GB2312"/>
          <w:sz w:val="32"/>
          <w:szCs w:val="32"/>
        </w:rPr>
        <w:t>1384.2</w:t>
      </w:r>
      <w:r>
        <w:rPr>
          <w:rFonts w:hint="eastAsia" w:ascii="仿宋_GB2312" w:eastAsia="仿宋_GB2312"/>
          <w:sz w:val="32"/>
          <w:szCs w:val="32"/>
        </w:rPr>
        <w:t>2万元，单位价值100万元以上的专用设备1台（套）、共计</w:t>
      </w:r>
      <w:r>
        <w:rPr>
          <w:rFonts w:ascii="仿宋_GB2312" w:eastAsia="仿宋_GB2312"/>
          <w:sz w:val="32"/>
          <w:szCs w:val="32"/>
        </w:rPr>
        <w:t>496.77</w:t>
      </w:r>
      <w:r>
        <w:rPr>
          <w:rFonts w:hint="eastAsia" w:ascii="仿宋_GB2312" w:eastAsia="仿宋_GB2312"/>
          <w:sz w:val="32"/>
          <w:szCs w:val="32"/>
        </w:rPr>
        <w:t>万元。</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（八）重点支出和重大投资项目情况说明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1.项目名称：纯电动出租汽车推广应用奖励资金</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政策依据：为贯彻落实《北京市人民政府办公厅关于印发&lt;北京市深入打好污染防治攻坚战2021年行动计划&gt;的通知》（京政办发〔2021〕3号）中“组织推进新增和更新的巡游出租车(不含社会保障和个体车辆)力争全部为纯电动车”的要求，经市政府同意，我委研究提出2021年北京市纯电动出租汽车推广应用工作方案。</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3.绩效目标：进一步加快本市出租汽车行业纯电动汽车推广应用，促进出租汽车结构性调整，实现绿色发展，为完成2021年到期报废燃油车辆“油换电”目标任务、打赢污染防治攻坚战奠定坚实基础。</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4.预算安排：64964万元</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5.实施方案：根据《北京市交通委员会关于开展2021年纯电动出租汽车推广应用工作的通知》（京交出租发〔2021〕17号），给予符合相关规定的车辆，继续比照电池价格奖励模式，奖励标准为每辆车不超过5.96万元。新增、更新车辆应在2022年9月30日前完成，申请奖励资金时间不得超过2022年10月31日，预计该项目在2022年支持新增、更新车辆数约10900辆，需奖励资金64964万元。</w:t>
      </w:r>
    </w:p>
    <w:p>
      <w:pPr>
        <w:spacing w:line="480" w:lineRule="auto"/>
        <w:ind w:firstLine="640" w:firstLineChars="200"/>
        <w:rPr>
          <w:rFonts w:ascii="黑体" w:hAnsi="黑体" w:eastAsia="黑体"/>
          <w:sz w:val="32"/>
          <w:szCs w:val="32"/>
        </w:rPr>
      </w:pPr>
      <w:r>
        <w:rPr>
          <w:rFonts w:hint="eastAsia" w:ascii="黑体" w:hAnsi="黑体" w:eastAsia="黑体"/>
          <w:sz w:val="32"/>
          <w:szCs w:val="32"/>
        </w:rPr>
        <w:t>六、名词解释</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项目支出：指在基本支出之外为完成特定行政任务或事业发展目标所发生的支出。</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“三公”经费财政拨款预算数：指本部门当年部门预算安排的因公出国（境）费用、公务接待费、公务用车购置和运行维护费预算数。</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spacing w:line="480" w:lineRule="auto"/>
        <w:ind w:firstLine="640" w:firstLineChars="200"/>
        <w:rPr>
          <w:rFonts w:ascii="仿宋_GB2312" w:eastAsia="仿宋_GB2312"/>
          <w:sz w:val="32"/>
          <w:szCs w:val="32"/>
        </w:rPr>
      </w:pPr>
    </w:p>
    <w:p>
      <w:pPr>
        <w:spacing w:line="480" w:lineRule="auto"/>
        <w:ind w:firstLine="640" w:firstLineChars="200"/>
        <w:rPr>
          <w:rFonts w:ascii="仿宋_GB2312" w:eastAsia="仿宋_GB2312"/>
          <w:sz w:val="32"/>
          <w:szCs w:val="32"/>
        </w:rPr>
      </w:pPr>
    </w:p>
    <w:p>
      <w:pPr>
        <w:widowControl/>
        <w:jc w:val="left"/>
        <w:rPr>
          <w:rFonts w:ascii="仿宋_GB2312" w:eastAsia="仿宋_GB2312"/>
          <w:sz w:val="32"/>
          <w:szCs w:val="32"/>
        </w:rPr>
      </w:pPr>
      <w:r>
        <w:rPr>
          <w:rFonts w:ascii="仿宋_GB2312" w:eastAsia="仿宋_GB2312"/>
          <w:sz w:val="32"/>
          <w:szCs w:val="32"/>
        </w:rPr>
        <w:br w:type="page"/>
      </w:r>
    </w:p>
    <w:p>
      <w:pPr>
        <w:spacing w:line="480" w:lineRule="auto"/>
        <w:jc w:val="center"/>
        <w:rPr>
          <w:rFonts w:ascii="方正小标宋简体" w:eastAsia="方正小标宋简体"/>
          <w:sz w:val="36"/>
          <w:szCs w:val="36"/>
        </w:rPr>
      </w:pPr>
      <w:r>
        <w:rPr>
          <w:rFonts w:hint="eastAsia" w:ascii="方正小标宋简体" w:eastAsia="方正小标宋简体"/>
          <w:sz w:val="36"/>
          <w:szCs w:val="36"/>
        </w:rPr>
        <w:t>第二部分  2022年单位预算报表</w:t>
      </w:r>
    </w:p>
    <w:p>
      <w:pPr>
        <w:spacing w:line="480" w:lineRule="auto"/>
        <w:ind w:firstLine="640" w:firstLineChars="200"/>
        <w:rPr>
          <w:rFonts w:ascii="仿宋_GB2312" w:eastAsia="仿宋_GB2312"/>
          <w:sz w:val="32"/>
          <w:szCs w:val="32"/>
        </w:rPr>
      </w:pPr>
    </w:p>
    <w:p>
      <w:pPr>
        <w:spacing w:line="480" w:lineRule="auto"/>
        <w:ind w:firstLine="640" w:firstLineChars="200"/>
        <w:rPr>
          <w:rFonts w:ascii="仿宋_GB2312" w:eastAsia="仿宋_GB2312"/>
          <w:sz w:val="32"/>
          <w:szCs w:val="32"/>
        </w:rPr>
      </w:pPr>
      <w:r>
        <w:rPr>
          <w:rFonts w:hint="eastAsia" w:ascii="仿宋_GB2312" w:eastAsia="仿宋_GB2312"/>
          <w:sz w:val="32"/>
          <w:szCs w:val="32"/>
        </w:rPr>
        <w:t>附件：北京市交通委员会本级2022年度单位预算报表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8499C"/>
    <w:rsid w:val="00004A86"/>
    <w:rsid w:val="00007467"/>
    <w:rsid w:val="00024AA2"/>
    <w:rsid w:val="00056B0F"/>
    <w:rsid w:val="00060F8F"/>
    <w:rsid w:val="00091E83"/>
    <w:rsid w:val="00097270"/>
    <w:rsid w:val="000D1949"/>
    <w:rsid w:val="000D2964"/>
    <w:rsid w:val="000F00E9"/>
    <w:rsid w:val="001267AF"/>
    <w:rsid w:val="0015093A"/>
    <w:rsid w:val="00165AD9"/>
    <w:rsid w:val="00186300"/>
    <w:rsid w:val="0018770C"/>
    <w:rsid w:val="001B40C3"/>
    <w:rsid w:val="001D104C"/>
    <w:rsid w:val="001D47B5"/>
    <w:rsid w:val="00220AF9"/>
    <w:rsid w:val="002351C6"/>
    <w:rsid w:val="00237FFB"/>
    <w:rsid w:val="00265303"/>
    <w:rsid w:val="002C0ECD"/>
    <w:rsid w:val="002C1A68"/>
    <w:rsid w:val="003458CE"/>
    <w:rsid w:val="00347E01"/>
    <w:rsid w:val="003A47E0"/>
    <w:rsid w:val="003A7E11"/>
    <w:rsid w:val="003C030B"/>
    <w:rsid w:val="003D157F"/>
    <w:rsid w:val="003D6734"/>
    <w:rsid w:val="003E3DD5"/>
    <w:rsid w:val="003E6F60"/>
    <w:rsid w:val="00414076"/>
    <w:rsid w:val="004538FF"/>
    <w:rsid w:val="00456159"/>
    <w:rsid w:val="00457C2D"/>
    <w:rsid w:val="004A4558"/>
    <w:rsid w:val="004D2D3A"/>
    <w:rsid w:val="004F31ED"/>
    <w:rsid w:val="00513ACE"/>
    <w:rsid w:val="005164FA"/>
    <w:rsid w:val="00536B7A"/>
    <w:rsid w:val="00554E53"/>
    <w:rsid w:val="00591DC0"/>
    <w:rsid w:val="005A2DA5"/>
    <w:rsid w:val="005C5FED"/>
    <w:rsid w:val="006012A9"/>
    <w:rsid w:val="00610D5C"/>
    <w:rsid w:val="0063636D"/>
    <w:rsid w:val="006F0DBA"/>
    <w:rsid w:val="007104A2"/>
    <w:rsid w:val="00713788"/>
    <w:rsid w:val="00742199"/>
    <w:rsid w:val="00750E84"/>
    <w:rsid w:val="007609EB"/>
    <w:rsid w:val="0077625B"/>
    <w:rsid w:val="00791743"/>
    <w:rsid w:val="007B3D05"/>
    <w:rsid w:val="007D5392"/>
    <w:rsid w:val="007D6DD4"/>
    <w:rsid w:val="007D7904"/>
    <w:rsid w:val="00817570"/>
    <w:rsid w:val="00832D45"/>
    <w:rsid w:val="00844733"/>
    <w:rsid w:val="00896055"/>
    <w:rsid w:val="008D1FED"/>
    <w:rsid w:val="008E31C4"/>
    <w:rsid w:val="009150A0"/>
    <w:rsid w:val="00915F78"/>
    <w:rsid w:val="00916DC9"/>
    <w:rsid w:val="00995F85"/>
    <w:rsid w:val="009B1E92"/>
    <w:rsid w:val="009C7FEA"/>
    <w:rsid w:val="00A2164E"/>
    <w:rsid w:val="00A475C3"/>
    <w:rsid w:val="00A53CEB"/>
    <w:rsid w:val="00A542E8"/>
    <w:rsid w:val="00A6391A"/>
    <w:rsid w:val="00A71B7F"/>
    <w:rsid w:val="00AB5B06"/>
    <w:rsid w:val="00AC48FB"/>
    <w:rsid w:val="00AD4C9B"/>
    <w:rsid w:val="00AD53D2"/>
    <w:rsid w:val="00AE7B0F"/>
    <w:rsid w:val="00B1538C"/>
    <w:rsid w:val="00B30BFD"/>
    <w:rsid w:val="00B524DB"/>
    <w:rsid w:val="00B87FB8"/>
    <w:rsid w:val="00BA3F35"/>
    <w:rsid w:val="00BA7E0A"/>
    <w:rsid w:val="00BB183B"/>
    <w:rsid w:val="00BD026B"/>
    <w:rsid w:val="00C22F68"/>
    <w:rsid w:val="00C56455"/>
    <w:rsid w:val="00C849BB"/>
    <w:rsid w:val="00C901AB"/>
    <w:rsid w:val="00C975B1"/>
    <w:rsid w:val="00CA1056"/>
    <w:rsid w:val="00CE4BA1"/>
    <w:rsid w:val="00D25E94"/>
    <w:rsid w:val="00D40F70"/>
    <w:rsid w:val="00D45F96"/>
    <w:rsid w:val="00D95314"/>
    <w:rsid w:val="00DC2F08"/>
    <w:rsid w:val="00DD5075"/>
    <w:rsid w:val="00DE61AE"/>
    <w:rsid w:val="00E42154"/>
    <w:rsid w:val="00E42FEC"/>
    <w:rsid w:val="00E44DFC"/>
    <w:rsid w:val="00E57F5F"/>
    <w:rsid w:val="00E626B1"/>
    <w:rsid w:val="00E65028"/>
    <w:rsid w:val="00E659A3"/>
    <w:rsid w:val="00E74616"/>
    <w:rsid w:val="00E8673C"/>
    <w:rsid w:val="00E9288D"/>
    <w:rsid w:val="00EB2055"/>
    <w:rsid w:val="00EC3D29"/>
    <w:rsid w:val="00F00318"/>
    <w:rsid w:val="00F025AE"/>
    <w:rsid w:val="00F04439"/>
    <w:rsid w:val="00F8499C"/>
    <w:rsid w:val="00FA1EED"/>
    <w:rsid w:val="00FC0749"/>
    <w:rsid w:val="077C33BA"/>
    <w:rsid w:val="12B915EB"/>
    <w:rsid w:val="181028E7"/>
    <w:rsid w:val="187052C7"/>
    <w:rsid w:val="1C505CC0"/>
    <w:rsid w:val="1EEA22F5"/>
    <w:rsid w:val="20B87D9F"/>
    <w:rsid w:val="29F37183"/>
    <w:rsid w:val="2CE84D2C"/>
    <w:rsid w:val="2EBE31A3"/>
    <w:rsid w:val="2F734F7B"/>
    <w:rsid w:val="33761C0E"/>
    <w:rsid w:val="4A7869DC"/>
    <w:rsid w:val="4D731F0A"/>
    <w:rsid w:val="530900B2"/>
    <w:rsid w:val="559E2AA3"/>
    <w:rsid w:val="57FF037C"/>
    <w:rsid w:val="73ED5FF9"/>
    <w:rsid w:val="749468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9"/>
    <w:semiHidden/>
    <w:unhideWhenUsed/>
    <w:qFormat/>
    <w:uiPriority w:val="99"/>
    <w:pPr>
      <w:ind w:left="100" w:leftChars="2500"/>
    </w:p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日期 Char"/>
    <w:basedOn w:val="6"/>
    <w:link w:val="2"/>
    <w:semiHidden/>
    <w:qFormat/>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08D5AB-C04B-476A-9A04-27C8E3F424D0}">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13</Pages>
  <Words>824</Words>
  <Characters>4697</Characters>
  <Lines>39</Lines>
  <Paragraphs>11</Paragraphs>
  <TotalTime>2</TotalTime>
  <ScaleCrop>false</ScaleCrop>
  <LinksUpToDate>false</LinksUpToDate>
  <CharactersWithSpaces>5510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2021-11-27T01:57:00Z</dcterms:created>
  <dc:creator>任邯丽</dc:creator>
  <cp:lastModifiedBy>謩色苍茫</cp:lastModifiedBy>
  <dcterms:modified xsi:type="dcterms:W3CDTF">2022-02-24T02:04:19Z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604E6046002141F7851524C33DDEA90C</vt:lpwstr>
  </property>
</Properties>
</file>