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8B" w:rsidRDefault="003E018B" w:rsidP="003E018B">
      <w:pPr>
        <w:spacing w:line="620" w:lineRule="exact"/>
        <w:jc w:val="left"/>
        <w:rPr>
          <w:rFonts w:ascii="黑体" w:eastAsia="黑体" w:hAnsi="黑体" w:cs="黑体"/>
          <w:bCs/>
          <w:sz w:val="32"/>
          <w:szCs w:val="32"/>
        </w:rPr>
      </w:pPr>
      <w:r w:rsidRPr="003E018B">
        <w:rPr>
          <w:rFonts w:ascii="黑体" w:eastAsia="黑体" w:hAnsi="黑体" w:cs="黑体" w:hint="eastAsia"/>
          <w:bCs/>
          <w:sz w:val="32"/>
          <w:szCs w:val="32"/>
        </w:rPr>
        <w:t>附件</w:t>
      </w:r>
      <w:r w:rsidRPr="003E018B">
        <w:rPr>
          <w:rFonts w:ascii="黑体" w:eastAsia="黑体" w:hAnsi="黑体" w:cs="黑体"/>
          <w:bCs/>
          <w:sz w:val="32"/>
          <w:szCs w:val="32"/>
        </w:rPr>
        <w:t>2</w:t>
      </w:r>
    </w:p>
    <w:p w:rsidR="003E018B" w:rsidRPr="003E018B" w:rsidRDefault="003E018B" w:rsidP="003E018B">
      <w:pPr>
        <w:spacing w:line="620" w:lineRule="exact"/>
        <w:jc w:val="left"/>
        <w:rPr>
          <w:rFonts w:ascii="黑体" w:eastAsia="黑体" w:hAnsi="黑体" w:cs="黑体"/>
          <w:bCs/>
          <w:sz w:val="32"/>
          <w:szCs w:val="32"/>
        </w:rPr>
      </w:pPr>
    </w:p>
    <w:p w:rsidR="00E629A2" w:rsidRDefault="00F66363">
      <w:pPr>
        <w:spacing w:line="62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北京市收费公路收费站区通行守则</w:t>
      </w:r>
    </w:p>
    <w:p w:rsidR="00E629A2" w:rsidRDefault="00E629A2">
      <w:pPr>
        <w:spacing w:line="620" w:lineRule="exact"/>
        <w:jc w:val="center"/>
        <w:rPr>
          <w:rFonts w:ascii="方正小标宋简体" w:eastAsia="方正小标宋简体" w:hAnsi="黑体" w:cs="黑体"/>
          <w:bCs/>
          <w:sz w:val="44"/>
          <w:szCs w:val="44"/>
        </w:rPr>
      </w:pPr>
      <w:bookmarkStart w:id="0" w:name="_GoBack"/>
      <w:bookmarkEnd w:id="0"/>
    </w:p>
    <w:p w:rsidR="00E629A2" w:rsidRDefault="00F66363">
      <w:pPr>
        <w:pStyle w:val="aa"/>
        <w:numPr>
          <w:ilvl w:val="0"/>
          <w:numId w:val="1"/>
        </w:numPr>
        <w:spacing w:line="620" w:lineRule="exact"/>
        <w:ind w:left="5" w:firstLineChars="0" w:hanging="5"/>
        <w:rPr>
          <w:rFonts w:ascii="仿宋_GB2312" w:eastAsia="仿宋_GB2312" w:hAnsi="仿宋" w:cs="仿宋"/>
          <w:sz w:val="32"/>
          <w:szCs w:val="32"/>
        </w:rPr>
      </w:pPr>
      <w:r>
        <w:rPr>
          <w:rFonts w:ascii="仿宋_GB2312" w:eastAsia="仿宋_GB2312" w:hAnsi="仿宋" w:cs="仿宋" w:hint="eastAsia"/>
          <w:sz w:val="32"/>
          <w:szCs w:val="32"/>
        </w:rPr>
        <w:t>根据《中华人民共和国公路法》《中华人民共和国道路交通安全法》《中华人民共和国治安管理处罚法》《收费公路管理条例》等有关规定，为保障北京市收费公路收费站区（以下简称收费站区）运营秩序</w:t>
      </w:r>
      <w:r>
        <w:rPr>
          <w:rFonts w:ascii="仿宋_GB2312" w:eastAsia="仿宋_GB2312" w:hAnsi="仿宋" w:cs="仿宋" w:hint="eastAsia"/>
          <w:sz w:val="32"/>
          <w:szCs w:val="32"/>
        </w:rPr>
        <w:t>高效</w:t>
      </w:r>
      <w:r>
        <w:rPr>
          <w:rFonts w:ascii="仿宋_GB2312" w:eastAsia="仿宋_GB2312" w:hAnsi="仿宋" w:cs="仿宋" w:hint="eastAsia"/>
          <w:sz w:val="32"/>
          <w:szCs w:val="32"/>
        </w:rPr>
        <w:t>稳定，为通行车辆提供安全、便捷、和谐的通行环境，特制定本通行守则。</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通行北京市收费公路的车辆驾驶人及乘车人均应遵守本通行守则。</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驾驶人及乘车人应遵守国家及北京市相关法律法规、社会公德，配合站区工作人员管理，共同维护收费站区秩序。</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通行收费站区时，驾驶人应注意与前车保持安全距离，主动排队“一车一杆”，关闭远光灯，按照站区交通标识引导有序通行，非紧急情况不鸣笛。</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ETC</w:t>
      </w:r>
      <w:r>
        <w:rPr>
          <w:rFonts w:ascii="仿宋_GB2312" w:eastAsia="仿宋_GB2312" w:hAnsi="仿宋" w:cs="仿宋" w:hint="eastAsia"/>
          <w:sz w:val="32"/>
          <w:szCs w:val="32"/>
        </w:rPr>
        <w:t>车辆（</w:t>
      </w:r>
      <w:r>
        <w:rPr>
          <w:rFonts w:ascii="仿宋_GB2312" w:eastAsia="仿宋_GB2312" w:hAnsi="仿宋" w:cs="仿宋" w:hint="eastAsia"/>
          <w:sz w:val="32"/>
          <w:szCs w:val="32"/>
        </w:rPr>
        <w:t>ETC</w:t>
      </w:r>
      <w:r>
        <w:rPr>
          <w:rFonts w:ascii="仿宋_GB2312" w:eastAsia="仿宋_GB2312" w:hAnsi="仿宋" w:cs="仿宋" w:hint="eastAsia"/>
          <w:sz w:val="32"/>
          <w:szCs w:val="32"/>
        </w:rPr>
        <w:t>车载设备可正常使用）可选择</w:t>
      </w:r>
      <w:r>
        <w:rPr>
          <w:rFonts w:ascii="仿宋_GB2312" w:eastAsia="仿宋_GB2312" w:hAnsi="仿宋" w:cs="仿宋" w:hint="eastAsia"/>
          <w:sz w:val="32"/>
          <w:szCs w:val="32"/>
        </w:rPr>
        <w:t>ETC</w:t>
      </w:r>
      <w:r>
        <w:rPr>
          <w:rFonts w:ascii="仿宋_GB2312" w:eastAsia="仿宋_GB2312" w:hAnsi="仿宋" w:cs="仿宋" w:hint="eastAsia"/>
          <w:sz w:val="32"/>
          <w:szCs w:val="32"/>
        </w:rPr>
        <w:t>专用车道或</w:t>
      </w:r>
      <w:r>
        <w:rPr>
          <w:rFonts w:ascii="仿宋_GB2312" w:eastAsia="仿宋_GB2312" w:hAnsi="仿宋" w:cs="仿宋" w:hint="eastAsia"/>
          <w:sz w:val="32"/>
          <w:szCs w:val="32"/>
        </w:rPr>
        <w:t>ETC/MTC</w:t>
      </w:r>
      <w:r>
        <w:rPr>
          <w:rFonts w:ascii="仿宋_GB2312" w:eastAsia="仿宋_GB2312" w:hAnsi="仿宋" w:cs="仿宋" w:hint="eastAsia"/>
          <w:sz w:val="32"/>
          <w:szCs w:val="32"/>
        </w:rPr>
        <w:t>混合车道通行，非</w:t>
      </w:r>
      <w:r>
        <w:rPr>
          <w:rFonts w:ascii="仿宋_GB2312" w:eastAsia="仿宋_GB2312" w:hAnsi="仿宋" w:cs="仿宋" w:hint="eastAsia"/>
          <w:sz w:val="32"/>
          <w:szCs w:val="32"/>
        </w:rPr>
        <w:t>ETC</w:t>
      </w:r>
      <w:r>
        <w:rPr>
          <w:rFonts w:ascii="仿宋_GB2312" w:eastAsia="仿宋_GB2312" w:hAnsi="仿宋" w:cs="仿宋" w:hint="eastAsia"/>
          <w:sz w:val="32"/>
          <w:szCs w:val="32"/>
        </w:rPr>
        <w:t>车辆（包含已安装</w:t>
      </w:r>
      <w:r>
        <w:rPr>
          <w:rFonts w:ascii="仿宋_GB2312" w:eastAsia="仿宋_GB2312" w:hAnsi="仿宋" w:cs="仿宋" w:hint="eastAsia"/>
          <w:sz w:val="32"/>
          <w:szCs w:val="32"/>
        </w:rPr>
        <w:t>ETC</w:t>
      </w:r>
      <w:r>
        <w:rPr>
          <w:rFonts w:ascii="仿宋_GB2312" w:eastAsia="仿宋_GB2312" w:hAnsi="仿宋" w:cs="仿宋" w:hint="eastAsia"/>
          <w:sz w:val="32"/>
          <w:szCs w:val="32"/>
        </w:rPr>
        <w:t>设备但因故无法正常使用的车辆）或已安装</w:t>
      </w:r>
      <w:r>
        <w:rPr>
          <w:rFonts w:ascii="仿宋_GB2312" w:eastAsia="仿宋_GB2312" w:hAnsi="仿宋" w:cs="仿宋" w:hint="eastAsia"/>
          <w:sz w:val="32"/>
          <w:szCs w:val="32"/>
        </w:rPr>
        <w:t>ETC</w:t>
      </w:r>
      <w:r>
        <w:rPr>
          <w:rFonts w:ascii="仿宋_GB2312" w:eastAsia="仿宋_GB2312" w:hAnsi="仿宋" w:cs="仿宋" w:hint="eastAsia"/>
          <w:sz w:val="32"/>
          <w:szCs w:val="32"/>
        </w:rPr>
        <w:t>设备但使用现金缴费的车辆应选择</w:t>
      </w:r>
      <w:r>
        <w:rPr>
          <w:rFonts w:ascii="仿宋_GB2312" w:eastAsia="仿宋_GB2312" w:hAnsi="仿宋" w:cs="仿宋" w:hint="eastAsia"/>
          <w:sz w:val="32"/>
          <w:szCs w:val="32"/>
        </w:rPr>
        <w:t>ETC/MTC</w:t>
      </w:r>
      <w:r>
        <w:rPr>
          <w:rFonts w:ascii="仿宋_GB2312" w:eastAsia="仿宋_GB2312" w:hAnsi="仿宋" w:cs="仿宋" w:hint="eastAsia"/>
          <w:sz w:val="32"/>
          <w:szCs w:val="32"/>
        </w:rPr>
        <w:t>混合车道</w:t>
      </w:r>
      <w:r>
        <w:rPr>
          <w:rFonts w:ascii="仿宋_GB2312" w:eastAsia="仿宋_GB2312" w:hAnsi="仿宋" w:cs="仿宋" w:hint="eastAsia"/>
          <w:sz w:val="32"/>
          <w:szCs w:val="32"/>
        </w:rPr>
        <w:t>或</w:t>
      </w:r>
      <w:r>
        <w:rPr>
          <w:rFonts w:ascii="仿宋_GB2312" w:eastAsia="仿宋_GB2312" w:hAnsi="仿宋" w:cs="仿宋" w:hint="eastAsia"/>
          <w:sz w:val="32"/>
          <w:szCs w:val="32"/>
        </w:rPr>
        <w:t>MTC</w:t>
      </w:r>
      <w:r>
        <w:rPr>
          <w:rFonts w:ascii="仿宋_GB2312" w:eastAsia="仿宋_GB2312" w:hAnsi="仿宋" w:cs="仿宋" w:hint="eastAsia"/>
          <w:sz w:val="32"/>
          <w:szCs w:val="32"/>
        </w:rPr>
        <w:t>车道</w:t>
      </w:r>
      <w:r>
        <w:rPr>
          <w:rFonts w:ascii="仿宋_GB2312" w:eastAsia="仿宋_GB2312" w:hAnsi="仿宋" w:cs="仿宋" w:hint="eastAsia"/>
          <w:sz w:val="32"/>
          <w:szCs w:val="32"/>
        </w:rPr>
        <w:t>通行，入口车道领取</w:t>
      </w:r>
      <w:r>
        <w:rPr>
          <w:rFonts w:ascii="仿宋_GB2312" w:eastAsia="仿宋_GB2312" w:hAnsi="仿宋" w:cs="仿宋" w:hint="eastAsia"/>
          <w:sz w:val="32"/>
          <w:szCs w:val="32"/>
        </w:rPr>
        <w:t>CPC</w:t>
      </w:r>
      <w:r>
        <w:rPr>
          <w:rFonts w:ascii="仿宋_GB2312" w:eastAsia="仿宋_GB2312" w:hAnsi="仿宋" w:cs="仿宋" w:hint="eastAsia"/>
          <w:sz w:val="32"/>
          <w:szCs w:val="32"/>
        </w:rPr>
        <w:t>卡妥善保存，出口车道交回</w:t>
      </w:r>
      <w:r>
        <w:rPr>
          <w:rFonts w:ascii="仿宋_GB2312" w:eastAsia="仿宋_GB2312" w:hAnsi="仿宋" w:cs="仿宋" w:hint="eastAsia"/>
          <w:sz w:val="32"/>
          <w:szCs w:val="32"/>
        </w:rPr>
        <w:t>CPC</w:t>
      </w:r>
      <w:r>
        <w:rPr>
          <w:rFonts w:ascii="仿宋_GB2312" w:eastAsia="仿宋_GB2312" w:hAnsi="仿宋" w:cs="仿宋" w:hint="eastAsia"/>
          <w:sz w:val="32"/>
          <w:szCs w:val="32"/>
        </w:rPr>
        <w:t>卡</w:t>
      </w:r>
      <w:r>
        <w:rPr>
          <w:rFonts w:ascii="仿宋_GB2312" w:eastAsia="仿宋_GB2312" w:hAnsi="仿宋" w:cs="仿宋" w:hint="eastAsia"/>
          <w:sz w:val="32"/>
          <w:szCs w:val="32"/>
        </w:rPr>
        <w:lastRenderedPageBreak/>
        <w:t>并缴纳通行费，造成</w:t>
      </w:r>
      <w:r>
        <w:rPr>
          <w:rFonts w:ascii="仿宋_GB2312" w:eastAsia="仿宋_GB2312" w:hAnsi="仿宋" w:cs="仿宋" w:hint="eastAsia"/>
          <w:sz w:val="32"/>
          <w:szCs w:val="32"/>
        </w:rPr>
        <w:t>CPC</w:t>
      </w:r>
      <w:r>
        <w:rPr>
          <w:rFonts w:ascii="仿宋_GB2312" w:eastAsia="仿宋_GB2312" w:hAnsi="仿宋" w:cs="仿宋" w:hint="eastAsia"/>
          <w:sz w:val="32"/>
          <w:szCs w:val="32"/>
        </w:rPr>
        <w:t>卡丢失或人为损坏的应支付卡片工本费。</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ETC</w:t>
      </w:r>
      <w:r>
        <w:rPr>
          <w:rFonts w:ascii="仿宋_GB2312" w:eastAsia="仿宋_GB2312" w:hAnsi="仿宋" w:cs="仿宋" w:hint="eastAsia"/>
          <w:sz w:val="32"/>
          <w:szCs w:val="32"/>
        </w:rPr>
        <w:t>用户驶入收费站区前须确认</w:t>
      </w:r>
      <w:r>
        <w:rPr>
          <w:rFonts w:ascii="仿宋_GB2312" w:eastAsia="仿宋_GB2312" w:hAnsi="仿宋" w:cs="仿宋" w:hint="eastAsia"/>
          <w:sz w:val="32"/>
          <w:szCs w:val="32"/>
        </w:rPr>
        <w:t>ETC</w:t>
      </w:r>
      <w:r>
        <w:rPr>
          <w:rFonts w:ascii="仿宋_GB2312" w:eastAsia="仿宋_GB2312" w:hAnsi="仿宋" w:cs="仿宋" w:hint="eastAsia"/>
          <w:sz w:val="32"/>
          <w:szCs w:val="32"/>
        </w:rPr>
        <w:t>账户及车载设备正常，检查</w:t>
      </w:r>
      <w:r>
        <w:rPr>
          <w:rFonts w:ascii="仿宋_GB2312" w:eastAsia="仿宋_GB2312" w:hAnsi="仿宋" w:cs="仿宋" w:hint="eastAsia"/>
          <w:sz w:val="32"/>
          <w:szCs w:val="32"/>
        </w:rPr>
        <w:t>ETC</w:t>
      </w:r>
      <w:r>
        <w:rPr>
          <w:rFonts w:ascii="仿宋_GB2312" w:eastAsia="仿宋_GB2312" w:hAnsi="仿宋" w:cs="仿宋" w:hint="eastAsia"/>
          <w:sz w:val="32"/>
          <w:szCs w:val="32"/>
        </w:rPr>
        <w:t>账户或绑定的银行账户是否异常或欠费，并检查</w:t>
      </w:r>
      <w:r>
        <w:rPr>
          <w:rFonts w:ascii="仿宋_GB2312" w:eastAsia="仿宋_GB2312" w:hAnsi="仿宋" w:cs="仿宋" w:hint="eastAsia"/>
          <w:sz w:val="32"/>
          <w:szCs w:val="32"/>
        </w:rPr>
        <w:t>ETC</w:t>
      </w:r>
      <w:r>
        <w:rPr>
          <w:rFonts w:ascii="仿宋_GB2312" w:eastAsia="仿宋_GB2312" w:hAnsi="仿宋" w:cs="仿宋" w:hint="eastAsia"/>
          <w:sz w:val="32"/>
          <w:szCs w:val="32"/>
        </w:rPr>
        <w:t>车载设备是否有拆卸、松动、电量不足等异常，确保</w:t>
      </w:r>
      <w:r>
        <w:rPr>
          <w:rFonts w:ascii="仿宋_GB2312" w:eastAsia="仿宋_GB2312" w:hAnsi="仿宋" w:cs="仿宋" w:hint="eastAsia"/>
          <w:sz w:val="32"/>
          <w:szCs w:val="32"/>
        </w:rPr>
        <w:t>ETC</w:t>
      </w:r>
      <w:r>
        <w:rPr>
          <w:rFonts w:ascii="仿宋_GB2312" w:eastAsia="仿宋_GB2312" w:hAnsi="仿宋" w:cs="仿宋" w:hint="eastAsia"/>
          <w:sz w:val="32"/>
          <w:szCs w:val="32"/>
        </w:rPr>
        <w:t>卡已插入车载设备中可正常使用。</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已安装</w:t>
      </w:r>
      <w:r>
        <w:rPr>
          <w:rFonts w:ascii="仿宋_GB2312" w:eastAsia="仿宋_GB2312" w:hAnsi="仿宋" w:cs="仿宋" w:hint="eastAsia"/>
          <w:sz w:val="32"/>
          <w:szCs w:val="32"/>
        </w:rPr>
        <w:t>ETC</w:t>
      </w:r>
      <w:r>
        <w:rPr>
          <w:rFonts w:ascii="仿宋_GB2312" w:eastAsia="仿宋_GB2312" w:hAnsi="仿宋" w:cs="仿宋" w:hint="eastAsia"/>
          <w:sz w:val="32"/>
          <w:szCs w:val="32"/>
        </w:rPr>
        <w:t>设备但使用现金缴费的车辆通行收费公路前须确认</w:t>
      </w:r>
      <w:r>
        <w:rPr>
          <w:rFonts w:ascii="仿宋_GB2312" w:eastAsia="仿宋_GB2312" w:hAnsi="仿宋" w:cs="仿宋" w:hint="eastAsia"/>
          <w:sz w:val="32"/>
          <w:szCs w:val="32"/>
        </w:rPr>
        <w:t>ETC</w:t>
      </w:r>
      <w:r>
        <w:rPr>
          <w:rFonts w:ascii="仿宋_GB2312" w:eastAsia="仿宋_GB2312" w:hAnsi="仿宋" w:cs="仿宋" w:hint="eastAsia"/>
          <w:sz w:val="32"/>
          <w:szCs w:val="32"/>
        </w:rPr>
        <w:t>卡已从车载设备中拔出。</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通行收费站区要配合工作人员确定车辆车型，必要时主动出示机动车行驶证等有效证件作为车型分类依据。</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驾驶货车、专项作业车通行收费站入口须选择称重检测车道通行，并配合收费站工作人员开展入口称重检测工作。</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运输鲜活农产品的车辆及运输跨区作业联合收割机（插秧机）的车辆，应选</w:t>
      </w:r>
      <w:r>
        <w:rPr>
          <w:rFonts w:ascii="仿宋_GB2312" w:eastAsia="仿宋_GB2312" w:hAnsi="仿宋" w:cs="仿宋" w:hint="eastAsia"/>
          <w:sz w:val="32"/>
          <w:szCs w:val="32"/>
        </w:rPr>
        <w:t>择收费站区绿色通道通行，并配合站区工作人员完成查验。</w:t>
      </w:r>
    </w:p>
    <w:p w:rsidR="00E629A2" w:rsidRDefault="00F66363">
      <w:pPr>
        <w:numPr>
          <w:ilvl w:val="0"/>
          <w:numId w:val="1"/>
        </w:numPr>
        <w:spacing w:line="620" w:lineRule="exact"/>
        <w:ind w:left="0" w:firstLine="0"/>
        <w:rPr>
          <w:rFonts w:ascii="仿宋_GB2312" w:eastAsia="仿宋_GB2312" w:hAnsi="仿宋" w:cs="仿宋"/>
          <w:sz w:val="32"/>
          <w:szCs w:val="32"/>
        </w:rPr>
      </w:pPr>
      <w:r>
        <w:rPr>
          <w:rFonts w:ascii="仿宋_GB2312" w:eastAsia="仿宋_GB2312" w:hAnsi="仿宋" w:cs="仿宋" w:hint="eastAsia"/>
          <w:sz w:val="32"/>
          <w:szCs w:val="32"/>
        </w:rPr>
        <w:t>收费站区严禁下列行为：</w:t>
      </w:r>
    </w:p>
    <w:p w:rsidR="00E629A2" w:rsidRDefault="00F66363">
      <w:pPr>
        <w:numPr>
          <w:ilvl w:val="0"/>
          <w:numId w:val="2"/>
        </w:numPr>
        <w:spacing w:line="620" w:lineRule="exact"/>
        <w:rPr>
          <w:rFonts w:ascii="仿宋_GB2312" w:eastAsia="仿宋_GB2312" w:hAnsi="仿宋" w:cs="仿宋"/>
          <w:sz w:val="32"/>
          <w:szCs w:val="32"/>
        </w:rPr>
      </w:pPr>
      <w:r>
        <w:rPr>
          <w:rFonts w:ascii="仿宋_GB2312" w:eastAsia="仿宋_GB2312" w:hAnsi="仿宋" w:cs="仿宋" w:hint="eastAsia"/>
          <w:sz w:val="32"/>
          <w:szCs w:val="32"/>
        </w:rPr>
        <w:t>行人、非机动车、拖拉机、轮式专用机械车、铰接式客车、全挂拖斗车以及其他设计最高时速低于七十公里的机动车进入；</w:t>
      </w:r>
    </w:p>
    <w:p w:rsidR="00E629A2" w:rsidRDefault="00F66363">
      <w:pPr>
        <w:numPr>
          <w:ilvl w:val="0"/>
          <w:numId w:val="2"/>
        </w:numPr>
        <w:spacing w:line="620" w:lineRule="exact"/>
        <w:rPr>
          <w:rFonts w:ascii="仿宋_GB2312" w:eastAsia="仿宋_GB2312" w:hAnsi="仿宋" w:cs="仿宋"/>
          <w:sz w:val="32"/>
          <w:szCs w:val="32"/>
        </w:rPr>
      </w:pPr>
      <w:r>
        <w:rPr>
          <w:rFonts w:ascii="仿宋_GB2312" w:eastAsia="仿宋_GB2312" w:hAnsi="仿宋" w:cs="仿宋" w:hint="eastAsia"/>
          <w:sz w:val="32"/>
          <w:szCs w:val="32"/>
        </w:rPr>
        <w:t>占用车道堵塞收费站区或阻碍收费站管理工作正常进行；</w:t>
      </w:r>
      <w:r>
        <w:rPr>
          <w:rFonts w:ascii="仿宋_GB2312" w:eastAsia="仿宋_GB2312" w:hAnsi="仿宋" w:cs="仿宋" w:hint="eastAsia"/>
          <w:sz w:val="32"/>
          <w:szCs w:val="32"/>
        </w:rPr>
        <w:t xml:space="preserve"> </w:t>
      </w:r>
    </w:p>
    <w:p w:rsidR="00E629A2" w:rsidRDefault="00F66363">
      <w:pPr>
        <w:numPr>
          <w:ilvl w:val="0"/>
          <w:numId w:val="2"/>
        </w:numPr>
        <w:spacing w:line="620" w:lineRule="exact"/>
        <w:rPr>
          <w:rFonts w:ascii="仿宋_GB2312" w:eastAsia="仿宋_GB2312" w:hAnsi="仿宋" w:cs="仿宋"/>
          <w:sz w:val="32"/>
          <w:szCs w:val="32"/>
        </w:rPr>
      </w:pPr>
      <w:r>
        <w:rPr>
          <w:rFonts w:ascii="仿宋_GB2312" w:eastAsia="仿宋_GB2312" w:hAnsi="仿宋" w:cs="仿宋" w:hint="eastAsia"/>
          <w:sz w:val="32"/>
          <w:szCs w:val="32"/>
        </w:rPr>
        <w:lastRenderedPageBreak/>
        <w:t>驾驶车辆抢行、加塞、强行并线等行为；</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（四）驾驶车辆冲卡、损坏收费站区设备设施；</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（五）驾驶超载超限车辆驶入（已办理超限运输许可的车辆除外）；</w:t>
      </w:r>
      <w:r>
        <w:rPr>
          <w:rFonts w:ascii="仿宋_GB2312" w:eastAsia="仿宋_GB2312" w:hAnsi="仿宋" w:cs="仿宋" w:hint="eastAsia"/>
          <w:sz w:val="32"/>
          <w:szCs w:val="32"/>
        </w:rPr>
        <w:t xml:space="preserve"> </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（六）逃交、拒交、少交车辆通行费；</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（七）以暴力、威胁、侮辱等手段妨碍收费站区工作人员履行职责；</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（八）驾驶未安装</w:t>
      </w:r>
      <w:r>
        <w:rPr>
          <w:rFonts w:ascii="仿宋_GB2312" w:eastAsia="仿宋_GB2312" w:hAnsi="仿宋" w:cs="仿宋" w:hint="eastAsia"/>
          <w:sz w:val="32"/>
          <w:szCs w:val="32"/>
        </w:rPr>
        <w:t>ETC</w:t>
      </w:r>
      <w:r>
        <w:rPr>
          <w:rFonts w:ascii="仿宋_GB2312" w:eastAsia="仿宋_GB2312" w:hAnsi="仿宋" w:cs="仿宋" w:hint="eastAsia"/>
          <w:sz w:val="32"/>
          <w:szCs w:val="32"/>
        </w:rPr>
        <w:t>车载</w:t>
      </w:r>
      <w:r>
        <w:rPr>
          <w:rFonts w:ascii="仿宋_GB2312" w:eastAsia="仿宋_GB2312" w:hAnsi="仿宋" w:cs="仿宋" w:hint="eastAsia"/>
          <w:sz w:val="32"/>
          <w:szCs w:val="32"/>
        </w:rPr>
        <w:t>设备或车载设备未</w:t>
      </w:r>
      <w:r>
        <w:rPr>
          <w:rFonts w:ascii="仿宋_GB2312" w:eastAsia="仿宋_GB2312" w:hAnsi="仿宋" w:cs="仿宋" w:hint="eastAsia"/>
          <w:sz w:val="32"/>
          <w:szCs w:val="32"/>
        </w:rPr>
        <w:t>正常</w:t>
      </w:r>
      <w:r>
        <w:rPr>
          <w:rFonts w:ascii="仿宋_GB2312" w:eastAsia="仿宋_GB2312" w:hAnsi="仿宋" w:cs="仿宋" w:hint="eastAsia"/>
          <w:sz w:val="32"/>
          <w:szCs w:val="32"/>
        </w:rPr>
        <w:t>插</w:t>
      </w:r>
      <w:r>
        <w:rPr>
          <w:rFonts w:ascii="仿宋_GB2312" w:eastAsia="仿宋_GB2312" w:hAnsi="仿宋" w:cs="仿宋" w:hint="eastAsia"/>
          <w:sz w:val="32"/>
          <w:szCs w:val="32"/>
        </w:rPr>
        <w:t>入</w:t>
      </w:r>
      <w:r>
        <w:rPr>
          <w:rFonts w:ascii="仿宋_GB2312" w:eastAsia="仿宋_GB2312" w:hAnsi="仿宋" w:cs="仿宋" w:hint="eastAsia"/>
          <w:sz w:val="32"/>
          <w:szCs w:val="32"/>
        </w:rPr>
        <w:t>ETC</w:t>
      </w:r>
      <w:r>
        <w:rPr>
          <w:rFonts w:ascii="仿宋_GB2312" w:eastAsia="仿宋_GB2312" w:hAnsi="仿宋" w:cs="仿宋" w:hint="eastAsia"/>
          <w:sz w:val="32"/>
          <w:szCs w:val="32"/>
        </w:rPr>
        <w:t>卡的车辆通行</w:t>
      </w:r>
      <w:r>
        <w:rPr>
          <w:rFonts w:ascii="仿宋_GB2312" w:eastAsia="仿宋_GB2312" w:hAnsi="仿宋" w:cs="仿宋" w:hint="eastAsia"/>
          <w:sz w:val="32"/>
          <w:szCs w:val="32"/>
        </w:rPr>
        <w:t>ETC</w:t>
      </w:r>
      <w:r>
        <w:rPr>
          <w:rFonts w:ascii="仿宋_GB2312" w:eastAsia="仿宋_GB2312" w:hAnsi="仿宋" w:cs="仿宋" w:hint="eastAsia"/>
          <w:sz w:val="32"/>
          <w:szCs w:val="32"/>
        </w:rPr>
        <w:t>专用车道；</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sz w:val="32"/>
          <w:szCs w:val="32"/>
        </w:rPr>
        <w:t>（九）同一车辆上放置多套</w:t>
      </w:r>
      <w:r>
        <w:rPr>
          <w:rFonts w:ascii="仿宋_GB2312" w:eastAsia="仿宋_GB2312" w:hAnsi="仿宋" w:cs="仿宋" w:hint="eastAsia"/>
          <w:sz w:val="32"/>
          <w:szCs w:val="32"/>
        </w:rPr>
        <w:t>ETC</w:t>
      </w:r>
      <w:r>
        <w:rPr>
          <w:rFonts w:ascii="仿宋_GB2312" w:eastAsia="仿宋_GB2312" w:hAnsi="仿宋" w:cs="仿宋" w:hint="eastAsia"/>
          <w:sz w:val="32"/>
          <w:szCs w:val="32"/>
        </w:rPr>
        <w:t>车载设备或多张高速公路复合通行卡（</w:t>
      </w:r>
      <w:r>
        <w:rPr>
          <w:rFonts w:ascii="仿宋_GB2312" w:eastAsia="仿宋_GB2312" w:hAnsi="仿宋" w:cs="仿宋" w:hint="eastAsia"/>
          <w:sz w:val="32"/>
          <w:szCs w:val="32"/>
        </w:rPr>
        <w:t>CPC</w:t>
      </w:r>
      <w:r>
        <w:rPr>
          <w:rFonts w:ascii="仿宋_GB2312" w:eastAsia="仿宋_GB2312" w:hAnsi="仿宋" w:cs="仿宋" w:hint="eastAsia"/>
          <w:sz w:val="32"/>
          <w:szCs w:val="32"/>
        </w:rPr>
        <w:t>卡）；</w:t>
      </w:r>
    </w:p>
    <w:p w:rsidR="00E629A2" w:rsidRDefault="00F66363">
      <w:pPr>
        <w:pStyle w:val="aa"/>
        <w:spacing w:line="620" w:lineRule="exact"/>
        <w:ind w:firstLineChars="0" w:firstLine="0"/>
        <w:rPr>
          <w:rFonts w:ascii="仿宋_GB2312" w:eastAsia="仿宋_GB2312" w:hAnsi="仿宋" w:cs="仿宋"/>
          <w:sz w:val="32"/>
          <w:szCs w:val="32"/>
        </w:rPr>
      </w:pPr>
      <w:r>
        <w:rPr>
          <w:rFonts w:ascii="仿宋_GB2312" w:eastAsia="仿宋_GB2312" w:hAnsi="仿宋" w:cs="仿宋" w:hint="eastAsia"/>
          <w:sz w:val="32"/>
          <w:szCs w:val="32"/>
        </w:rPr>
        <w:t>（十）随意丢弃、遗撒、倾倒、堆放、处置各类垃圾；</w:t>
      </w:r>
    </w:p>
    <w:p w:rsidR="00E629A2" w:rsidRDefault="00F66363">
      <w:pPr>
        <w:pStyle w:val="aa"/>
        <w:spacing w:line="620" w:lineRule="exact"/>
        <w:ind w:firstLineChars="0" w:firstLine="0"/>
        <w:rPr>
          <w:rFonts w:ascii="仿宋_GB2312" w:eastAsia="仿宋_GB2312" w:hAnsi="仿宋" w:cs="仿宋"/>
          <w:sz w:val="32"/>
          <w:szCs w:val="32"/>
        </w:rPr>
      </w:pPr>
      <w:r>
        <w:rPr>
          <w:rFonts w:ascii="仿宋_GB2312" w:eastAsia="仿宋_GB2312" w:hAnsi="仿宋" w:cs="仿宋" w:hint="eastAsia"/>
          <w:sz w:val="32"/>
          <w:szCs w:val="32"/>
        </w:rPr>
        <w:t>（十一）其他扰乱收费站区运营秩序的行为。</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b/>
          <w:sz w:val="32"/>
          <w:szCs w:val="32"/>
        </w:rPr>
        <w:t>第十二条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收费公路收费站区范围内发生突发事件时，车辆驾驶人及乘车人应配合站区工作人员现场管理，保护自己及其他车辆的人身财产安全。</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b/>
          <w:sz w:val="32"/>
          <w:szCs w:val="32"/>
        </w:rPr>
        <w:t>第十三条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对收费公路收费站区管理及服务存在异议可向收费站区经营管理单位或北京市交通行业主管部门进行反映或投诉。</w:t>
      </w:r>
    </w:p>
    <w:p w:rsidR="00E629A2" w:rsidRDefault="00F66363">
      <w:pPr>
        <w:spacing w:line="620" w:lineRule="exact"/>
        <w:rPr>
          <w:rFonts w:ascii="仿宋_GB2312" w:eastAsia="仿宋_GB2312" w:hAnsi="仿宋" w:cs="仿宋"/>
          <w:sz w:val="32"/>
          <w:szCs w:val="32"/>
        </w:rPr>
      </w:pPr>
      <w:r>
        <w:rPr>
          <w:rFonts w:ascii="仿宋_GB2312" w:eastAsia="仿宋_GB2312" w:hAnsi="仿宋" w:cs="仿宋" w:hint="eastAsia"/>
          <w:b/>
          <w:sz w:val="32"/>
          <w:szCs w:val="32"/>
        </w:rPr>
        <w:t>第十四条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本守则自印发之日起施行。</w:t>
      </w:r>
    </w:p>
    <w:sectPr w:rsidR="00E62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363" w:rsidRDefault="00F66363" w:rsidP="003E018B">
      <w:r>
        <w:separator/>
      </w:r>
    </w:p>
  </w:endnote>
  <w:endnote w:type="continuationSeparator" w:id="0">
    <w:p w:rsidR="00F66363" w:rsidRDefault="00F66363" w:rsidP="003E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363" w:rsidRDefault="00F66363" w:rsidP="003E018B">
      <w:r>
        <w:separator/>
      </w:r>
    </w:p>
  </w:footnote>
  <w:footnote w:type="continuationSeparator" w:id="0">
    <w:p w:rsidR="00F66363" w:rsidRDefault="00F66363" w:rsidP="003E0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91E"/>
    <w:multiLevelType w:val="multilevel"/>
    <w:tmpl w:val="0A07691E"/>
    <w:lvl w:ilvl="0">
      <w:start w:val="1"/>
      <w:numFmt w:val="japaneseCounting"/>
      <w:lvlText w:val="第%1条"/>
      <w:lvlJc w:val="left"/>
      <w:pPr>
        <w:ind w:left="1125" w:hanging="112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DE5C37"/>
    <w:multiLevelType w:val="singleLevel"/>
    <w:tmpl w:val="1FDE5C3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31"/>
    <w:rsid w:val="00003B8B"/>
    <w:rsid w:val="00023F4D"/>
    <w:rsid w:val="00075C40"/>
    <w:rsid w:val="00097EA4"/>
    <w:rsid w:val="000A28AA"/>
    <w:rsid w:val="000E57EA"/>
    <w:rsid w:val="00156A0D"/>
    <w:rsid w:val="00176C88"/>
    <w:rsid w:val="001A774B"/>
    <w:rsid w:val="00214DF4"/>
    <w:rsid w:val="002214B8"/>
    <w:rsid w:val="002961F0"/>
    <w:rsid w:val="002B51FA"/>
    <w:rsid w:val="003317FE"/>
    <w:rsid w:val="00343C70"/>
    <w:rsid w:val="00370B72"/>
    <w:rsid w:val="0039181F"/>
    <w:rsid w:val="00395B9C"/>
    <w:rsid w:val="003B3F6D"/>
    <w:rsid w:val="003D5118"/>
    <w:rsid w:val="003E018B"/>
    <w:rsid w:val="003E3C21"/>
    <w:rsid w:val="00416F74"/>
    <w:rsid w:val="00493A9E"/>
    <w:rsid w:val="004D3F88"/>
    <w:rsid w:val="004E6CCC"/>
    <w:rsid w:val="004F1AC4"/>
    <w:rsid w:val="00523737"/>
    <w:rsid w:val="006223CD"/>
    <w:rsid w:val="006524D5"/>
    <w:rsid w:val="00663618"/>
    <w:rsid w:val="00687437"/>
    <w:rsid w:val="0069503B"/>
    <w:rsid w:val="00697C8E"/>
    <w:rsid w:val="006C0D7D"/>
    <w:rsid w:val="007C1F98"/>
    <w:rsid w:val="007E286C"/>
    <w:rsid w:val="007E2982"/>
    <w:rsid w:val="007F2C40"/>
    <w:rsid w:val="00800694"/>
    <w:rsid w:val="00854818"/>
    <w:rsid w:val="008848C8"/>
    <w:rsid w:val="009168C6"/>
    <w:rsid w:val="009832FA"/>
    <w:rsid w:val="009C61B7"/>
    <w:rsid w:val="00A02EBC"/>
    <w:rsid w:val="00A12269"/>
    <w:rsid w:val="00AA1E4D"/>
    <w:rsid w:val="00B14F0D"/>
    <w:rsid w:val="00B15EB5"/>
    <w:rsid w:val="00B419A7"/>
    <w:rsid w:val="00B843B7"/>
    <w:rsid w:val="00BB6631"/>
    <w:rsid w:val="00C65254"/>
    <w:rsid w:val="00CD5079"/>
    <w:rsid w:val="00D10CDB"/>
    <w:rsid w:val="00D17CE8"/>
    <w:rsid w:val="00DC3BD1"/>
    <w:rsid w:val="00E33E4A"/>
    <w:rsid w:val="00E629A2"/>
    <w:rsid w:val="00E92A8B"/>
    <w:rsid w:val="00EB6E23"/>
    <w:rsid w:val="00ED1D8F"/>
    <w:rsid w:val="00F66363"/>
    <w:rsid w:val="00F77DCE"/>
    <w:rsid w:val="00FD697B"/>
    <w:rsid w:val="02E16523"/>
    <w:rsid w:val="03DC4FF9"/>
    <w:rsid w:val="06060AB3"/>
    <w:rsid w:val="0A703425"/>
    <w:rsid w:val="0A8C03FF"/>
    <w:rsid w:val="0AE23C14"/>
    <w:rsid w:val="0D740872"/>
    <w:rsid w:val="0D7422E4"/>
    <w:rsid w:val="0F595E67"/>
    <w:rsid w:val="0FB2142D"/>
    <w:rsid w:val="0FC65FD8"/>
    <w:rsid w:val="101B37A7"/>
    <w:rsid w:val="108660D7"/>
    <w:rsid w:val="12D5092C"/>
    <w:rsid w:val="13511AC3"/>
    <w:rsid w:val="135E5AA2"/>
    <w:rsid w:val="142E58E6"/>
    <w:rsid w:val="15D50A1A"/>
    <w:rsid w:val="18661C27"/>
    <w:rsid w:val="1C2A4BAF"/>
    <w:rsid w:val="20652697"/>
    <w:rsid w:val="234D6FB8"/>
    <w:rsid w:val="238D706D"/>
    <w:rsid w:val="2942555B"/>
    <w:rsid w:val="2C66477C"/>
    <w:rsid w:val="3010673E"/>
    <w:rsid w:val="30E0181C"/>
    <w:rsid w:val="3429365D"/>
    <w:rsid w:val="34874870"/>
    <w:rsid w:val="36B4686C"/>
    <w:rsid w:val="372205AF"/>
    <w:rsid w:val="37496E86"/>
    <w:rsid w:val="419868FD"/>
    <w:rsid w:val="41F1288C"/>
    <w:rsid w:val="42C17FDE"/>
    <w:rsid w:val="48AB1122"/>
    <w:rsid w:val="48B41B8D"/>
    <w:rsid w:val="48EE6EAC"/>
    <w:rsid w:val="49724CDB"/>
    <w:rsid w:val="497B7A09"/>
    <w:rsid w:val="4F9C3A1A"/>
    <w:rsid w:val="5278259B"/>
    <w:rsid w:val="535A01BA"/>
    <w:rsid w:val="536C73F7"/>
    <w:rsid w:val="55E72B7F"/>
    <w:rsid w:val="562F4831"/>
    <w:rsid w:val="568E48AB"/>
    <w:rsid w:val="584405A1"/>
    <w:rsid w:val="58D32396"/>
    <w:rsid w:val="5A4D6232"/>
    <w:rsid w:val="5E3045A0"/>
    <w:rsid w:val="5E362E29"/>
    <w:rsid w:val="5FA06854"/>
    <w:rsid w:val="604D41DB"/>
    <w:rsid w:val="610E2D3D"/>
    <w:rsid w:val="63F60DA6"/>
    <w:rsid w:val="658740DA"/>
    <w:rsid w:val="6690540F"/>
    <w:rsid w:val="678C034B"/>
    <w:rsid w:val="69702A3E"/>
    <w:rsid w:val="6B6A17DE"/>
    <w:rsid w:val="6F13773D"/>
    <w:rsid w:val="6F3844A9"/>
    <w:rsid w:val="6FB709A5"/>
    <w:rsid w:val="719F585E"/>
    <w:rsid w:val="72517462"/>
    <w:rsid w:val="72FF187E"/>
    <w:rsid w:val="758B2FE8"/>
    <w:rsid w:val="7BCE2CD2"/>
    <w:rsid w:val="7CC052EF"/>
    <w:rsid w:val="7F28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8CC9"/>
  <w15:docId w15:val="{1E3D7E79-0488-4DD5-8358-A868C40A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a7">
    <w:name w:val="页眉 字符"/>
    <w:basedOn w:val="a0"/>
    <w:link w:val="a6"/>
    <w:uiPriority w:val="99"/>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647</Characters>
  <Application>Microsoft Office Word</Application>
  <DocSecurity>0</DocSecurity>
  <Lines>92</Lines>
  <Paragraphs>48</Paragraphs>
  <ScaleCrop>false</ScaleCrop>
  <Company>Lenovo</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dc:creator>
  <cp:lastModifiedBy>侯学敏</cp:lastModifiedBy>
  <cp:revision>5</cp:revision>
  <dcterms:created xsi:type="dcterms:W3CDTF">2020-06-18T06:53:00Z</dcterms:created>
  <dcterms:modified xsi:type="dcterms:W3CDTF">2020-10-27T08:08:00Z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