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EF6" w:rsidRDefault="00983F46">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t>北京市交通委员会等</w:t>
      </w:r>
      <w:r>
        <w:rPr>
          <w:rFonts w:ascii="方正小标宋简体" w:eastAsia="方正小标宋简体" w:hint="eastAsia"/>
          <w:sz w:val="44"/>
          <w:szCs w:val="44"/>
        </w:rPr>
        <w:t>5</w:t>
      </w:r>
      <w:r>
        <w:rPr>
          <w:rFonts w:ascii="方正小标宋简体" w:eastAsia="方正小标宋简体" w:hint="eastAsia"/>
          <w:sz w:val="44"/>
          <w:szCs w:val="44"/>
        </w:rPr>
        <w:t>部门</w:t>
      </w:r>
    </w:p>
    <w:p w:rsidR="002B2EF6" w:rsidRDefault="00983F46">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t>关于印发《北京市机动车驾驶员培训</w:t>
      </w:r>
    </w:p>
    <w:p w:rsidR="002B2EF6" w:rsidRDefault="00983F46">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t>预付费监管办法（试行）》的通知</w:t>
      </w:r>
    </w:p>
    <w:p w:rsidR="002B2EF6" w:rsidRDefault="002B2EF6">
      <w:pPr>
        <w:pStyle w:val="2"/>
        <w:ind w:firstLineChars="0" w:firstLine="0"/>
      </w:pPr>
    </w:p>
    <w:p w:rsidR="002B2EF6" w:rsidRDefault="00983F46">
      <w:pPr>
        <w:pStyle w:val="2"/>
        <w:ind w:firstLineChars="0" w:firstLine="0"/>
      </w:pPr>
      <w:r>
        <w:rPr>
          <w:rFonts w:hint="eastAsia"/>
        </w:rPr>
        <w:t>市交通运输综合执法总队，各郊区交通局（委）、各运输管理分局</w:t>
      </w:r>
      <w:r>
        <w:rPr>
          <w:rFonts w:hint="eastAsia"/>
        </w:rPr>
        <w:t>，各区</w:t>
      </w:r>
      <w:r>
        <w:rPr>
          <w:rFonts w:hint="eastAsia"/>
        </w:rPr>
        <w:t>市场监管局、</w:t>
      </w:r>
      <w:r>
        <w:rPr>
          <w:rFonts w:hint="eastAsia"/>
        </w:rPr>
        <w:t>金融管理部门</w:t>
      </w:r>
      <w:r>
        <w:rPr>
          <w:rFonts w:hint="eastAsia"/>
        </w:rPr>
        <w:t>，燕山城市管理和交通委员会、市场监管分局，各相关单位：</w:t>
      </w:r>
    </w:p>
    <w:p w:rsidR="002B2EF6" w:rsidRDefault="00983F46">
      <w:pPr>
        <w:ind w:firstLine="640"/>
      </w:pPr>
      <w:r>
        <w:rPr>
          <w:rFonts w:hint="eastAsia"/>
        </w:rPr>
        <w:t>经市政府同意，现将《北京市机动车驾驶员培训预付费监管办法（试行）》印发给你们，请认真贯彻落实。</w:t>
      </w:r>
    </w:p>
    <w:p w:rsidR="002B2EF6" w:rsidRDefault="002B2EF6">
      <w:pPr>
        <w:pStyle w:val="2"/>
        <w:ind w:firstLine="640"/>
      </w:pPr>
    </w:p>
    <w:p w:rsidR="002B2EF6" w:rsidRDefault="002B2EF6">
      <w:pPr>
        <w:pStyle w:val="2"/>
        <w:ind w:firstLine="640"/>
      </w:pPr>
    </w:p>
    <w:p w:rsidR="002B2EF6" w:rsidRDefault="002B2EF6">
      <w:pPr>
        <w:pStyle w:val="2"/>
        <w:ind w:firstLine="640"/>
      </w:pPr>
    </w:p>
    <w:p w:rsidR="002B2EF6" w:rsidRDefault="00983F46">
      <w:pPr>
        <w:pStyle w:val="2"/>
        <w:ind w:firstLineChars="1700" w:firstLine="5440"/>
      </w:pPr>
      <w:r>
        <w:rPr>
          <w:rFonts w:hint="eastAsia"/>
        </w:rPr>
        <w:t>北京市交通委员会</w:t>
      </w:r>
    </w:p>
    <w:p w:rsidR="002B2EF6" w:rsidRDefault="00983F46">
      <w:pPr>
        <w:pStyle w:val="2"/>
        <w:ind w:firstLineChars="1100" w:firstLine="3520"/>
      </w:pPr>
      <w:r>
        <w:rPr>
          <w:rFonts w:hint="eastAsia"/>
        </w:rPr>
        <w:t>中共北京市委金融委员会办公室</w:t>
      </w:r>
    </w:p>
    <w:p w:rsidR="002B2EF6" w:rsidRDefault="00983F46">
      <w:pPr>
        <w:pStyle w:val="2"/>
        <w:ind w:firstLineChars="1500" w:firstLine="4800"/>
        <w:rPr>
          <w:b/>
          <w:bCs/>
        </w:rPr>
      </w:pPr>
      <w:r>
        <w:rPr>
          <w:rFonts w:hint="eastAsia"/>
        </w:rPr>
        <w:t>北京市市场监督管理局</w:t>
      </w:r>
    </w:p>
    <w:p w:rsidR="002B2EF6" w:rsidRDefault="00983F46">
      <w:pPr>
        <w:pStyle w:val="2"/>
        <w:ind w:firstLineChars="1400" w:firstLine="4480"/>
      </w:pPr>
      <w:r>
        <w:rPr>
          <w:rFonts w:hint="eastAsia"/>
        </w:rPr>
        <w:t>中国人民银行北京市分行</w:t>
      </w:r>
    </w:p>
    <w:p w:rsidR="002B2EF6" w:rsidRDefault="00983F46">
      <w:pPr>
        <w:pStyle w:val="2"/>
        <w:ind w:firstLineChars="1000" w:firstLine="3200"/>
      </w:pPr>
      <w:r>
        <w:rPr>
          <w:rFonts w:hint="eastAsia"/>
        </w:rPr>
        <w:t>国家金融监督管理总局北京监管局</w:t>
      </w:r>
    </w:p>
    <w:p w:rsidR="002B2EF6" w:rsidRDefault="002B2EF6">
      <w:pPr>
        <w:ind w:firstLine="640"/>
      </w:pPr>
    </w:p>
    <w:p w:rsidR="002B2EF6" w:rsidRDefault="00983F46">
      <w:pPr>
        <w:ind w:firstLineChars="1950" w:firstLine="6240"/>
      </w:pPr>
      <w:r>
        <w:rPr>
          <w:rFonts w:hint="eastAsia"/>
        </w:rPr>
        <w:t>2024</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B2EF6" w:rsidRDefault="002B2EF6">
      <w:pPr>
        <w:pStyle w:val="2"/>
        <w:ind w:firstLine="640"/>
      </w:pPr>
    </w:p>
    <w:p w:rsidR="002B2EF6" w:rsidRDefault="002B2EF6">
      <w:pPr>
        <w:ind w:firstLine="640"/>
      </w:pPr>
    </w:p>
    <w:p w:rsidR="002B2EF6" w:rsidRDefault="002B2EF6">
      <w:pPr>
        <w:pStyle w:val="2"/>
        <w:ind w:firstLine="880"/>
        <w:jc w:val="center"/>
        <w:rPr>
          <w:rFonts w:ascii="方正小标宋简体" w:eastAsia="方正小标宋简体" w:hAnsi="Calibri"/>
          <w:sz w:val="44"/>
          <w:szCs w:val="44"/>
        </w:rPr>
      </w:pPr>
    </w:p>
    <w:p w:rsidR="002B2EF6" w:rsidRDefault="00983F46">
      <w:pPr>
        <w:pStyle w:val="2"/>
        <w:ind w:firstLineChars="45" w:firstLine="198"/>
        <w:jc w:val="center"/>
      </w:pPr>
      <w:bookmarkStart w:id="0" w:name="_GoBack"/>
      <w:r>
        <w:rPr>
          <w:rFonts w:ascii="方正小标宋简体" w:eastAsia="方正小标宋简体" w:hAnsi="Calibri" w:hint="eastAsia"/>
          <w:sz w:val="44"/>
          <w:szCs w:val="44"/>
        </w:rPr>
        <w:lastRenderedPageBreak/>
        <w:t>北京市机动车驾驶员</w:t>
      </w:r>
    </w:p>
    <w:p w:rsidR="002B2EF6" w:rsidRDefault="00983F46">
      <w:pPr>
        <w:ind w:firstLineChars="0" w:firstLine="0"/>
        <w:jc w:val="center"/>
        <w:rPr>
          <w:rFonts w:ascii="方正小标宋简体" w:eastAsia="方正小标宋简体" w:hAnsi="Calibri" w:cs="Times New Roman"/>
          <w:sz w:val="44"/>
          <w:szCs w:val="44"/>
        </w:rPr>
      </w:pPr>
      <w:r>
        <w:rPr>
          <w:rFonts w:ascii="方正小标宋简体" w:eastAsia="方正小标宋简体" w:hAnsi="Calibri" w:cs="Times New Roman" w:hint="eastAsia"/>
          <w:sz w:val="44"/>
          <w:szCs w:val="44"/>
        </w:rPr>
        <w:t>培训预付费监管办法（试行）</w:t>
      </w:r>
    </w:p>
    <w:bookmarkEnd w:id="0"/>
    <w:p w:rsidR="002B2EF6" w:rsidRDefault="002B2EF6">
      <w:pPr>
        <w:snapToGrid w:val="0"/>
        <w:ind w:firstLine="640"/>
        <w:rPr>
          <w:rFonts w:hAnsi="Calibri" w:cs="Times New Roman"/>
          <w:szCs w:val="32"/>
        </w:rPr>
      </w:pPr>
    </w:p>
    <w:p w:rsidR="002B2EF6" w:rsidRDefault="00983F46">
      <w:pPr>
        <w:snapToGrid w:val="0"/>
        <w:ind w:firstLine="640"/>
        <w:rPr>
          <w:rFonts w:hAnsi="Calibri" w:cs="Times New Roman"/>
          <w:szCs w:val="32"/>
        </w:rPr>
      </w:pPr>
      <w:r>
        <w:rPr>
          <w:rFonts w:ascii="黑体" w:eastAsia="黑体" w:hAnsi="黑体" w:cs="Times New Roman" w:hint="eastAsia"/>
          <w:szCs w:val="32"/>
        </w:rPr>
        <w:t>第一条</w:t>
      </w:r>
      <w:r>
        <w:rPr>
          <w:rFonts w:ascii="黑体" w:eastAsia="黑体" w:hAnsi="黑体" w:hint="eastAsia"/>
          <w:color w:val="000000"/>
          <w:szCs w:val="32"/>
        </w:rPr>
        <w:t>【目的依据】</w:t>
      </w:r>
      <w:r>
        <w:rPr>
          <w:rFonts w:hAnsi="Calibri" w:cs="Times New Roman" w:hint="eastAsia"/>
          <w:szCs w:val="32"/>
        </w:rPr>
        <w:t>为加强本市机动车驾驶员培训</w:t>
      </w:r>
      <w:r>
        <w:rPr>
          <w:rFonts w:hAnsi="楷体" w:cs="楷体" w:hint="eastAsia"/>
          <w:szCs w:val="32"/>
        </w:rPr>
        <w:t>（以下简称驾培）行业管理，维护</w:t>
      </w:r>
      <w:r>
        <w:rPr>
          <w:rFonts w:hAnsi="Calibri" w:cs="Times New Roman" w:hint="eastAsia"/>
          <w:szCs w:val="32"/>
        </w:rPr>
        <w:t>市场公平竞争秩序，保障学员和驾培机构合法权益，依据《中华人民共和国消费者权益保护法》《北京市单用途预付卡管理条例》、交通运输部</w:t>
      </w:r>
      <w:r>
        <w:rPr>
          <w:rFonts w:hAnsi="Calibri" w:cs="Times New Roman"/>
          <w:szCs w:val="32"/>
        </w:rPr>
        <w:t>《机动车驾驶员培训管理规定》</w:t>
      </w:r>
      <w:r>
        <w:rPr>
          <w:rFonts w:hAnsi="Calibri" w:cs="Times New Roman" w:hint="eastAsia"/>
          <w:szCs w:val="32"/>
        </w:rPr>
        <w:t>等法律法规，结合本市驾培行业实际，制定本办法。</w:t>
      </w:r>
    </w:p>
    <w:p w:rsidR="002B2EF6" w:rsidRDefault="00983F46">
      <w:pPr>
        <w:snapToGrid w:val="0"/>
        <w:ind w:firstLine="640"/>
        <w:rPr>
          <w:rFonts w:hAnsi="楷体" w:cs="楷体"/>
          <w:szCs w:val="32"/>
        </w:rPr>
      </w:pPr>
      <w:r>
        <w:rPr>
          <w:rFonts w:ascii="黑体" w:eastAsia="黑体" w:hAnsi="黑体" w:cs="Times New Roman" w:hint="eastAsia"/>
          <w:szCs w:val="32"/>
        </w:rPr>
        <w:t>第二条</w:t>
      </w:r>
      <w:r>
        <w:rPr>
          <w:rFonts w:ascii="黑体" w:eastAsia="黑体" w:hAnsi="黑体" w:hint="eastAsia"/>
          <w:color w:val="000000"/>
          <w:szCs w:val="32"/>
        </w:rPr>
        <w:t>【适用范围】</w:t>
      </w:r>
      <w:r>
        <w:rPr>
          <w:rFonts w:hAnsi="楷体" w:cs="楷体" w:hint="eastAsia"/>
          <w:szCs w:val="32"/>
        </w:rPr>
        <w:t>本市行政区域内驾培机构的预付费经营活动及其监督管理适用本办法。</w:t>
      </w:r>
    </w:p>
    <w:p w:rsidR="002B2EF6" w:rsidRDefault="00983F46">
      <w:pPr>
        <w:snapToGrid w:val="0"/>
        <w:ind w:firstLine="640"/>
      </w:pPr>
      <w:r>
        <w:rPr>
          <w:rFonts w:hAnsi="楷体" w:cs="楷体" w:hint="eastAsia"/>
          <w:szCs w:val="32"/>
        </w:rPr>
        <w:t>本办法所称预付费经营活动是指驾培机构在机动车驾驶员培训业务中，预先收取学员培训服务费用（以下简称预收资金），并提供相应培训服务的模式。</w:t>
      </w:r>
    </w:p>
    <w:p w:rsidR="002B2EF6" w:rsidRDefault="00983F46">
      <w:pPr>
        <w:snapToGrid w:val="0"/>
        <w:ind w:firstLine="640"/>
        <w:rPr>
          <w:rFonts w:hAnsi="楷体" w:cs="楷体"/>
          <w:szCs w:val="32"/>
        </w:rPr>
      </w:pPr>
      <w:r>
        <w:rPr>
          <w:rFonts w:ascii="黑体" w:eastAsia="黑体" w:hAnsi="黑体" w:cs="Times New Roman" w:hint="eastAsia"/>
          <w:szCs w:val="32"/>
        </w:rPr>
        <w:t>第三条【工作原则】</w:t>
      </w:r>
      <w:r>
        <w:rPr>
          <w:rFonts w:hAnsi="楷体" w:cs="楷体" w:hint="eastAsia"/>
          <w:szCs w:val="32"/>
        </w:rPr>
        <w:t>按照“规范经营、保障发展、防范风险、分级监管”的原则，规范驾培机构预付费经营活动，保障驾培机构合理发展，防范驾培机构经营风险引发社会风险，建立健全驾培机构预付费监管责任体系和工作机制，落实政府监管责任，夯实企业主体责任。</w:t>
      </w:r>
    </w:p>
    <w:p w:rsidR="002B2EF6" w:rsidRDefault="00983F46">
      <w:pPr>
        <w:snapToGrid w:val="0"/>
        <w:ind w:firstLine="640"/>
      </w:pPr>
      <w:r>
        <w:rPr>
          <w:rFonts w:ascii="黑体" w:eastAsia="黑体" w:hAnsi="黑体" w:cs="Times New Roman" w:hint="eastAsia"/>
          <w:szCs w:val="32"/>
        </w:rPr>
        <w:t>第四条</w:t>
      </w:r>
      <w:r>
        <w:rPr>
          <w:rFonts w:ascii="黑体" w:eastAsia="黑体" w:hAnsi="黑体" w:hint="eastAsia"/>
          <w:color w:val="000000"/>
          <w:szCs w:val="32"/>
        </w:rPr>
        <w:t>【工作职责】</w:t>
      </w:r>
      <w:r>
        <w:rPr>
          <w:rFonts w:hAnsi="Calibri" w:cs="Times New Roman" w:hint="eastAsia"/>
          <w:szCs w:val="32"/>
        </w:rPr>
        <w:t>市</w:t>
      </w:r>
      <w:r>
        <w:rPr>
          <w:rFonts w:hAnsi="Calibri" w:cs="Times New Roman" w:hint="eastAsia"/>
          <w:color w:val="000000" w:themeColor="text1"/>
          <w:szCs w:val="32"/>
        </w:rPr>
        <w:t>交通运输主管部门负责本市驾培机构预付费经营活动监管工作的统筹协调、监督指导</w:t>
      </w:r>
      <w:r>
        <w:rPr>
          <w:rFonts w:cs="仿宋_GB2312" w:hint="eastAsia"/>
          <w:kern w:val="0"/>
          <w:szCs w:val="32"/>
        </w:rPr>
        <w:t>。</w:t>
      </w:r>
    </w:p>
    <w:p w:rsidR="002B2EF6" w:rsidRDefault="00983F46">
      <w:pPr>
        <w:snapToGrid w:val="0"/>
        <w:ind w:firstLine="640"/>
        <w:rPr>
          <w:rFonts w:hAnsi="Calibri" w:cs="Times New Roman"/>
          <w:szCs w:val="32"/>
        </w:rPr>
      </w:pPr>
      <w:r>
        <w:rPr>
          <w:rFonts w:hAnsi="Calibri" w:cs="Times New Roman" w:hint="eastAsia"/>
          <w:szCs w:val="32"/>
        </w:rPr>
        <w:t>各区交通运输主管部门具体负责本辖区驾培</w:t>
      </w:r>
      <w:r>
        <w:rPr>
          <w:rFonts w:hAnsi="Calibri" w:cs="Times New Roman" w:hint="eastAsia"/>
          <w:szCs w:val="32"/>
        </w:rPr>
        <w:t>机构预付费经营活动监管工作。</w:t>
      </w:r>
    </w:p>
    <w:p w:rsidR="002B2EF6" w:rsidRDefault="00983F46">
      <w:pPr>
        <w:snapToGrid w:val="0"/>
        <w:ind w:firstLine="640"/>
      </w:pPr>
      <w:r>
        <w:rPr>
          <w:rFonts w:hAnsi="Calibri" w:cs="Times New Roman" w:hint="eastAsia"/>
          <w:szCs w:val="32"/>
        </w:rPr>
        <w:lastRenderedPageBreak/>
        <w:t>市、区交通运输行政执法机构负责驾培机构预付费经营活动的行政执法工作。</w:t>
      </w:r>
    </w:p>
    <w:p w:rsidR="002B2EF6" w:rsidRDefault="00983F46">
      <w:pPr>
        <w:snapToGrid w:val="0"/>
        <w:ind w:firstLine="640"/>
        <w:rPr>
          <w:rFonts w:hAnsi="楷体" w:cs="楷体"/>
          <w:szCs w:val="32"/>
        </w:rPr>
      </w:pPr>
      <w:r>
        <w:rPr>
          <w:rFonts w:hAnsi="楷体" w:cs="楷体" w:hint="eastAsia"/>
          <w:szCs w:val="32"/>
        </w:rPr>
        <w:t>地方金融</w:t>
      </w:r>
      <w:r>
        <w:rPr>
          <w:rFonts w:hAnsi="楷体" w:cs="楷体" w:hint="eastAsia"/>
          <w:szCs w:val="32"/>
        </w:rPr>
        <w:t>管理</w:t>
      </w:r>
      <w:r>
        <w:rPr>
          <w:rFonts w:hAnsi="楷体" w:cs="楷体" w:hint="eastAsia"/>
          <w:szCs w:val="32"/>
        </w:rPr>
        <w:t>部门负责建设预收资金存管信息平台，明确存管银行接入标准，规范存管服务，归集开展存管业务的存管银行报送的资金存管信息。</w:t>
      </w:r>
    </w:p>
    <w:p w:rsidR="002B2EF6" w:rsidRDefault="00983F46">
      <w:pPr>
        <w:snapToGrid w:val="0"/>
        <w:ind w:firstLine="640"/>
        <w:rPr>
          <w:rFonts w:hAnsi="楷体" w:cs="楷体"/>
          <w:szCs w:val="32"/>
        </w:rPr>
      </w:pPr>
      <w:r>
        <w:rPr>
          <w:rFonts w:hAnsi="楷体" w:cs="楷体" w:hint="eastAsia"/>
          <w:szCs w:val="32"/>
        </w:rPr>
        <w:t>中国人民银行北京市分行负责指导商业银行办理预收资金存管专用账户的开立、变更和撤销业务。</w:t>
      </w:r>
    </w:p>
    <w:p w:rsidR="002B2EF6" w:rsidRDefault="00983F46">
      <w:pPr>
        <w:snapToGrid w:val="0"/>
        <w:ind w:firstLine="640"/>
      </w:pPr>
      <w:r>
        <w:rPr>
          <w:rFonts w:hAnsi="楷体" w:cs="楷体" w:hint="eastAsia"/>
          <w:szCs w:val="32"/>
        </w:rPr>
        <w:t>国家金融监督管理总局北京监管局负责指导存管银行做好预收资金存管工作。</w:t>
      </w:r>
    </w:p>
    <w:p w:rsidR="002B2EF6" w:rsidRDefault="00983F46">
      <w:pPr>
        <w:snapToGrid w:val="0"/>
        <w:ind w:firstLine="640"/>
      </w:pPr>
      <w:r>
        <w:rPr>
          <w:rFonts w:hAnsi="Calibri" w:cs="Times New Roman" w:hint="eastAsia"/>
          <w:szCs w:val="32"/>
        </w:rPr>
        <w:t>市驾培行业协会负责加强行业的自律管理、自我约束，引导会员依法、合规开展预付费经营活动。根据驾培行业经营特点，有针对性地向学员</w:t>
      </w:r>
      <w:r>
        <w:rPr>
          <w:rFonts w:hAnsi="Calibri" w:cs="Times New Roman" w:hint="eastAsia"/>
          <w:szCs w:val="32"/>
        </w:rPr>
        <w:t>提示预付费风险，协助化解消费纠纷。</w:t>
      </w:r>
    </w:p>
    <w:p w:rsidR="002B2EF6" w:rsidRDefault="00983F46">
      <w:pPr>
        <w:snapToGrid w:val="0"/>
        <w:ind w:firstLine="640"/>
      </w:pPr>
      <w:r>
        <w:rPr>
          <w:rFonts w:ascii="黑体" w:eastAsia="黑体" w:hAnsi="黑体" w:cs="Times New Roman" w:hint="eastAsia"/>
          <w:szCs w:val="32"/>
        </w:rPr>
        <w:t>第五条【信息公示】</w:t>
      </w:r>
      <w:r>
        <w:rPr>
          <w:rFonts w:hAnsi="Calibri" w:cs="Times New Roman" w:hint="eastAsia"/>
          <w:szCs w:val="32"/>
        </w:rPr>
        <w:t>驾培机构应当在经营场所、网页等醒目位置公示收费项目和收费标准，并于提供培训服务前向学员明示。不得在公示的项目和标准以外收取其他费用。</w:t>
      </w:r>
    </w:p>
    <w:p w:rsidR="002B2EF6" w:rsidRDefault="00983F46">
      <w:pPr>
        <w:snapToGrid w:val="0"/>
        <w:ind w:firstLine="640"/>
        <w:rPr>
          <w:rFonts w:hAnsi="楷体" w:cs="楷体"/>
          <w:szCs w:val="32"/>
        </w:rPr>
      </w:pPr>
      <w:r>
        <w:rPr>
          <w:rFonts w:ascii="黑体" w:eastAsia="黑体" w:hAnsi="黑体" w:cs="Times New Roman" w:hint="eastAsia"/>
          <w:szCs w:val="32"/>
        </w:rPr>
        <w:t>第六条</w:t>
      </w:r>
      <w:r>
        <w:rPr>
          <w:rFonts w:ascii="黑体" w:eastAsia="黑体" w:hAnsi="黑体" w:hint="eastAsia"/>
          <w:color w:val="000000"/>
          <w:szCs w:val="32"/>
        </w:rPr>
        <w:t>【签订合同】</w:t>
      </w:r>
      <w:r>
        <w:rPr>
          <w:rFonts w:hAnsi="楷体" w:cs="楷体" w:hint="eastAsia"/>
          <w:szCs w:val="32"/>
        </w:rPr>
        <w:t>驾培机构应当参照市交通运输主管部门和市场监督管理部门联合制定的《北京市机动车驾驶培训服务合同（示范文本）》，与学员签订合同（含电子合同）。合同内容应当符合《北京市单用途预付卡管理条例》等有关法律法规要求，严禁利用不公平格式条款侵害学员合法权益。</w:t>
      </w:r>
    </w:p>
    <w:p w:rsidR="002B2EF6" w:rsidRDefault="00983F46">
      <w:pPr>
        <w:pStyle w:val="2"/>
        <w:snapToGrid w:val="0"/>
        <w:ind w:firstLine="640"/>
      </w:pPr>
      <w:r>
        <w:rPr>
          <w:rFonts w:hint="eastAsia"/>
        </w:rPr>
        <w:t>驾培机构应当就合同约定的收费项目、</w:t>
      </w:r>
      <w:r>
        <w:rPr>
          <w:rFonts w:hAnsi="楷体" w:cs="楷体" w:hint="eastAsia"/>
          <w:szCs w:val="32"/>
        </w:rPr>
        <w:t>收费标准、收费方式、退费方</w:t>
      </w:r>
      <w:r>
        <w:rPr>
          <w:rFonts w:hAnsi="楷体" w:cs="楷体" w:hint="eastAsia"/>
          <w:szCs w:val="32"/>
        </w:rPr>
        <w:t>式、退费流程等事项充分告知学员。</w:t>
      </w:r>
    </w:p>
    <w:p w:rsidR="002B2EF6" w:rsidRDefault="00983F46">
      <w:pPr>
        <w:snapToGrid w:val="0"/>
        <w:ind w:firstLine="640"/>
        <w:rPr>
          <w:rFonts w:ascii="黑体" w:hAnsi="黑体" w:cs="Times New Roman"/>
          <w:szCs w:val="32"/>
        </w:rPr>
      </w:pPr>
      <w:r>
        <w:rPr>
          <w:rFonts w:ascii="黑体" w:eastAsia="黑体" w:hAnsi="黑体" w:cs="Times New Roman" w:hint="eastAsia"/>
          <w:szCs w:val="32"/>
        </w:rPr>
        <w:lastRenderedPageBreak/>
        <w:t>第七条【备案要求】</w:t>
      </w:r>
      <w:r>
        <w:rPr>
          <w:rFonts w:hAnsi="楷体" w:cs="楷体" w:hint="eastAsia"/>
          <w:szCs w:val="32"/>
        </w:rPr>
        <w:t>驾培机构应当</w:t>
      </w:r>
      <w:r>
        <w:rPr>
          <w:rFonts w:hAnsi="Calibri" w:cs="Times New Roman" w:hint="eastAsia"/>
          <w:szCs w:val="32"/>
        </w:rPr>
        <w:t>按照《北京市交通运输行业单用途预付卡备案管理办法》对机构名称、统一社会信用代码、经营场所地址等信息进行备案。</w:t>
      </w:r>
    </w:p>
    <w:p w:rsidR="002B2EF6" w:rsidRDefault="00983F46">
      <w:pPr>
        <w:snapToGrid w:val="0"/>
        <w:ind w:firstLine="640"/>
      </w:pPr>
      <w:r>
        <w:rPr>
          <w:rFonts w:ascii="黑体" w:eastAsia="黑体" w:hAnsi="黑体" w:cs="Times New Roman" w:hint="eastAsia"/>
          <w:szCs w:val="32"/>
        </w:rPr>
        <w:t>第八条【收费方式】</w:t>
      </w:r>
      <w:r>
        <w:rPr>
          <w:rFonts w:hAnsi="楷体" w:cs="楷体" w:hint="eastAsia"/>
          <w:szCs w:val="32"/>
        </w:rPr>
        <w:t>驾培机构应当自主选择</w:t>
      </w:r>
      <w:r>
        <w:rPr>
          <w:rFonts w:hAnsi="楷体" w:cs="楷体" w:hint="eastAsia"/>
          <w:szCs w:val="32"/>
        </w:rPr>
        <w:t>1</w:t>
      </w:r>
      <w:r>
        <w:rPr>
          <w:rFonts w:hAnsi="楷体" w:cs="楷体" w:hint="eastAsia"/>
          <w:szCs w:val="32"/>
        </w:rPr>
        <w:t>家本市辖内商业银行或其分支机构作为存管银行，在区交通运输主管部门的指导下与存管银行签署预收资金存管服务协议，开设唯一的资金存管专用账户，</w:t>
      </w:r>
      <w:r>
        <w:rPr>
          <w:rFonts w:hAnsi="Calibri" w:cs="Times New Roman" w:hint="eastAsia"/>
          <w:szCs w:val="32"/>
        </w:rPr>
        <w:t>未开通银行存管服务前不得预收资金。</w:t>
      </w:r>
      <w:r>
        <w:rPr>
          <w:rFonts w:cs="Times New Roman" w:hint="eastAsia"/>
          <w:szCs w:val="32"/>
          <w:shd w:val="clear" w:color="auto" w:fill="FFFFFF"/>
        </w:rPr>
        <w:t>收费主体应当与培训主体一致，</w:t>
      </w:r>
      <w:r>
        <w:rPr>
          <w:rFonts w:hAnsi="楷体" w:cs="楷体" w:hint="eastAsia"/>
          <w:szCs w:val="32"/>
        </w:rPr>
        <w:t>全部预收资金直接存入存管专用账户。</w:t>
      </w:r>
      <w:r>
        <w:rPr>
          <w:rFonts w:hAnsi="Calibri" w:cs="Times New Roman" w:hint="eastAsia"/>
          <w:szCs w:val="32"/>
        </w:rPr>
        <w:t>学员支付现金的，驾培机构应当于</w:t>
      </w:r>
      <w:r>
        <w:rPr>
          <w:rFonts w:hAnsi="Calibri" w:cs="Times New Roman" w:hint="eastAsia"/>
          <w:szCs w:val="32"/>
        </w:rPr>
        <w:t>1</w:t>
      </w:r>
      <w:r>
        <w:rPr>
          <w:rFonts w:hAnsi="Calibri" w:cs="Times New Roman" w:hint="eastAsia"/>
          <w:szCs w:val="32"/>
        </w:rPr>
        <w:t>个工作日内将预收资金存入存管专用账户。驾培机构应当按照存管银行要求，将相关交易信息报送存管银行</w:t>
      </w:r>
      <w:r>
        <w:rPr>
          <w:rFonts w:hint="eastAsia"/>
        </w:rPr>
        <w:t>。</w:t>
      </w:r>
    </w:p>
    <w:p w:rsidR="002B2EF6" w:rsidRDefault="00983F46">
      <w:pPr>
        <w:pStyle w:val="2"/>
        <w:snapToGrid w:val="0"/>
        <w:ind w:firstLine="640"/>
      </w:pPr>
      <w:r>
        <w:rPr>
          <w:rFonts w:hint="eastAsia"/>
        </w:rPr>
        <w:t>存管银行将预收资金按照区交通运输主管部门确定的存管比例留在存管账户中作为存管资金，剩余预收资金应当在</w:t>
      </w:r>
      <w:r>
        <w:rPr>
          <w:rFonts w:hAnsi="楷体" w:cs="楷体" w:hint="eastAsia"/>
          <w:szCs w:val="32"/>
        </w:rPr>
        <w:t>1</w:t>
      </w:r>
      <w:r>
        <w:rPr>
          <w:rFonts w:hAnsi="楷体" w:cs="楷体" w:hint="eastAsia"/>
          <w:szCs w:val="32"/>
        </w:rPr>
        <w:t>个工作日内拨付至驾培机构。</w:t>
      </w:r>
    </w:p>
    <w:p w:rsidR="002B2EF6" w:rsidRDefault="00983F46">
      <w:pPr>
        <w:snapToGrid w:val="0"/>
        <w:ind w:firstLine="640"/>
        <w:rPr>
          <w:rFonts w:hAnsi="Calibri" w:cs="Times New Roman"/>
          <w:szCs w:val="32"/>
        </w:rPr>
      </w:pPr>
      <w:r>
        <w:rPr>
          <w:rFonts w:ascii="黑体" w:eastAsia="黑体" w:hAnsi="黑体" w:cs="Times New Roman" w:hint="eastAsia"/>
          <w:szCs w:val="32"/>
        </w:rPr>
        <w:t>第九条</w:t>
      </w:r>
      <w:r>
        <w:rPr>
          <w:rFonts w:ascii="黑体" w:eastAsia="黑体" w:hAnsi="黑体" w:hint="eastAsia"/>
          <w:color w:val="000000"/>
          <w:szCs w:val="32"/>
        </w:rPr>
        <w:t>【资金存管】</w:t>
      </w:r>
      <w:r>
        <w:rPr>
          <w:rFonts w:hAnsi="Calibri" w:cs="Times New Roman" w:hint="eastAsia"/>
          <w:szCs w:val="32"/>
        </w:rPr>
        <w:t>建立驾培机构预收资金存管比例动态调整机制，</w:t>
      </w:r>
      <w:r>
        <w:rPr>
          <w:rFonts w:cs="仿宋_GB2312" w:hint="eastAsia"/>
          <w:szCs w:val="32"/>
        </w:rPr>
        <w:t>最低为</w:t>
      </w:r>
      <w:r>
        <w:rPr>
          <w:rFonts w:cs="仿宋_GB2312" w:hint="eastAsia"/>
          <w:szCs w:val="32"/>
        </w:rPr>
        <w:t>10%</w:t>
      </w:r>
      <w:r>
        <w:rPr>
          <w:rFonts w:cs="仿宋_GB2312" w:hint="eastAsia"/>
          <w:szCs w:val="32"/>
        </w:rPr>
        <w:t>，最高为</w:t>
      </w:r>
      <w:r>
        <w:rPr>
          <w:rFonts w:cs="仿宋_GB2312" w:hint="eastAsia"/>
          <w:szCs w:val="32"/>
        </w:rPr>
        <w:t>100%</w:t>
      </w:r>
      <w:r>
        <w:rPr>
          <w:rFonts w:cs="仿宋_GB2312" w:hint="eastAsia"/>
          <w:szCs w:val="32"/>
        </w:rPr>
        <w:t>。</w:t>
      </w:r>
      <w:r>
        <w:rPr>
          <w:rFonts w:hAnsi="Calibri" w:cs="Times New Roman" w:hint="eastAsia"/>
          <w:szCs w:val="32"/>
        </w:rPr>
        <w:t>各区交通运输主管部门在综合评估的基础上，动态调整存管比例，填写存管比例告知书（附件）并告知存管银行，督导驾培机构按照要求纳入预付费监管。</w:t>
      </w:r>
    </w:p>
    <w:p w:rsidR="002B2EF6" w:rsidRDefault="00983F46">
      <w:pPr>
        <w:pStyle w:val="2"/>
        <w:snapToGrid w:val="0"/>
        <w:ind w:firstLine="640"/>
        <w:rPr>
          <w:rFonts w:cs="仿宋_GB2312"/>
          <w:szCs w:val="32"/>
        </w:rPr>
      </w:pPr>
      <w:r>
        <w:rPr>
          <w:rFonts w:cs="仿宋_GB2312" w:hint="eastAsia"/>
          <w:szCs w:val="32"/>
        </w:rPr>
        <w:t>根据驾培机构质量信誉等级</w:t>
      </w:r>
      <w:r>
        <w:rPr>
          <w:rFonts w:cs="仿宋_GB2312" w:hint="eastAsia"/>
          <w:szCs w:val="32"/>
        </w:rPr>
        <w:t>、信用评价等级、涉费投诉情况，按年度调整存管比例：</w:t>
      </w:r>
    </w:p>
    <w:p w:rsidR="002B2EF6" w:rsidRDefault="00983F46">
      <w:pPr>
        <w:pStyle w:val="2"/>
        <w:snapToGrid w:val="0"/>
        <w:ind w:firstLine="640"/>
      </w:pPr>
      <w:r>
        <w:rPr>
          <w:rFonts w:hint="eastAsia"/>
        </w:rPr>
        <w:t>（一）上年度质量信誉等级为</w:t>
      </w:r>
      <w:r>
        <w:rPr>
          <w:rFonts w:hint="eastAsia"/>
        </w:rPr>
        <w:t>AAA</w:t>
      </w:r>
      <w:r>
        <w:rPr>
          <w:rFonts w:hint="eastAsia"/>
        </w:rPr>
        <w:t>且信用评价等级为</w:t>
      </w:r>
      <w:r>
        <w:rPr>
          <w:rFonts w:hint="eastAsia"/>
        </w:rPr>
        <w:t>A+</w:t>
      </w:r>
      <w:r>
        <w:rPr>
          <w:rFonts w:hint="eastAsia"/>
        </w:rPr>
        <w:t>的，存管比例降低</w:t>
      </w:r>
      <w:r>
        <w:rPr>
          <w:rFonts w:hint="eastAsia"/>
        </w:rPr>
        <w:t>5%</w:t>
      </w:r>
      <w:r>
        <w:rPr>
          <w:rFonts w:hint="eastAsia"/>
        </w:rPr>
        <w:t>；质量信誉等级和信用评价等级均高于上年度</w:t>
      </w:r>
      <w:r>
        <w:rPr>
          <w:rFonts w:hint="eastAsia"/>
        </w:rPr>
        <w:lastRenderedPageBreak/>
        <w:t>的，存管比例降低</w:t>
      </w:r>
      <w:r>
        <w:rPr>
          <w:rFonts w:hint="eastAsia"/>
        </w:rPr>
        <w:t>5%</w:t>
      </w:r>
      <w:r>
        <w:rPr>
          <w:rFonts w:hint="eastAsia"/>
        </w:rPr>
        <w:t>；质量信誉等级为</w:t>
      </w:r>
      <w:r>
        <w:rPr>
          <w:rFonts w:hint="eastAsia"/>
        </w:rPr>
        <w:t>B</w:t>
      </w:r>
      <w:r>
        <w:rPr>
          <w:rFonts w:hint="eastAsia"/>
        </w:rPr>
        <w:t>或信用评价等级为</w:t>
      </w:r>
      <w:r>
        <w:rPr>
          <w:rFonts w:hint="eastAsia"/>
        </w:rPr>
        <w:t>C</w:t>
      </w:r>
      <w:r>
        <w:rPr>
          <w:rFonts w:hint="eastAsia"/>
        </w:rPr>
        <w:t>的，存管比例提高</w:t>
      </w:r>
      <w:r>
        <w:rPr>
          <w:rFonts w:hint="eastAsia"/>
        </w:rPr>
        <w:t>5%</w:t>
      </w:r>
      <w:r>
        <w:rPr>
          <w:rFonts w:hint="eastAsia"/>
        </w:rPr>
        <w:t>；质量信誉等级或信用评价等级低于上年度的，存管比例提高</w:t>
      </w:r>
      <w:r>
        <w:rPr>
          <w:rFonts w:hint="eastAsia"/>
        </w:rPr>
        <w:t>5%</w:t>
      </w:r>
      <w:r>
        <w:rPr>
          <w:rFonts w:hint="eastAsia"/>
        </w:rPr>
        <w:t>。</w:t>
      </w:r>
    </w:p>
    <w:p w:rsidR="002B2EF6" w:rsidRDefault="00983F46">
      <w:pPr>
        <w:pStyle w:val="2"/>
        <w:snapToGrid w:val="0"/>
        <w:ind w:firstLine="640"/>
      </w:pPr>
      <w:r>
        <w:rPr>
          <w:rFonts w:hint="eastAsia"/>
        </w:rPr>
        <w:t>（二）上年度</w:t>
      </w:r>
      <w:r>
        <w:rPr>
          <w:rFonts w:cs="仿宋_GB2312" w:hint="eastAsia"/>
          <w:kern w:val="0"/>
          <w:szCs w:val="32"/>
        </w:rPr>
        <w:t>无预付费投诉的，</w:t>
      </w:r>
      <w:r>
        <w:rPr>
          <w:rFonts w:cs="仿宋_GB2312" w:hint="eastAsia"/>
          <w:szCs w:val="32"/>
        </w:rPr>
        <w:t>存管比例降低</w:t>
      </w:r>
      <w:r>
        <w:rPr>
          <w:rFonts w:hint="eastAsia"/>
        </w:rPr>
        <w:t>10%</w:t>
      </w:r>
      <w:r>
        <w:rPr>
          <w:rFonts w:hint="eastAsia"/>
        </w:rPr>
        <w:t>。</w:t>
      </w:r>
    </w:p>
    <w:p w:rsidR="002B2EF6" w:rsidRDefault="00983F46">
      <w:pPr>
        <w:pStyle w:val="2"/>
        <w:snapToGrid w:val="0"/>
        <w:ind w:firstLine="640"/>
      </w:pPr>
      <w:r>
        <w:rPr>
          <w:rFonts w:hint="eastAsia"/>
        </w:rPr>
        <w:t>（三）上年度预付费投诉解决率低于</w:t>
      </w:r>
      <w:r>
        <w:rPr>
          <w:rFonts w:hint="eastAsia"/>
        </w:rPr>
        <w:t>90%</w:t>
      </w:r>
      <w:r>
        <w:rPr>
          <w:rFonts w:hint="eastAsia"/>
        </w:rPr>
        <w:t>的，存管比例提高</w:t>
      </w:r>
      <w:r>
        <w:rPr>
          <w:rFonts w:hint="eastAsia"/>
        </w:rPr>
        <w:t>5%</w:t>
      </w:r>
      <w:r>
        <w:rPr>
          <w:rFonts w:hint="eastAsia"/>
        </w:rPr>
        <w:t>。</w:t>
      </w:r>
    </w:p>
    <w:p w:rsidR="002B2EF6" w:rsidRDefault="00983F46">
      <w:pPr>
        <w:pStyle w:val="2"/>
        <w:snapToGrid w:val="0"/>
        <w:ind w:firstLine="640"/>
      </w:pPr>
      <w:r>
        <w:rPr>
          <w:rFonts w:cs="仿宋_GB2312" w:hint="eastAsia"/>
          <w:szCs w:val="32"/>
        </w:rPr>
        <w:t>驾培机构出现下列情况的，即时调整存管比例：</w:t>
      </w:r>
    </w:p>
    <w:p w:rsidR="002B2EF6" w:rsidRDefault="00983F46">
      <w:pPr>
        <w:pStyle w:val="2"/>
        <w:snapToGrid w:val="0"/>
        <w:ind w:firstLine="640"/>
      </w:pPr>
      <w:r>
        <w:rPr>
          <w:rFonts w:hint="eastAsia"/>
        </w:rPr>
        <w:t>（一）</w:t>
      </w:r>
      <w:r>
        <w:rPr>
          <w:rFonts w:cs="仿宋_GB2312" w:hint="eastAsia"/>
          <w:kern w:val="0"/>
          <w:szCs w:val="32"/>
        </w:rPr>
        <w:t>发生生产安全责任事故的，自次月起</w:t>
      </w:r>
      <w:r>
        <w:rPr>
          <w:rFonts w:cs="仿宋_GB2312" w:hint="eastAsia"/>
          <w:szCs w:val="32"/>
        </w:rPr>
        <w:t>存管比例</w:t>
      </w:r>
      <w:r>
        <w:rPr>
          <w:rFonts w:cs="仿宋_GB2312" w:hint="eastAsia"/>
          <w:kern w:val="0"/>
          <w:szCs w:val="32"/>
        </w:rPr>
        <w:t>提高</w:t>
      </w:r>
      <w:r>
        <w:rPr>
          <w:rFonts w:cs="仿宋_GB2312" w:hint="eastAsia"/>
          <w:kern w:val="0"/>
          <w:szCs w:val="32"/>
        </w:rPr>
        <w:t>10%</w:t>
      </w:r>
      <w:r>
        <w:rPr>
          <w:rFonts w:cs="仿宋_GB2312" w:hint="eastAsia"/>
          <w:kern w:val="0"/>
          <w:szCs w:val="32"/>
        </w:rPr>
        <w:t>。</w:t>
      </w:r>
    </w:p>
    <w:p w:rsidR="002B2EF6" w:rsidRDefault="00983F46">
      <w:pPr>
        <w:snapToGrid w:val="0"/>
        <w:ind w:firstLine="640"/>
        <w:rPr>
          <w:rFonts w:cs="仿宋_GB2312"/>
          <w:kern w:val="0"/>
          <w:szCs w:val="32"/>
        </w:rPr>
      </w:pPr>
      <w:r>
        <w:rPr>
          <w:rFonts w:cs="仿宋_GB2312" w:hint="eastAsia"/>
          <w:kern w:val="0"/>
          <w:szCs w:val="32"/>
        </w:rPr>
        <w:t>（二）受到行政处罚的，自次月起</w:t>
      </w:r>
      <w:r>
        <w:rPr>
          <w:rFonts w:cs="仿宋_GB2312" w:hint="eastAsia"/>
          <w:szCs w:val="32"/>
        </w:rPr>
        <w:t>存管比例</w:t>
      </w:r>
      <w:r>
        <w:rPr>
          <w:rFonts w:cs="仿宋_GB2312" w:hint="eastAsia"/>
          <w:kern w:val="0"/>
          <w:szCs w:val="32"/>
        </w:rPr>
        <w:t>提高</w:t>
      </w:r>
      <w:r>
        <w:rPr>
          <w:rFonts w:cs="仿宋_GB2312" w:hint="eastAsia"/>
          <w:kern w:val="0"/>
          <w:szCs w:val="32"/>
        </w:rPr>
        <w:t>5%</w:t>
      </w:r>
      <w:r>
        <w:rPr>
          <w:rFonts w:cs="仿宋_GB2312" w:hint="eastAsia"/>
          <w:kern w:val="0"/>
          <w:szCs w:val="32"/>
        </w:rPr>
        <w:t>，期限</w:t>
      </w:r>
      <w:r>
        <w:rPr>
          <w:rFonts w:cs="仿宋_GB2312" w:hint="eastAsia"/>
          <w:kern w:val="0"/>
          <w:szCs w:val="32"/>
        </w:rPr>
        <w:t>1</w:t>
      </w:r>
      <w:r>
        <w:rPr>
          <w:rFonts w:cs="仿宋_GB2312" w:hint="eastAsia"/>
          <w:kern w:val="0"/>
          <w:szCs w:val="32"/>
        </w:rPr>
        <w:t>年。</w:t>
      </w:r>
    </w:p>
    <w:p w:rsidR="002B2EF6" w:rsidRDefault="00983F46">
      <w:pPr>
        <w:snapToGrid w:val="0"/>
        <w:ind w:firstLine="640"/>
        <w:rPr>
          <w:rFonts w:cs="仿宋_GB2312"/>
          <w:kern w:val="0"/>
          <w:szCs w:val="32"/>
        </w:rPr>
      </w:pPr>
      <w:r>
        <w:rPr>
          <w:rFonts w:hint="eastAsia"/>
        </w:rPr>
        <w:t>（三）</w:t>
      </w:r>
      <w:r>
        <w:rPr>
          <w:rFonts w:cs="仿宋_GB2312" w:hint="eastAsia"/>
          <w:kern w:val="0"/>
          <w:szCs w:val="32"/>
        </w:rPr>
        <w:t>教练场地租赁期满前</w:t>
      </w:r>
      <w:r>
        <w:rPr>
          <w:rFonts w:cs="仿宋_GB2312" w:hint="eastAsia"/>
          <w:kern w:val="0"/>
          <w:szCs w:val="32"/>
        </w:rPr>
        <w:t>3</w:t>
      </w:r>
      <w:r>
        <w:rPr>
          <w:rFonts w:cs="仿宋_GB2312" w:hint="eastAsia"/>
          <w:kern w:val="0"/>
          <w:szCs w:val="32"/>
        </w:rPr>
        <w:t>个月未提供新租赁合同的，自次月起存管比例提高至</w:t>
      </w:r>
      <w:r>
        <w:rPr>
          <w:rFonts w:cs="仿宋_GB2312" w:hint="eastAsia"/>
          <w:kern w:val="0"/>
          <w:szCs w:val="32"/>
        </w:rPr>
        <w:t>100%</w:t>
      </w:r>
      <w:r>
        <w:rPr>
          <w:rFonts w:cs="仿宋_GB2312" w:hint="eastAsia"/>
          <w:kern w:val="0"/>
          <w:szCs w:val="32"/>
        </w:rPr>
        <w:t>，直至提供租赁期限</w:t>
      </w:r>
      <w:r>
        <w:rPr>
          <w:rFonts w:cs="仿宋_GB2312" w:hint="eastAsia"/>
          <w:kern w:val="0"/>
          <w:szCs w:val="32"/>
        </w:rPr>
        <w:t>3</w:t>
      </w:r>
      <w:r>
        <w:rPr>
          <w:rFonts w:cs="仿宋_GB2312" w:hint="eastAsia"/>
          <w:kern w:val="0"/>
          <w:szCs w:val="32"/>
        </w:rPr>
        <w:t>年及以上的租赁合同。</w:t>
      </w:r>
    </w:p>
    <w:p w:rsidR="002B2EF6" w:rsidRDefault="00983F46">
      <w:pPr>
        <w:snapToGrid w:val="0"/>
        <w:ind w:firstLine="640"/>
        <w:rPr>
          <w:rFonts w:cs="仿宋_GB2312"/>
          <w:szCs w:val="32"/>
        </w:rPr>
      </w:pPr>
      <w:r>
        <w:rPr>
          <w:rFonts w:cs="仿宋_GB2312" w:hint="eastAsia"/>
          <w:szCs w:val="32"/>
        </w:rPr>
        <w:t>上述调整的存管比例可累加。</w:t>
      </w:r>
    </w:p>
    <w:p w:rsidR="002B2EF6" w:rsidRDefault="00983F46">
      <w:pPr>
        <w:snapToGrid w:val="0"/>
        <w:ind w:firstLine="640"/>
        <w:rPr>
          <w:rFonts w:hAnsi="Calibri" w:cs="Times New Roman"/>
          <w:szCs w:val="32"/>
        </w:rPr>
      </w:pPr>
      <w:r>
        <w:rPr>
          <w:rFonts w:hAnsi="Calibri" w:cs="Times New Roman" w:hint="eastAsia"/>
          <w:szCs w:val="32"/>
        </w:rPr>
        <w:t>驾培机构初次建立存管专用账户时，存管比例为全部预收资金的</w:t>
      </w:r>
      <w:r>
        <w:rPr>
          <w:rFonts w:hAnsi="Calibri" w:cs="Times New Roman" w:hint="eastAsia"/>
          <w:szCs w:val="32"/>
        </w:rPr>
        <w:t>40%</w:t>
      </w:r>
      <w:r>
        <w:rPr>
          <w:rFonts w:hAnsi="Calibri" w:cs="Times New Roman" w:hint="eastAsia"/>
          <w:szCs w:val="32"/>
        </w:rPr>
        <w:t>。</w:t>
      </w:r>
      <w:r>
        <w:rPr>
          <w:rFonts w:hAnsi="Calibri" w:cs="Times New Roman" w:hint="eastAsia"/>
          <w:szCs w:val="32"/>
        </w:rPr>
        <w:t>2020</w:t>
      </w:r>
      <w:r>
        <w:rPr>
          <w:rFonts w:hAnsi="Calibri" w:cs="Times New Roman" w:hint="eastAsia"/>
          <w:szCs w:val="32"/>
        </w:rPr>
        <w:t>年、</w:t>
      </w:r>
      <w:r>
        <w:rPr>
          <w:rFonts w:hAnsi="Calibri" w:cs="Times New Roman" w:hint="eastAsia"/>
          <w:szCs w:val="32"/>
        </w:rPr>
        <w:t>2021</w:t>
      </w:r>
      <w:r>
        <w:rPr>
          <w:rFonts w:hAnsi="Calibri" w:cs="Times New Roman" w:hint="eastAsia"/>
          <w:szCs w:val="32"/>
        </w:rPr>
        <w:t>年、</w:t>
      </w:r>
      <w:r>
        <w:rPr>
          <w:rFonts w:hAnsi="Calibri" w:cs="Times New Roman" w:hint="eastAsia"/>
          <w:szCs w:val="32"/>
        </w:rPr>
        <w:t>2022</w:t>
      </w:r>
      <w:r>
        <w:rPr>
          <w:rFonts w:hAnsi="Calibri" w:cs="Times New Roman" w:hint="eastAsia"/>
          <w:szCs w:val="32"/>
        </w:rPr>
        <w:t>年</w:t>
      </w:r>
      <w:r>
        <w:rPr>
          <w:rFonts w:cs="仿宋_GB2312" w:hint="eastAsia"/>
          <w:szCs w:val="32"/>
        </w:rPr>
        <w:t>质量信誉等级</w:t>
      </w:r>
      <w:r>
        <w:rPr>
          <w:rFonts w:hAnsi="Calibri" w:cs="Times New Roman" w:hint="eastAsia"/>
          <w:szCs w:val="32"/>
        </w:rPr>
        <w:t>均为</w:t>
      </w:r>
      <w:r>
        <w:rPr>
          <w:rFonts w:hAnsi="Calibri" w:cs="Times New Roman" w:hint="eastAsia"/>
          <w:szCs w:val="32"/>
        </w:rPr>
        <w:t>AAA</w:t>
      </w:r>
      <w:r>
        <w:rPr>
          <w:rFonts w:hAnsi="Calibri" w:cs="Times New Roman" w:hint="eastAsia"/>
          <w:szCs w:val="32"/>
        </w:rPr>
        <w:t>的</w:t>
      </w:r>
      <w:r>
        <w:rPr>
          <w:rFonts w:hAnsi="Calibri" w:cs="Times New Roman"/>
          <w:szCs w:val="32"/>
        </w:rPr>
        <w:t>驾培机构初次建立存管账户时</w:t>
      </w:r>
      <w:r>
        <w:rPr>
          <w:rFonts w:hAnsi="Calibri" w:cs="Times New Roman" w:hint="eastAsia"/>
          <w:szCs w:val="32"/>
        </w:rPr>
        <w:t>，存管比例可调整为</w:t>
      </w:r>
      <w:r>
        <w:rPr>
          <w:rFonts w:hAnsi="Calibri" w:cs="Times New Roman" w:hint="eastAsia"/>
          <w:szCs w:val="32"/>
        </w:rPr>
        <w:t>30%</w:t>
      </w:r>
      <w:r>
        <w:rPr>
          <w:rFonts w:hAnsi="Calibri" w:cs="Times New Roman" w:hint="eastAsia"/>
          <w:szCs w:val="32"/>
        </w:rPr>
        <w:t>。</w:t>
      </w:r>
    </w:p>
    <w:p w:rsidR="002B2EF6" w:rsidRDefault="00983F46">
      <w:pPr>
        <w:snapToGrid w:val="0"/>
        <w:ind w:firstLine="640"/>
        <w:rPr>
          <w:rFonts w:hAnsi="楷体" w:cs="楷体"/>
          <w:szCs w:val="32"/>
        </w:rPr>
      </w:pPr>
      <w:r>
        <w:rPr>
          <w:rFonts w:ascii="黑体" w:eastAsia="黑体" w:hAnsi="黑体" w:cs="Times New Roman" w:hint="eastAsia"/>
          <w:szCs w:val="32"/>
        </w:rPr>
        <w:t>第十条</w:t>
      </w:r>
      <w:r>
        <w:rPr>
          <w:rFonts w:ascii="黑体" w:eastAsia="黑体" w:hAnsi="黑体" w:hint="eastAsia"/>
          <w:color w:val="000000"/>
          <w:szCs w:val="32"/>
        </w:rPr>
        <w:t>【存管资金拨付】</w:t>
      </w:r>
      <w:r>
        <w:rPr>
          <w:rFonts w:hAnsi="楷体" w:cs="楷体" w:hint="eastAsia"/>
          <w:szCs w:val="32"/>
        </w:rPr>
        <w:t>存管资金的拨付与</w:t>
      </w:r>
      <w:r>
        <w:rPr>
          <w:rFonts w:hAnsi="Calibri" w:cs="Times New Roman" w:hint="eastAsia"/>
          <w:szCs w:val="32"/>
        </w:rPr>
        <w:t>培训进度相匹配，按照</w:t>
      </w:r>
      <w:r>
        <w:rPr>
          <w:rFonts w:hAnsi="楷体" w:cs="楷体"/>
          <w:szCs w:val="32"/>
        </w:rPr>
        <w:t>20%</w:t>
      </w:r>
      <w:r>
        <w:rPr>
          <w:rFonts w:hAnsi="楷体" w:cs="楷体"/>
          <w:szCs w:val="32"/>
        </w:rPr>
        <w:t>、</w:t>
      </w:r>
      <w:r>
        <w:rPr>
          <w:rFonts w:hAnsi="楷体" w:cs="楷体"/>
          <w:szCs w:val="32"/>
        </w:rPr>
        <w:t>35%</w:t>
      </w:r>
      <w:r>
        <w:rPr>
          <w:rFonts w:hAnsi="楷体" w:cs="楷体"/>
          <w:szCs w:val="32"/>
        </w:rPr>
        <w:t>、</w:t>
      </w:r>
      <w:r>
        <w:rPr>
          <w:rFonts w:hAnsi="楷体" w:cs="楷体"/>
          <w:szCs w:val="32"/>
        </w:rPr>
        <w:t>35%</w:t>
      </w:r>
      <w:r>
        <w:rPr>
          <w:rFonts w:hAnsi="楷体" w:cs="楷体"/>
          <w:szCs w:val="32"/>
        </w:rPr>
        <w:t>、</w:t>
      </w:r>
      <w:r>
        <w:rPr>
          <w:rFonts w:hAnsi="楷体" w:cs="楷体"/>
          <w:szCs w:val="32"/>
        </w:rPr>
        <w:t>10%</w:t>
      </w:r>
      <w:r>
        <w:rPr>
          <w:rFonts w:hAnsi="楷体" w:cs="楷体" w:hint="eastAsia"/>
          <w:szCs w:val="32"/>
        </w:rPr>
        <w:t>的比例分四次</w:t>
      </w:r>
      <w:r>
        <w:rPr>
          <w:rFonts w:hAnsi="Calibri" w:cs="Times New Roman" w:hint="eastAsia"/>
          <w:szCs w:val="32"/>
        </w:rPr>
        <w:t>拨付至驾培机构。</w:t>
      </w:r>
    </w:p>
    <w:p w:rsidR="002B2EF6" w:rsidRDefault="00983F46">
      <w:pPr>
        <w:snapToGrid w:val="0"/>
        <w:ind w:firstLine="640"/>
        <w:rPr>
          <w:rFonts w:hAnsi="楷体" w:cs="楷体"/>
          <w:szCs w:val="32"/>
        </w:rPr>
      </w:pPr>
      <w:r>
        <w:rPr>
          <w:rFonts w:hAnsi="楷体" w:cs="楷体" w:hint="eastAsia"/>
          <w:szCs w:val="32"/>
        </w:rPr>
        <w:t>驾培机构完成相应阶段培训服务并经学员确认后，存管银行于</w:t>
      </w:r>
      <w:r>
        <w:rPr>
          <w:rFonts w:hAnsi="楷体" w:cs="楷体" w:hint="eastAsia"/>
          <w:szCs w:val="32"/>
        </w:rPr>
        <w:t>2</w:t>
      </w:r>
      <w:r>
        <w:rPr>
          <w:rFonts w:hAnsi="楷体" w:cs="楷体" w:hint="eastAsia"/>
          <w:szCs w:val="32"/>
        </w:rPr>
        <w:t>个工作日内拨付资金，超过</w:t>
      </w:r>
      <w:r>
        <w:rPr>
          <w:rFonts w:hAnsi="楷体" w:cs="楷体" w:hint="eastAsia"/>
          <w:szCs w:val="32"/>
        </w:rPr>
        <w:t>7</w:t>
      </w:r>
      <w:r>
        <w:rPr>
          <w:rFonts w:hAnsi="楷体" w:cs="楷体" w:hint="eastAsia"/>
          <w:szCs w:val="32"/>
        </w:rPr>
        <w:t>日未确认的，视同为确认。</w:t>
      </w:r>
      <w:r>
        <w:rPr>
          <w:rFonts w:cs="Times New Roman" w:hint="eastAsia"/>
          <w:szCs w:val="32"/>
        </w:rPr>
        <w:t>双</w:t>
      </w:r>
      <w:r>
        <w:rPr>
          <w:rFonts w:cs="Times New Roman" w:hint="eastAsia"/>
          <w:szCs w:val="32"/>
        </w:rPr>
        <w:lastRenderedPageBreak/>
        <w:t>方存在争议的，应按照有关法律法规、合同约定处理</w:t>
      </w:r>
      <w:r>
        <w:rPr>
          <w:rFonts w:hint="eastAsia"/>
          <w:szCs w:val="32"/>
        </w:rPr>
        <w:t>。</w:t>
      </w:r>
    </w:p>
    <w:p w:rsidR="002B2EF6" w:rsidRDefault="00983F46">
      <w:pPr>
        <w:snapToGrid w:val="0"/>
        <w:ind w:firstLine="640"/>
        <w:rPr>
          <w:rFonts w:cs="仿宋_GB2312"/>
          <w:szCs w:val="32"/>
        </w:rPr>
      </w:pPr>
      <w:r>
        <w:rPr>
          <w:rFonts w:ascii="黑体" w:eastAsia="黑体" w:hAnsi="黑体" w:cs="Times New Roman" w:hint="eastAsia"/>
          <w:szCs w:val="32"/>
        </w:rPr>
        <w:t>第十一条【记录查询】</w:t>
      </w:r>
      <w:r>
        <w:rPr>
          <w:rFonts w:hAnsi="Calibri" w:cs="Times New Roman" w:hint="eastAsia"/>
          <w:szCs w:val="32"/>
        </w:rPr>
        <w:t>驾培机构应当向学员提供</w:t>
      </w:r>
      <w:r>
        <w:rPr>
          <w:rFonts w:cs="仿宋_GB2312" w:hint="eastAsia"/>
          <w:szCs w:val="32"/>
        </w:rPr>
        <w:t>培训服务费用使用情况、消费记录、余额等信息的查询服务。</w:t>
      </w:r>
    </w:p>
    <w:p w:rsidR="002B2EF6" w:rsidRDefault="00983F46">
      <w:pPr>
        <w:pStyle w:val="2"/>
        <w:snapToGrid w:val="0"/>
        <w:ind w:firstLine="640"/>
      </w:pPr>
      <w:r>
        <w:rPr>
          <w:rFonts w:hint="eastAsia"/>
        </w:rPr>
        <w:t>驾培机构出现停业、注销等情形或者经营场所变更的，应当及时通过电话、短信或者微信等方式告知学员，并在经营场所、网页等显著位置发布公告。</w:t>
      </w:r>
    </w:p>
    <w:p w:rsidR="002B2EF6" w:rsidRDefault="00983F46">
      <w:pPr>
        <w:pStyle w:val="2"/>
        <w:snapToGrid w:val="0"/>
        <w:ind w:firstLine="640"/>
      </w:pPr>
      <w:r>
        <w:rPr>
          <w:rFonts w:ascii="黑体" w:eastAsia="黑体" w:hAnsi="黑体" w:hint="eastAsia"/>
          <w:szCs w:val="32"/>
        </w:rPr>
        <w:t>第十二条</w:t>
      </w:r>
      <w:r>
        <w:rPr>
          <w:rFonts w:ascii="黑体" w:eastAsia="黑体" w:hAnsi="黑体" w:hint="eastAsia"/>
          <w:color w:val="000000"/>
          <w:szCs w:val="32"/>
        </w:rPr>
        <w:t>【退费管理】</w:t>
      </w:r>
      <w:r>
        <w:rPr>
          <w:rFonts w:hAnsi="楷体" w:cs="楷体" w:hint="eastAsia"/>
          <w:szCs w:val="32"/>
        </w:rPr>
        <w:t>学员自付费之日起</w:t>
      </w:r>
      <w:r>
        <w:rPr>
          <w:rFonts w:hAnsi="楷体" w:cs="楷体" w:hint="eastAsia"/>
          <w:szCs w:val="32"/>
        </w:rPr>
        <w:t>7</w:t>
      </w:r>
      <w:r>
        <w:rPr>
          <w:rFonts w:hAnsi="楷体" w:cs="楷体" w:hint="eastAsia"/>
          <w:szCs w:val="32"/>
        </w:rPr>
        <w:t>日内未参加培训的，有权要求驾培机构退费。驾培机构应当自学员要求退费</w:t>
      </w:r>
      <w:r>
        <w:rPr>
          <w:rFonts w:hAnsi="楷体" w:cs="楷体" w:hint="eastAsia"/>
          <w:szCs w:val="32"/>
        </w:rPr>
        <w:t>之日起</w:t>
      </w:r>
      <w:r>
        <w:rPr>
          <w:rFonts w:hAnsi="楷体" w:cs="楷体" w:hint="eastAsia"/>
          <w:szCs w:val="32"/>
        </w:rPr>
        <w:t>5</w:t>
      </w:r>
      <w:r>
        <w:rPr>
          <w:rFonts w:hAnsi="楷体" w:cs="楷体" w:hint="eastAsia"/>
          <w:szCs w:val="32"/>
        </w:rPr>
        <w:t>日内一次性全额退费；学员因支付预付费获得的赠品和相关服务，应当退回或支付合理的价款。</w:t>
      </w:r>
    </w:p>
    <w:p w:rsidR="002B2EF6" w:rsidRDefault="00983F46">
      <w:pPr>
        <w:adjustRightInd w:val="0"/>
        <w:snapToGrid w:val="0"/>
        <w:ind w:firstLine="640"/>
      </w:pPr>
      <w:r>
        <w:rPr>
          <w:rFonts w:hAnsi="楷体" w:cs="楷体" w:hint="eastAsia"/>
          <w:szCs w:val="32"/>
        </w:rPr>
        <w:t>其他退费情形按照合同约定办理，应当符合《北京市单用途预付卡管理条例》等有关法律法规要求。发生退费纠纷时，驾培机构不得以纳入资金监管为由拒绝学员的合理诉求。</w:t>
      </w:r>
    </w:p>
    <w:p w:rsidR="002B2EF6" w:rsidRDefault="00983F46">
      <w:pPr>
        <w:snapToGrid w:val="0"/>
        <w:ind w:firstLine="640"/>
        <w:rPr>
          <w:rFonts w:hAnsi="楷体" w:cs="楷体"/>
          <w:szCs w:val="32"/>
        </w:rPr>
      </w:pPr>
      <w:r>
        <w:rPr>
          <w:rFonts w:ascii="黑体" w:eastAsia="黑体" w:hAnsi="黑体" w:cs="Times New Roman" w:hint="eastAsia"/>
          <w:szCs w:val="32"/>
        </w:rPr>
        <w:t>第十三条</w:t>
      </w:r>
      <w:r>
        <w:rPr>
          <w:rFonts w:ascii="黑体" w:eastAsia="黑体" w:hAnsi="黑体" w:hint="eastAsia"/>
          <w:color w:val="000000"/>
          <w:szCs w:val="32"/>
        </w:rPr>
        <w:t>【存管银行】</w:t>
      </w:r>
      <w:r>
        <w:rPr>
          <w:rFonts w:hAnsi="Calibri" w:cs="Times New Roman" w:hint="eastAsia"/>
          <w:szCs w:val="32"/>
        </w:rPr>
        <w:t>存管银行负责按照</w:t>
      </w:r>
      <w:r>
        <w:rPr>
          <w:rFonts w:hAnsi="楷体" w:cs="楷体" w:hint="eastAsia"/>
          <w:szCs w:val="32"/>
        </w:rPr>
        <w:t>交通运输主管部门监管要求及</w:t>
      </w:r>
      <w:r>
        <w:rPr>
          <w:rFonts w:hAnsi="Calibri" w:cs="Times New Roman" w:hint="eastAsia"/>
          <w:szCs w:val="32"/>
        </w:rPr>
        <w:t>金融监管部门</w:t>
      </w:r>
      <w:r>
        <w:rPr>
          <w:rFonts w:hAnsi="楷体" w:cs="楷体" w:hint="eastAsia"/>
          <w:szCs w:val="32"/>
        </w:rPr>
        <w:t>的业务规定，为驾培机构提供资金存管服务，履行资金存管职责并实施异动监测，及时向交通运输等主管部门报告有关情况。</w:t>
      </w:r>
    </w:p>
    <w:p w:rsidR="002B2EF6" w:rsidRDefault="00983F46">
      <w:pPr>
        <w:snapToGrid w:val="0"/>
        <w:ind w:firstLine="640"/>
        <w:rPr>
          <w:rFonts w:hAnsi="Calibri" w:cs="Times New Roman"/>
          <w:szCs w:val="32"/>
        </w:rPr>
      </w:pPr>
      <w:r>
        <w:rPr>
          <w:rFonts w:hAnsi="楷体" w:cs="楷体" w:hint="eastAsia"/>
          <w:szCs w:val="32"/>
        </w:rPr>
        <w:t>存管银行应加强对预收资金的风险管控，保证资金安全。不得侵占、挪用预收资金，不</w:t>
      </w:r>
      <w:r>
        <w:rPr>
          <w:rFonts w:hAnsi="楷体" w:cs="楷体" w:hint="eastAsia"/>
          <w:szCs w:val="32"/>
        </w:rPr>
        <w:t>得</w:t>
      </w:r>
      <w:r>
        <w:rPr>
          <w:rFonts w:hAnsi="Calibri" w:cs="Times New Roman" w:hint="eastAsia"/>
          <w:szCs w:val="32"/>
        </w:rPr>
        <w:t>因提供存管服务而额外收取驾培机构和学员存管服务费用。</w:t>
      </w:r>
    </w:p>
    <w:p w:rsidR="002B2EF6" w:rsidRDefault="00983F46">
      <w:pPr>
        <w:snapToGrid w:val="0"/>
        <w:ind w:firstLine="640"/>
      </w:pPr>
      <w:r>
        <w:rPr>
          <w:rFonts w:ascii="黑体" w:eastAsia="黑体" w:hAnsi="黑体" w:cs="Times New Roman" w:hint="eastAsia"/>
          <w:szCs w:val="32"/>
        </w:rPr>
        <w:t>第十四条</w:t>
      </w:r>
      <w:r>
        <w:rPr>
          <w:rFonts w:ascii="黑体" w:eastAsia="黑体" w:hAnsi="黑体" w:hint="eastAsia"/>
          <w:color w:val="000000"/>
          <w:szCs w:val="32"/>
        </w:rPr>
        <w:t>【信息安全】</w:t>
      </w:r>
      <w:r>
        <w:rPr>
          <w:rFonts w:hAnsi="Calibri" w:cs="Times New Roman" w:hint="eastAsia"/>
          <w:szCs w:val="32"/>
        </w:rPr>
        <w:t>有关部门、驾培机构、存管银行应当对收集的学员个人信息严格保密，不得泄露、出售或者非法向他</w:t>
      </w:r>
      <w:r>
        <w:rPr>
          <w:rFonts w:hAnsi="Calibri" w:cs="Times New Roman" w:hint="eastAsia"/>
          <w:szCs w:val="32"/>
        </w:rPr>
        <w:lastRenderedPageBreak/>
        <w:t>人提供。</w:t>
      </w:r>
    </w:p>
    <w:p w:rsidR="002B2EF6" w:rsidRDefault="00983F46">
      <w:pPr>
        <w:snapToGrid w:val="0"/>
        <w:ind w:firstLine="640"/>
        <w:rPr>
          <w:rFonts w:cs="仿宋_GB2312"/>
          <w:szCs w:val="32"/>
        </w:rPr>
      </w:pPr>
      <w:r>
        <w:rPr>
          <w:rFonts w:ascii="黑体" w:eastAsia="黑体" w:hAnsi="黑体" w:cs="Times New Roman" w:hint="eastAsia"/>
          <w:szCs w:val="32"/>
        </w:rPr>
        <w:t>第十五条【监管检查】</w:t>
      </w:r>
      <w:r>
        <w:rPr>
          <w:rFonts w:cs="仿宋_GB2312" w:hint="eastAsia"/>
          <w:szCs w:val="32"/>
        </w:rPr>
        <w:t>交通运输主管部门将预付费监管纳入交通一体化综合监管体系，预付费制度执行情况作为驾培机构信用评价的考核指标。根据“风险</w:t>
      </w:r>
      <w:r>
        <w:rPr>
          <w:rFonts w:cs="仿宋_GB2312" w:hint="eastAsia"/>
          <w:szCs w:val="32"/>
        </w:rPr>
        <w:t>+</w:t>
      </w:r>
      <w:r>
        <w:rPr>
          <w:rFonts w:cs="仿宋_GB2312" w:hint="eastAsia"/>
          <w:szCs w:val="32"/>
        </w:rPr>
        <w:t>信用”综合评级情况，分级分类开展现场和非现场检查，发现问题的，依法采取非处罚类和处罚类监管措施。信用评价、行政处罚等信用信息将在“信用交通北京”和“信用中国”等网站向社会公开。</w:t>
      </w:r>
    </w:p>
    <w:p w:rsidR="002B2EF6" w:rsidRDefault="00983F46">
      <w:pPr>
        <w:snapToGrid w:val="0"/>
        <w:ind w:firstLine="640"/>
        <w:rPr>
          <w:rFonts w:cs="仿宋_GB2312"/>
          <w:szCs w:val="32"/>
        </w:rPr>
      </w:pPr>
      <w:r>
        <w:rPr>
          <w:rFonts w:cs="仿宋_GB2312" w:hint="eastAsia"/>
          <w:szCs w:val="32"/>
        </w:rPr>
        <w:t>交通运输主管部门应会同</w:t>
      </w:r>
      <w:r>
        <w:rPr>
          <w:rFonts w:cs="仿宋_GB2312" w:hint="eastAsia"/>
          <w:szCs w:val="32"/>
        </w:rPr>
        <w:t>相关部门建立联合检查工作机制，依各自职责对驾培机构预付费经营活动开展联合检查。</w:t>
      </w:r>
    </w:p>
    <w:p w:rsidR="002B2EF6" w:rsidRDefault="00983F46">
      <w:pPr>
        <w:adjustRightInd w:val="0"/>
        <w:snapToGrid w:val="0"/>
        <w:ind w:firstLine="640"/>
        <w:rPr>
          <w:rFonts w:cs="仿宋_GB2312"/>
          <w:szCs w:val="32"/>
        </w:rPr>
      </w:pPr>
      <w:r>
        <w:rPr>
          <w:rFonts w:ascii="黑体" w:eastAsia="黑体" w:hAnsi="黑体" w:cs="Times New Roman" w:hint="eastAsia"/>
          <w:szCs w:val="32"/>
        </w:rPr>
        <w:t>第十六条</w:t>
      </w:r>
      <w:r>
        <w:rPr>
          <w:rFonts w:ascii="黑体" w:eastAsia="黑体" w:hAnsi="黑体" w:hint="eastAsia"/>
          <w:color w:val="000000"/>
          <w:szCs w:val="32"/>
        </w:rPr>
        <w:t>【实施</w:t>
      </w:r>
      <w:r>
        <w:rPr>
          <w:rFonts w:ascii="黑体" w:eastAsia="黑体" w:hAnsi="黑体"/>
          <w:color w:val="000000"/>
          <w:szCs w:val="32"/>
        </w:rPr>
        <w:t>时间</w:t>
      </w:r>
      <w:r>
        <w:rPr>
          <w:rFonts w:ascii="黑体" w:eastAsia="黑体" w:hAnsi="黑体" w:hint="eastAsia"/>
          <w:color w:val="000000"/>
          <w:szCs w:val="32"/>
        </w:rPr>
        <w:t>】</w:t>
      </w:r>
      <w:r>
        <w:rPr>
          <w:rFonts w:cs="仿宋_GB2312" w:hint="eastAsia"/>
          <w:szCs w:val="32"/>
        </w:rPr>
        <w:t>本办法自印发之日起施行。本办法施行前已经开展预付费经营活动的驾培机构，应当自本办法施行之日起</w:t>
      </w:r>
      <w:r>
        <w:rPr>
          <w:rFonts w:cs="仿宋_GB2312"/>
          <w:szCs w:val="32"/>
        </w:rPr>
        <w:t>90</w:t>
      </w:r>
      <w:r>
        <w:rPr>
          <w:rFonts w:cs="仿宋_GB2312"/>
          <w:szCs w:val="32"/>
        </w:rPr>
        <w:t>日内完成</w:t>
      </w:r>
      <w:r>
        <w:rPr>
          <w:rFonts w:cs="仿宋_GB2312" w:hint="eastAsia"/>
          <w:szCs w:val="32"/>
        </w:rPr>
        <w:t>资金存管</w:t>
      </w:r>
      <w:r>
        <w:rPr>
          <w:rFonts w:cs="仿宋_GB2312"/>
          <w:szCs w:val="32"/>
        </w:rPr>
        <w:t>。</w:t>
      </w:r>
      <w:r>
        <w:rPr>
          <w:rFonts w:ascii="黑体" w:eastAsia="黑体" w:hAnsi="黑体" w:hint="eastAsia"/>
          <w:color w:val="000000"/>
          <w:szCs w:val="32"/>
        </w:rPr>
        <w:t xml:space="preserve"> </w:t>
      </w:r>
    </w:p>
    <w:p w:rsidR="002B2EF6" w:rsidRDefault="002B2EF6">
      <w:pPr>
        <w:ind w:firstLine="560"/>
        <w:rPr>
          <w:rFonts w:ascii="楷体_GB2312" w:eastAsia="楷体_GB2312" w:hAnsi="楷体_GB2312" w:cs="楷体_GB2312"/>
          <w:color w:val="C00000"/>
          <w:sz w:val="28"/>
          <w:szCs w:val="28"/>
        </w:rPr>
      </w:pPr>
    </w:p>
    <w:p w:rsidR="002B2EF6" w:rsidRDefault="00983F46">
      <w:pPr>
        <w:ind w:firstLine="640"/>
        <w:rPr>
          <w:rFonts w:ascii="黑体" w:eastAsia="黑体" w:hAnsi="黑体" w:cs="方正小标宋简体"/>
          <w:szCs w:val="32"/>
        </w:rPr>
      </w:pPr>
      <w:r>
        <w:rPr>
          <w:rFonts w:ascii="黑体" w:eastAsia="黑体" w:hAnsi="黑体" w:cs="方正小标宋简体" w:hint="eastAsia"/>
          <w:szCs w:val="32"/>
        </w:rPr>
        <w:br w:type="page"/>
      </w:r>
    </w:p>
    <w:p w:rsidR="002B2EF6" w:rsidRDefault="00983F46">
      <w:pPr>
        <w:ind w:firstLineChars="0" w:firstLine="0"/>
        <w:rPr>
          <w:rFonts w:ascii="黑体" w:eastAsia="黑体" w:hAnsi="黑体" w:cs="方正小标宋简体"/>
          <w:szCs w:val="32"/>
        </w:rPr>
      </w:pPr>
      <w:r>
        <w:rPr>
          <w:rFonts w:ascii="黑体" w:eastAsia="黑体" w:hAnsi="黑体" w:cs="方正小标宋简体" w:hint="eastAsia"/>
          <w:szCs w:val="32"/>
        </w:rPr>
        <w:lastRenderedPageBreak/>
        <w:t>附件</w:t>
      </w:r>
    </w:p>
    <w:p w:rsidR="002B2EF6" w:rsidRDefault="002B2EF6">
      <w:pPr>
        <w:pStyle w:val="2"/>
        <w:ind w:firstLine="640"/>
      </w:pPr>
    </w:p>
    <w:p w:rsidR="002B2EF6" w:rsidRDefault="00983F4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北京市机动车驾驶员</w:t>
      </w:r>
    </w:p>
    <w:p w:rsidR="002B2EF6" w:rsidRDefault="00983F4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培训机构预收资金存管比例告知书</w:t>
      </w:r>
    </w:p>
    <w:p w:rsidR="002B2EF6" w:rsidRDefault="002B2EF6">
      <w:pPr>
        <w:pStyle w:val="2"/>
        <w:spacing w:line="240" w:lineRule="exact"/>
        <w:ind w:firstLineChars="0" w:firstLine="0"/>
        <w:rPr>
          <w:rFonts w:hAnsi="Calibri"/>
          <w:szCs w:val="32"/>
          <w:shd w:val="clear" w:color="auto" w:fill="FFFFFF"/>
        </w:rPr>
      </w:pPr>
    </w:p>
    <w:p w:rsidR="002B2EF6" w:rsidRDefault="00983F46">
      <w:pPr>
        <w:pStyle w:val="2"/>
        <w:ind w:firstLineChars="0" w:firstLine="640"/>
        <w:rPr>
          <w:szCs w:val="32"/>
          <w:shd w:val="clear" w:color="auto" w:fill="FFFFFF"/>
        </w:rPr>
      </w:pPr>
      <w:r>
        <w:rPr>
          <w:rFonts w:hint="eastAsia"/>
          <w:szCs w:val="32"/>
          <w:u w:val="single"/>
        </w:rPr>
        <w:t xml:space="preserve">               </w:t>
      </w:r>
      <w:r>
        <w:rPr>
          <w:rFonts w:hint="eastAsia"/>
          <w:szCs w:val="32"/>
          <w:shd w:val="clear" w:color="auto" w:fill="FFFFFF"/>
        </w:rPr>
        <w:t>（驾培机构名称）</w:t>
      </w:r>
      <w:r>
        <w:rPr>
          <w:rFonts w:hAnsi="Calibri" w:hint="eastAsia"/>
          <w:szCs w:val="32"/>
        </w:rPr>
        <w:t>建立存管专用账户时存管比例</w:t>
      </w:r>
      <w:r>
        <w:rPr>
          <w:rFonts w:hint="eastAsia"/>
          <w:szCs w:val="32"/>
        </w:rPr>
        <w:t>为</w:t>
      </w:r>
      <w:r>
        <w:rPr>
          <w:rFonts w:hint="eastAsia"/>
          <w:szCs w:val="32"/>
          <w:u w:val="single"/>
        </w:rPr>
        <w:t xml:space="preserve">     </w:t>
      </w:r>
      <w:r>
        <w:rPr>
          <w:rFonts w:hint="eastAsia"/>
          <w:szCs w:val="32"/>
        </w:rPr>
        <w:t>%</w:t>
      </w:r>
      <w:r>
        <w:rPr>
          <w:rFonts w:hint="eastAsia"/>
          <w:szCs w:val="32"/>
        </w:rPr>
        <w:t>（</w:t>
      </w:r>
      <w:r>
        <w:rPr>
          <w:rFonts w:hint="eastAsia"/>
          <w:szCs w:val="32"/>
        </w:rPr>
        <w:t>30%/40%</w:t>
      </w:r>
      <w:r>
        <w:rPr>
          <w:rFonts w:hint="eastAsia"/>
          <w:szCs w:val="32"/>
        </w:rPr>
        <w:t>）</w:t>
      </w:r>
      <w:r>
        <w:rPr>
          <w:rFonts w:hint="eastAsia"/>
          <w:szCs w:val="32"/>
          <w:shd w:val="clear" w:color="auto" w:fill="FFFFFF"/>
        </w:rPr>
        <w:t>。</w:t>
      </w:r>
    </w:p>
    <w:p w:rsidR="002B2EF6" w:rsidRDefault="00983F46">
      <w:pPr>
        <w:pStyle w:val="2"/>
        <w:ind w:firstLineChars="0" w:firstLine="640"/>
        <w:rPr>
          <w:szCs w:val="32"/>
          <w:shd w:val="clear" w:color="auto" w:fill="FFFFFF"/>
        </w:rPr>
      </w:pPr>
      <w:r>
        <w:rPr>
          <w:rFonts w:hint="eastAsia"/>
          <w:szCs w:val="32"/>
          <w:shd w:val="clear" w:color="auto" w:fill="FFFFFF"/>
        </w:rPr>
        <w:t>该驾培机构</w:t>
      </w:r>
      <w:r>
        <w:rPr>
          <w:rFonts w:hint="eastAsia"/>
          <w:szCs w:val="32"/>
          <w:u w:val="single"/>
        </w:rPr>
        <w:t xml:space="preserve">     </w:t>
      </w:r>
      <w:r>
        <w:rPr>
          <w:rFonts w:hint="eastAsia"/>
          <w:szCs w:val="32"/>
          <w:shd w:val="clear" w:color="auto" w:fill="FFFFFF"/>
        </w:rPr>
        <w:t>年</w:t>
      </w:r>
      <w:r>
        <w:rPr>
          <w:rFonts w:hint="eastAsia"/>
          <w:szCs w:val="32"/>
          <w:u w:val="single"/>
        </w:rPr>
        <w:t xml:space="preserve">    </w:t>
      </w:r>
      <w:r>
        <w:rPr>
          <w:rFonts w:hint="eastAsia"/>
          <w:szCs w:val="32"/>
          <w:shd w:val="clear" w:color="auto" w:fill="FFFFFF"/>
        </w:rPr>
        <w:t>月具体情况如下：</w:t>
      </w:r>
    </w:p>
    <w:tbl>
      <w:tblPr>
        <w:tblStyle w:val="a9"/>
        <w:tblW w:w="0" w:type="auto"/>
        <w:tblLook w:val="04A0" w:firstRow="1" w:lastRow="0" w:firstColumn="1" w:lastColumn="0" w:noHBand="0" w:noVBand="1"/>
      </w:tblPr>
      <w:tblGrid>
        <w:gridCol w:w="3851"/>
        <w:gridCol w:w="2578"/>
        <w:gridCol w:w="2631"/>
      </w:tblGrid>
      <w:tr w:rsidR="002B2EF6">
        <w:trPr>
          <w:trHeight w:hRule="exact" w:val="680"/>
        </w:trPr>
        <w:tc>
          <w:tcPr>
            <w:tcW w:w="3851" w:type="dxa"/>
            <w:vAlign w:val="center"/>
          </w:tcPr>
          <w:p w:rsidR="002B2EF6" w:rsidRDefault="00983F46">
            <w:pPr>
              <w:pStyle w:val="2"/>
              <w:snapToGrid w:val="0"/>
              <w:spacing w:line="240" w:lineRule="auto"/>
              <w:ind w:firstLineChars="0" w:firstLine="0"/>
              <w:jc w:val="center"/>
              <w:rPr>
                <w:rFonts w:cs="仿宋_GB2312"/>
                <w:b/>
                <w:bCs/>
                <w:sz w:val="28"/>
                <w:szCs w:val="28"/>
                <w:shd w:val="clear" w:color="auto" w:fill="FFFFFF"/>
              </w:rPr>
            </w:pPr>
            <w:r>
              <w:rPr>
                <w:rFonts w:cs="仿宋_GB2312" w:hint="eastAsia"/>
                <w:b/>
                <w:bCs/>
                <w:sz w:val="28"/>
                <w:szCs w:val="28"/>
                <w:shd w:val="clear" w:color="auto" w:fill="FFFFFF"/>
              </w:rPr>
              <w:t>具体情况</w:t>
            </w:r>
          </w:p>
        </w:tc>
        <w:tc>
          <w:tcPr>
            <w:tcW w:w="2578" w:type="dxa"/>
            <w:vAlign w:val="center"/>
          </w:tcPr>
          <w:p w:rsidR="002B2EF6" w:rsidRDefault="00983F46">
            <w:pPr>
              <w:pStyle w:val="2"/>
              <w:snapToGrid w:val="0"/>
              <w:spacing w:line="240" w:lineRule="auto"/>
              <w:ind w:firstLineChars="0" w:firstLine="0"/>
              <w:jc w:val="center"/>
              <w:rPr>
                <w:rFonts w:cs="仿宋_GB2312"/>
                <w:b/>
                <w:bCs/>
                <w:sz w:val="28"/>
                <w:szCs w:val="28"/>
                <w:shd w:val="clear" w:color="auto" w:fill="FFFFFF"/>
              </w:rPr>
            </w:pPr>
            <w:r>
              <w:rPr>
                <w:rFonts w:cs="仿宋_GB2312" w:hint="eastAsia"/>
                <w:b/>
                <w:bCs/>
                <w:sz w:val="28"/>
                <w:szCs w:val="28"/>
                <w:shd w:val="clear" w:color="auto" w:fill="FFFFFF"/>
              </w:rPr>
              <w:t>存管比例调整</w:t>
            </w:r>
          </w:p>
        </w:tc>
        <w:tc>
          <w:tcPr>
            <w:tcW w:w="2631" w:type="dxa"/>
            <w:vAlign w:val="center"/>
          </w:tcPr>
          <w:p w:rsidR="002B2EF6" w:rsidRDefault="00983F46">
            <w:pPr>
              <w:pStyle w:val="2"/>
              <w:snapToGrid w:val="0"/>
              <w:spacing w:line="240" w:lineRule="auto"/>
              <w:ind w:firstLineChars="0" w:firstLine="0"/>
              <w:jc w:val="center"/>
              <w:rPr>
                <w:rFonts w:cs="仿宋_GB2312"/>
                <w:b/>
                <w:bCs/>
                <w:sz w:val="28"/>
                <w:szCs w:val="28"/>
                <w:shd w:val="clear" w:color="auto" w:fill="FFFFFF"/>
              </w:rPr>
            </w:pPr>
            <w:r>
              <w:rPr>
                <w:rFonts w:cs="仿宋_GB2312" w:hint="eastAsia"/>
                <w:b/>
                <w:bCs/>
                <w:sz w:val="28"/>
                <w:szCs w:val="28"/>
                <w:shd w:val="clear" w:color="auto" w:fill="FFFFFF"/>
              </w:rPr>
              <w:t>是否满足条件</w:t>
            </w:r>
          </w:p>
        </w:tc>
      </w:tr>
      <w:tr w:rsidR="002B2EF6">
        <w:trPr>
          <w:trHeight w:hRule="exact" w:val="850"/>
        </w:trPr>
        <w:tc>
          <w:tcPr>
            <w:tcW w:w="3851" w:type="dxa"/>
            <w:vAlign w:val="center"/>
          </w:tcPr>
          <w:p w:rsidR="002B2EF6" w:rsidRDefault="00983F46">
            <w:pPr>
              <w:pStyle w:val="2"/>
              <w:snapToGrid w:val="0"/>
              <w:spacing w:line="240" w:lineRule="auto"/>
              <w:ind w:firstLineChars="0" w:firstLine="0"/>
              <w:rPr>
                <w:rFonts w:cs="仿宋_GB2312"/>
                <w:sz w:val="28"/>
                <w:szCs w:val="28"/>
                <w:shd w:val="clear" w:color="auto" w:fill="FFFFFF"/>
              </w:rPr>
            </w:pPr>
            <w:r>
              <w:rPr>
                <w:rFonts w:cs="仿宋_GB2312" w:hint="eastAsia"/>
                <w:sz w:val="28"/>
                <w:szCs w:val="28"/>
              </w:rPr>
              <w:t>质量信誉等级为</w:t>
            </w:r>
            <w:r>
              <w:rPr>
                <w:rFonts w:cs="仿宋_GB2312" w:hint="eastAsia"/>
                <w:sz w:val="28"/>
                <w:szCs w:val="28"/>
              </w:rPr>
              <w:t>AAA</w:t>
            </w:r>
            <w:r>
              <w:rPr>
                <w:rFonts w:cs="仿宋_GB2312" w:hint="eastAsia"/>
                <w:sz w:val="28"/>
                <w:szCs w:val="28"/>
              </w:rPr>
              <w:t>且信用评价等级为</w:t>
            </w:r>
            <w:r>
              <w:rPr>
                <w:rFonts w:cs="仿宋_GB2312" w:hint="eastAsia"/>
                <w:sz w:val="28"/>
                <w:szCs w:val="28"/>
              </w:rPr>
              <w:t>A+</w:t>
            </w:r>
          </w:p>
        </w:tc>
        <w:tc>
          <w:tcPr>
            <w:tcW w:w="2578" w:type="dxa"/>
            <w:vAlign w:val="center"/>
          </w:tcPr>
          <w:p w:rsidR="002B2EF6" w:rsidRDefault="00983F46">
            <w:pPr>
              <w:pStyle w:val="2"/>
              <w:snapToGrid w:val="0"/>
              <w:spacing w:line="240" w:lineRule="auto"/>
              <w:ind w:firstLineChars="0" w:firstLine="0"/>
              <w:jc w:val="center"/>
              <w:rPr>
                <w:rFonts w:cs="仿宋_GB2312"/>
                <w:sz w:val="28"/>
                <w:szCs w:val="28"/>
                <w:shd w:val="clear" w:color="auto" w:fill="FFFFFF"/>
              </w:rPr>
            </w:pPr>
            <w:r>
              <w:rPr>
                <w:rFonts w:cs="仿宋_GB2312" w:hint="eastAsia"/>
                <w:sz w:val="28"/>
                <w:szCs w:val="28"/>
                <w:shd w:val="clear" w:color="auto" w:fill="FFFFFF"/>
              </w:rPr>
              <w:t>降低</w:t>
            </w:r>
            <w:r>
              <w:rPr>
                <w:rFonts w:cs="仿宋_GB2312" w:hint="eastAsia"/>
                <w:kern w:val="0"/>
                <w:sz w:val="28"/>
                <w:szCs w:val="28"/>
              </w:rPr>
              <w:t>5%</w:t>
            </w:r>
          </w:p>
        </w:tc>
        <w:tc>
          <w:tcPr>
            <w:tcW w:w="2631" w:type="dxa"/>
            <w:vAlign w:val="center"/>
          </w:tcPr>
          <w:p w:rsidR="002B2EF6" w:rsidRDefault="002B2EF6">
            <w:pPr>
              <w:pStyle w:val="2"/>
              <w:snapToGrid w:val="0"/>
              <w:spacing w:line="240" w:lineRule="auto"/>
              <w:ind w:firstLineChars="0" w:firstLine="0"/>
              <w:jc w:val="center"/>
              <w:rPr>
                <w:rFonts w:cs="仿宋_GB2312"/>
                <w:sz w:val="28"/>
                <w:szCs w:val="28"/>
                <w:shd w:val="clear" w:color="auto" w:fill="FFFFFF"/>
              </w:rPr>
            </w:pPr>
          </w:p>
        </w:tc>
      </w:tr>
      <w:tr w:rsidR="002B2EF6">
        <w:trPr>
          <w:trHeight w:hRule="exact" w:val="850"/>
        </w:trPr>
        <w:tc>
          <w:tcPr>
            <w:tcW w:w="3851" w:type="dxa"/>
            <w:vAlign w:val="center"/>
          </w:tcPr>
          <w:p w:rsidR="002B2EF6" w:rsidRDefault="00983F46">
            <w:pPr>
              <w:pStyle w:val="2"/>
              <w:snapToGrid w:val="0"/>
              <w:spacing w:line="240" w:lineRule="auto"/>
              <w:ind w:firstLineChars="0" w:firstLine="0"/>
              <w:rPr>
                <w:rFonts w:cs="仿宋_GB2312"/>
                <w:sz w:val="28"/>
                <w:szCs w:val="28"/>
                <w:shd w:val="clear" w:color="auto" w:fill="FFFFFF"/>
              </w:rPr>
            </w:pPr>
            <w:r>
              <w:rPr>
                <w:rFonts w:cs="仿宋_GB2312" w:hint="eastAsia"/>
                <w:sz w:val="28"/>
                <w:szCs w:val="28"/>
              </w:rPr>
              <w:t>质量信誉等级和信用评价等级均高于上年度</w:t>
            </w:r>
          </w:p>
        </w:tc>
        <w:tc>
          <w:tcPr>
            <w:tcW w:w="2578" w:type="dxa"/>
            <w:vAlign w:val="center"/>
          </w:tcPr>
          <w:p w:rsidR="002B2EF6" w:rsidRDefault="00983F46">
            <w:pPr>
              <w:pStyle w:val="2"/>
              <w:snapToGrid w:val="0"/>
              <w:spacing w:line="240" w:lineRule="auto"/>
              <w:ind w:firstLineChars="0" w:firstLine="0"/>
              <w:jc w:val="center"/>
              <w:rPr>
                <w:rFonts w:cs="仿宋_GB2312"/>
                <w:sz w:val="28"/>
                <w:szCs w:val="28"/>
                <w:shd w:val="clear" w:color="auto" w:fill="FFFFFF"/>
              </w:rPr>
            </w:pPr>
            <w:r>
              <w:rPr>
                <w:rFonts w:cs="仿宋_GB2312" w:hint="eastAsia"/>
                <w:sz w:val="28"/>
                <w:szCs w:val="28"/>
                <w:shd w:val="clear" w:color="auto" w:fill="FFFFFF"/>
              </w:rPr>
              <w:t>降低</w:t>
            </w:r>
            <w:r>
              <w:rPr>
                <w:rFonts w:cs="仿宋_GB2312" w:hint="eastAsia"/>
                <w:kern w:val="0"/>
                <w:sz w:val="28"/>
                <w:szCs w:val="28"/>
              </w:rPr>
              <w:t>5%</w:t>
            </w:r>
          </w:p>
        </w:tc>
        <w:tc>
          <w:tcPr>
            <w:tcW w:w="2631" w:type="dxa"/>
            <w:vAlign w:val="center"/>
          </w:tcPr>
          <w:p w:rsidR="002B2EF6" w:rsidRDefault="002B2EF6">
            <w:pPr>
              <w:pStyle w:val="2"/>
              <w:snapToGrid w:val="0"/>
              <w:spacing w:line="240" w:lineRule="auto"/>
              <w:ind w:firstLineChars="0" w:firstLine="0"/>
              <w:jc w:val="center"/>
              <w:rPr>
                <w:rFonts w:cs="仿宋_GB2312"/>
                <w:sz w:val="28"/>
                <w:szCs w:val="28"/>
                <w:shd w:val="clear" w:color="auto" w:fill="FFFFFF"/>
              </w:rPr>
            </w:pPr>
          </w:p>
        </w:tc>
      </w:tr>
      <w:tr w:rsidR="002B2EF6">
        <w:trPr>
          <w:trHeight w:hRule="exact" w:val="850"/>
        </w:trPr>
        <w:tc>
          <w:tcPr>
            <w:tcW w:w="3851" w:type="dxa"/>
            <w:vAlign w:val="center"/>
          </w:tcPr>
          <w:p w:rsidR="002B2EF6" w:rsidRDefault="00983F46">
            <w:pPr>
              <w:pStyle w:val="2"/>
              <w:snapToGrid w:val="0"/>
              <w:spacing w:line="240" w:lineRule="auto"/>
              <w:ind w:firstLineChars="0" w:firstLine="0"/>
              <w:rPr>
                <w:rFonts w:cs="仿宋_GB2312"/>
                <w:sz w:val="28"/>
                <w:szCs w:val="28"/>
                <w:shd w:val="clear" w:color="auto" w:fill="FFFFFF"/>
              </w:rPr>
            </w:pPr>
            <w:r>
              <w:rPr>
                <w:rFonts w:cs="仿宋_GB2312" w:hint="eastAsia"/>
                <w:sz w:val="28"/>
                <w:szCs w:val="28"/>
              </w:rPr>
              <w:t>质量信誉等级为</w:t>
            </w:r>
            <w:r>
              <w:rPr>
                <w:rFonts w:cs="仿宋_GB2312" w:hint="eastAsia"/>
                <w:sz w:val="28"/>
                <w:szCs w:val="28"/>
              </w:rPr>
              <w:t>B</w:t>
            </w:r>
            <w:r>
              <w:rPr>
                <w:rFonts w:cs="仿宋_GB2312" w:hint="eastAsia"/>
                <w:sz w:val="28"/>
                <w:szCs w:val="28"/>
              </w:rPr>
              <w:t>或信用评价等级为</w:t>
            </w:r>
            <w:r>
              <w:rPr>
                <w:rFonts w:cs="仿宋_GB2312" w:hint="eastAsia"/>
                <w:sz w:val="28"/>
                <w:szCs w:val="28"/>
              </w:rPr>
              <w:t>C</w:t>
            </w:r>
          </w:p>
        </w:tc>
        <w:tc>
          <w:tcPr>
            <w:tcW w:w="2578" w:type="dxa"/>
            <w:vAlign w:val="center"/>
          </w:tcPr>
          <w:p w:rsidR="002B2EF6" w:rsidRDefault="00983F46">
            <w:pPr>
              <w:pStyle w:val="2"/>
              <w:snapToGrid w:val="0"/>
              <w:spacing w:line="240" w:lineRule="auto"/>
              <w:ind w:firstLineChars="0" w:firstLine="0"/>
              <w:jc w:val="center"/>
              <w:rPr>
                <w:rFonts w:cs="仿宋_GB2312"/>
                <w:sz w:val="28"/>
                <w:szCs w:val="28"/>
                <w:shd w:val="clear" w:color="auto" w:fill="FFFFFF"/>
              </w:rPr>
            </w:pPr>
            <w:r>
              <w:rPr>
                <w:rFonts w:cs="仿宋_GB2312" w:hint="eastAsia"/>
                <w:kern w:val="0"/>
                <w:sz w:val="28"/>
                <w:szCs w:val="28"/>
              </w:rPr>
              <w:t>提高</w:t>
            </w:r>
            <w:r>
              <w:rPr>
                <w:rFonts w:cs="仿宋_GB2312" w:hint="eastAsia"/>
                <w:kern w:val="0"/>
                <w:sz w:val="28"/>
                <w:szCs w:val="28"/>
              </w:rPr>
              <w:t>5%</w:t>
            </w:r>
          </w:p>
        </w:tc>
        <w:tc>
          <w:tcPr>
            <w:tcW w:w="2631" w:type="dxa"/>
            <w:vAlign w:val="center"/>
          </w:tcPr>
          <w:p w:rsidR="002B2EF6" w:rsidRDefault="002B2EF6">
            <w:pPr>
              <w:pStyle w:val="2"/>
              <w:snapToGrid w:val="0"/>
              <w:spacing w:line="240" w:lineRule="auto"/>
              <w:ind w:firstLineChars="0" w:firstLine="0"/>
              <w:jc w:val="center"/>
              <w:rPr>
                <w:rFonts w:cs="仿宋_GB2312"/>
                <w:sz w:val="28"/>
                <w:szCs w:val="28"/>
                <w:shd w:val="clear" w:color="auto" w:fill="FFFFFF"/>
              </w:rPr>
            </w:pPr>
          </w:p>
        </w:tc>
      </w:tr>
      <w:tr w:rsidR="002B2EF6">
        <w:trPr>
          <w:trHeight w:hRule="exact" w:val="850"/>
        </w:trPr>
        <w:tc>
          <w:tcPr>
            <w:tcW w:w="3851" w:type="dxa"/>
            <w:vAlign w:val="center"/>
          </w:tcPr>
          <w:p w:rsidR="002B2EF6" w:rsidRDefault="00983F46">
            <w:pPr>
              <w:pStyle w:val="2"/>
              <w:snapToGrid w:val="0"/>
              <w:spacing w:line="240" w:lineRule="auto"/>
              <w:ind w:firstLineChars="0" w:firstLine="0"/>
              <w:rPr>
                <w:rFonts w:cs="仿宋_GB2312"/>
                <w:sz w:val="28"/>
                <w:szCs w:val="28"/>
              </w:rPr>
            </w:pPr>
            <w:r>
              <w:rPr>
                <w:rFonts w:cs="仿宋_GB2312" w:hint="eastAsia"/>
                <w:sz w:val="28"/>
                <w:szCs w:val="28"/>
              </w:rPr>
              <w:t>质量信誉等级或信用评价等级低于上年度</w:t>
            </w:r>
          </w:p>
        </w:tc>
        <w:tc>
          <w:tcPr>
            <w:tcW w:w="2578" w:type="dxa"/>
            <w:vAlign w:val="center"/>
          </w:tcPr>
          <w:p w:rsidR="002B2EF6" w:rsidRDefault="00983F46">
            <w:pPr>
              <w:pStyle w:val="2"/>
              <w:snapToGrid w:val="0"/>
              <w:spacing w:line="240" w:lineRule="auto"/>
              <w:ind w:firstLineChars="0" w:firstLine="0"/>
              <w:jc w:val="center"/>
              <w:rPr>
                <w:rFonts w:cs="仿宋_GB2312"/>
                <w:sz w:val="28"/>
                <w:szCs w:val="28"/>
                <w:shd w:val="clear" w:color="auto" w:fill="FFFFFF"/>
              </w:rPr>
            </w:pPr>
            <w:r>
              <w:rPr>
                <w:rFonts w:cs="仿宋_GB2312" w:hint="eastAsia"/>
                <w:kern w:val="0"/>
                <w:sz w:val="28"/>
                <w:szCs w:val="28"/>
              </w:rPr>
              <w:t>提高</w:t>
            </w:r>
            <w:r>
              <w:rPr>
                <w:rFonts w:cs="仿宋_GB2312" w:hint="eastAsia"/>
                <w:kern w:val="0"/>
                <w:sz w:val="28"/>
                <w:szCs w:val="28"/>
              </w:rPr>
              <w:t>5%</w:t>
            </w:r>
          </w:p>
        </w:tc>
        <w:tc>
          <w:tcPr>
            <w:tcW w:w="2631" w:type="dxa"/>
            <w:vAlign w:val="center"/>
          </w:tcPr>
          <w:p w:rsidR="002B2EF6" w:rsidRDefault="002B2EF6">
            <w:pPr>
              <w:pStyle w:val="2"/>
              <w:snapToGrid w:val="0"/>
              <w:spacing w:line="240" w:lineRule="auto"/>
              <w:ind w:firstLineChars="0" w:firstLine="0"/>
              <w:jc w:val="center"/>
              <w:rPr>
                <w:rFonts w:cs="仿宋_GB2312"/>
                <w:sz w:val="28"/>
                <w:szCs w:val="28"/>
                <w:shd w:val="clear" w:color="auto" w:fill="FFFFFF"/>
              </w:rPr>
            </w:pPr>
          </w:p>
        </w:tc>
      </w:tr>
      <w:tr w:rsidR="002B2EF6">
        <w:trPr>
          <w:trHeight w:val="624"/>
        </w:trPr>
        <w:tc>
          <w:tcPr>
            <w:tcW w:w="3851" w:type="dxa"/>
            <w:vAlign w:val="center"/>
          </w:tcPr>
          <w:p w:rsidR="002B2EF6" w:rsidRDefault="00983F46">
            <w:pPr>
              <w:pStyle w:val="2"/>
              <w:snapToGrid w:val="0"/>
              <w:spacing w:line="240" w:lineRule="auto"/>
              <w:ind w:firstLineChars="0" w:firstLine="0"/>
              <w:rPr>
                <w:rFonts w:cs="仿宋_GB2312"/>
                <w:sz w:val="28"/>
                <w:szCs w:val="28"/>
                <w:shd w:val="clear" w:color="auto" w:fill="FFFFFF"/>
              </w:rPr>
            </w:pPr>
            <w:r>
              <w:rPr>
                <w:rFonts w:cs="仿宋_GB2312" w:hint="eastAsia"/>
                <w:kern w:val="0"/>
                <w:sz w:val="28"/>
                <w:szCs w:val="28"/>
              </w:rPr>
              <w:t>无预付费投诉</w:t>
            </w:r>
          </w:p>
        </w:tc>
        <w:tc>
          <w:tcPr>
            <w:tcW w:w="2578" w:type="dxa"/>
            <w:vAlign w:val="center"/>
          </w:tcPr>
          <w:p w:rsidR="002B2EF6" w:rsidRDefault="00983F46">
            <w:pPr>
              <w:pStyle w:val="2"/>
              <w:snapToGrid w:val="0"/>
              <w:spacing w:line="240" w:lineRule="auto"/>
              <w:ind w:firstLineChars="0" w:firstLine="0"/>
              <w:jc w:val="center"/>
              <w:rPr>
                <w:rFonts w:cs="仿宋_GB2312"/>
                <w:sz w:val="28"/>
                <w:szCs w:val="28"/>
                <w:shd w:val="clear" w:color="auto" w:fill="FFFFFF"/>
              </w:rPr>
            </w:pPr>
            <w:r>
              <w:rPr>
                <w:rFonts w:cs="仿宋_GB2312" w:hint="eastAsia"/>
                <w:sz w:val="28"/>
                <w:szCs w:val="28"/>
                <w:shd w:val="clear" w:color="auto" w:fill="FFFFFF"/>
              </w:rPr>
              <w:t>降低</w:t>
            </w:r>
            <w:r>
              <w:rPr>
                <w:rFonts w:cs="仿宋_GB2312" w:hint="eastAsia"/>
                <w:sz w:val="28"/>
                <w:szCs w:val="28"/>
                <w:shd w:val="clear" w:color="auto" w:fill="FFFFFF"/>
              </w:rPr>
              <w:t>10%</w:t>
            </w:r>
          </w:p>
        </w:tc>
        <w:tc>
          <w:tcPr>
            <w:tcW w:w="2631" w:type="dxa"/>
            <w:vAlign w:val="center"/>
          </w:tcPr>
          <w:p w:rsidR="002B2EF6" w:rsidRDefault="002B2EF6">
            <w:pPr>
              <w:pStyle w:val="2"/>
              <w:snapToGrid w:val="0"/>
              <w:spacing w:line="240" w:lineRule="auto"/>
              <w:ind w:firstLineChars="0" w:firstLine="0"/>
              <w:jc w:val="center"/>
              <w:rPr>
                <w:rFonts w:cs="仿宋_GB2312"/>
                <w:sz w:val="28"/>
                <w:szCs w:val="28"/>
                <w:shd w:val="clear" w:color="auto" w:fill="FFFFFF"/>
              </w:rPr>
            </w:pPr>
          </w:p>
        </w:tc>
      </w:tr>
      <w:tr w:rsidR="002B2EF6">
        <w:trPr>
          <w:trHeight w:val="624"/>
        </w:trPr>
        <w:tc>
          <w:tcPr>
            <w:tcW w:w="3851" w:type="dxa"/>
            <w:vAlign w:val="center"/>
          </w:tcPr>
          <w:p w:rsidR="002B2EF6" w:rsidRDefault="00983F46">
            <w:pPr>
              <w:pStyle w:val="2"/>
              <w:snapToGrid w:val="0"/>
              <w:spacing w:line="240" w:lineRule="auto"/>
              <w:ind w:firstLineChars="0" w:firstLine="0"/>
              <w:rPr>
                <w:rFonts w:cs="仿宋_GB2312"/>
                <w:sz w:val="28"/>
                <w:szCs w:val="28"/>
                <w:shd w:val="clear" w:color="auto" w:fill="FFFFFF"/>
              </w:rPr>
            </w:pPr>
            <w:r>
              <w:rPr>
                <w:rFonts w:cs="仿宋_GB2312" w:hint="eastAsia"/>
                <w:kern w:val="0"/>
                <w:sz w:val="28"/>
                <w:szCs w:val="28"/>
              </w:rPr>
              <w:t>预付费投诉解决率低于</w:t>
            </w:r>
            <w:r>
              <w:rPr>
                <w:rFonts w:cs="仿宋_GB2312" w:hint="eastAsia"/>
                <w:kern w:val="0"/>
                <w:sz w:val="28"/>
                <w:szCs w:val="28"/>
              </w:rPr>
              <w:t>90%</w:t>
            </w:r>
          </w:p>
        </w:tc>
        <w:tc>
          <w:tcPr>
            <w:tcW w:w="2578" w:type="dxa"/>
            <w:vAlign w:val="center"/>
          </w:tcPr>
          <w:p w:rsidR="002B2EF6" w:rsidRDefault="00983F46">
            <w:pPr>
              <w:pStyle w:val="2"/>
              <w:snapToGrid w:val="0"/>
              <w:spacing w:line="240" w:lineRule="auto"/>
              <w:ind w:firstLineChars="0" w:firstLine="0"/>
              <w:jc w:val="center"/>
              <w:rPr>
                <w:rFonts w:cs="仿宋_GB2312"/>
                <w:sz w:val="28"/>
                <w:szCs w:val="28"/>
                <w:shd w:val="clear" w:color="auto" w:fill="FFFFFF"/>
              </w:rPr>
            </w:pPr>
            <w:r>
              <w:rPr>
                <w:rFonts w:cs="仿宋_GB2312" w:hint="eastAsia"/>
                <w:kern w:val="0"/>
                <w:sz w:val="28"/>
                <w:szCs w:val="28"/>
              </w:rPr>
              <w:t>提高</w:t>
            </w:r>
            <w:r>
              <w:rPr>
                <w:rFonts w:cs="仿宋_GB2312" w:hint="eastAsia"/>
                <w:kern w:val="0"/>
                <w:sz w:val="28"/>
                <w:szCs w:val="28"/>
              </w:rPr>
              <w:t>5%</w:t>
            </w:r>
          </w:p>
        </w:tc>
        <w:tc>
          <w:tcPr>
            <w:tcW w:w="2631" w:type="dxa"/>
            <w:vAlign w:val="center"/>
          </w:tcPr>
          <w:p w:rsidR="002B2EF6" w:rsidRDefault="002B2EF6">
            <w:pPr>
              <w:pStyle w:val="2"/>
              <w:snapToGrid w:val="0"/>
              <w:spacing w:line="240" w:lineRule="auto"/>
              <w:ind w:firstLineChars="0" w:firstLine="0"/>
              <w:jc w:val="center"/>
              <w:rPr>
                <w:rFonts w:cs="仿宋_GB2312"/>
                <w:sz w:val="28"/>
                <w:szCs w:val="28"/>
                <w:shd w:val="clear" w:color="auto" w:fill="FFFFFF"/>
              </w:rPr>
            </w:pPr>
          </w:p>
        </w:tc>
      </w:tr>
      <w:tr w:rsidR="002B2EF6">
        <w:trPr>
          <w:trHeight w:val="624"/>
        </w:trPr>
        <w:tc>
          <w:tcPr>
            <w:tcW w:w="3851" w:type="dxa"/>
            <w:vAlign w:val="center"/>
          </w:tcPr>
          <w:p w:rsidR="002B2EF6" w:rsidRDefault="00983F46">
            <w:pPr>
              <w:pStyle w:val="2"/>
              <w:snapToGrid w:val="0"/>
              <w:spacing w:line="240" w:lineRule="auto"/>
              <w:ind w:firstLineChars="0" w:firstLine="0"/>
              <w:rPr>
                <w:rFonts w:cs="仿宋_GB2312"/>
                <w:sz w:val="28"/>
                <w:szCs w:val="28"/>
                <w:shd w:val="clear" w:color="auto" w:fill="FFFFFF"/>
              </w:rPr>
            </w:pPr>
            <w:r>
              <w:rPr>
                <w:rFonts w:cs="仿宋_GB2312" w:hint="eastAsia"/>
                <w:kern w:val="0"/>
                <w:sz w:val="28"/>
                <w:szCs w:val="28"/>
              </w:rPr>
              <w:t>受到行政处罚</w:t>
            </w:r>
          </w:p>
        </w:tc>
        <w:tc>
          <w:tcPr>
            <w:tcW w:w="2578" w:type="dxa"/>
            <w:vAlign w:val="center"/>
          </w:tcPr>
          <w:p w:rsidR="002B2EF6" w:rsidRDefault="00983F46">
            <w:pPr>
              <w:pStyle w:val="2"/>
              <w:snapToGrid w:val="0"/>
              <w:spacing w:line="240" w:lineRule="auto"/>
              <w:ind w:firstLineChars="0" w:firstLine="0"/>
              <w:jc w:val="center"/>
              <w:rPr>
                <w:rFonts w:cs="仿宋_GB2312"/>
                <w:sz w:val="28"/>
                <w:szCs w:val="28"/>
                <w:shd w:val="clear" w:color="auto" w:fill="FFFFFF"/>
              </w:rPr>
            </w:pPr>
            <w:r>
              <w:rPr>
                <w:rFonts w:cs="仿宋_GB2312" w:hint="eastAsia"/>
                <w:kern w:val="0"/>
                <w:sz w:val="28"/>
                <w:szCs w:val="28"/>
              </w:rPr>
              <w:t>提高</w:t>
            </w:r>
            <w:r>
              <w:rPr>
                <w:rFonts w:cs="仿宋_GB2312" w:hint="eastAsia"/>
                <w:kern w:val="0"/>
                <w:sz w:val="28"/>
                <w:szCs w:val="28"/>
              </w:rPr>
              <w:t>5%</w:t>
            </w:r>
          </w:p>
        </w:tc>
        <w:tc>
          <w:tcPr>
            <w:tcW w:w="2631" w:type="dxa"/>
            <w:vAlign w:val="center"/>
          </w:tcPr>
          <w:p w:rsidR="002B2EF6" w:rsidRDefault="002B2EF6">
            <w:pPr>
              <w:pStyle w:val="2"/>
              <w:snapToGrid w:val="0"/>
              <w:spacing w:line="240" w:lineRule="auto"/>
              <w:ind w:firstLineChars="0" w:firstLine="0"/>
              <w:jc w:val="center"/>
              <w:rPr>
                <w:rFonts w:cs="仿宋_GB2312"/>
                <w:sz w:val="28"/>
                <w:szCs w:val="28"/>
                <w:shd w:val="clear" w:color="auto" w:fill="FFFFFF"/>
              </w:rPr>
            </w:pPr>
          </w:p>
        </w:tc>
      </w:tr>
      <w:tr w:rsidR="002B2EF6">
        <w:trPr>
          <w:trHeight w:val="624"/>
        </w:trPr>
        <w:tc>
          <w:tcPr>
            <w:tcW w:w="3851" w:type="dxa"/>
            <w:vAlign w:val="center"/>
          </w:tcPr>
          <w:p w:rsidR="002B2EF6" w:rsidRDefault="00983F46">
            <w:pPr>
              <w:pStyle w:val="2"/>
              <w:snapToGrid w:val="0"/>
              <w:spacing w:line="240" w:lineRule="auto"/>
              <w:ind w:firstLineChars="0" w:firstLine="0"/>
              <w:rPr>
                <w:rFonts w:cs="仿宋_GB2312"/>
                <w:kern w:val="0"/>
                <w:sz w:val="28"/>
                <w:szCs w:val="28"/>
              </w:rPr>
            </w:pPr>
            <w:r>
              <w:rPr>
                <w:rFonts w:cs="仿宋_GB2312" w:hint="eastAsia"/>
                <w:kern w:val="0"/>
                <w:sz w:val="28"/>
                <w:szCs w:val="28"/>
              </w:rPr>
              <w:t>发生生产安全责任事故</w:t>
            </w:r>
          </w:p>
        </w:tc>
        <w:tc>
          <w:tcPr>
            <w:tcW w:w="2578" w:type="dxa"/>
            <w:vAlign w:val="center"/>
          </w:tcPr>
          <w:p w:rsidR="002B2EF6" w:rsidRDefault="00983F46">
            <w:pPr>
              <w:pStyle w:val="2"/>
              <w:snapToGrid w:val="0"/>
              <w:spacing w:line="240" w:lineRule="auto"/>
              <w:ind w:firstLineChars="0" w:firstLine="0"/>
              <w:jc w:val="center"/>
              <w:rPr>
                <w:rFonts w:cs="仿宋_GB2312"/>
                <w:kern w:val="0"/>
                <w:sz w:val="28"/>
                <w:szCs w:val="28"/>
              </w:rPr>
            </w:pPr>
            <w:r>
              <w:rPr>
                <w:rFonts w:cs="仿宋_GB2312" w:hint="eastAsia"/>
                <w:kern w:val="0"/>
                <w:sz w:val="28"/>
                <w:szCs w:val="28"/>
              </w:rPr>
              <w:t>提高</w:t>
            </w:r>
            <w:r>
              <w:rPr>
                <w:rFonts w:cs="仿宋_GB2312" w:hint="eastAsia"/>
                <w:kern w:val="0"/>
                <w:sz w:val="28"/>
                <w:szCs w:val="28"/>
              </w:rPr>
              <w:t>10%</w:t>
            </w:r>
          </w:p>
        </w:tc>
        <w:tc>
          <w:tcPr>
            <w:tcW w:w="2631" w:type="dxa"/>
            <w:vAlign w:val="center"/>
          </w:tcPr>
          <w:p w:rsidR="002B2EF6" w:rsidRDefault="002B2EF6">
            <w:pPr>
              <w:pStyle w:val="2"/>
              <w:snapToGrid w:val="0"/>
              <w:spacing w:line="240" w:lineRule="auto"/>
              <w:ind w:firstLineChars="0" w:firstLine="0"/>
              <w:jc w:val="center"/>
              <w:rPr>
                <w:rFonts w:cs="仿宋_GB2312"/>
                <w:sz w:val="28"/>
                <w:szCs w:val="28"/>
                <w:shd w:val="clear" w:color="auto" w:fill="FFFFFF"/>
              </w:rPr>
            </w:pPr>
          </w:p>
        </w:tc>
      </w:tr>
      <w:tr w:rsidR="002B2EF6">
        <w:trPr>
          <w:trHeight w:hRule="exact" w:val="850"/>
        </w:trPr>
        <w:tc>
          <w:tcPr>
            <w:tcW w:w="3851" w:type="dxa"/>
            <w:vAlign w:val="center"/>
          </w:tcPr>
          <w:p w:rsidR="002B2EF6" w:rsidRDefault="00983F46">
            <w:pPr>
              <w:pStyle w:val="2"/>
              <w:snapToGrid w:val="0"/>
              <w:spacing w:line="240" w:lineRule="auto"/>
              <w:ind w:firstLineChars="0" w:firstLine="0"/>
              <w:rPr>
                <w:rFonts w:cs="仿宋_GB2312"/>
                <w:sz w:val="28"/>
                <w:szCs w:val="28"/>
                <w:shd w:val="clear" w:color="auto" w:fill="FFFFFF"/>
              </w:rPr>
            </w:pPr>
            <w:r>
              <w:rPr>
                <w:rFonts w:cs="仿宋_GB2312" w:hint="eastAsia"/>
                <w:kern w:val="0"/>
                <w:sz w:val="28"/>
                <w:szCs w:val="28"/>
              </w:rPr>
              <w:t>教练场地租赁期满前</w:t>
            </w:r>
            <w:r>
              <w:rPr>
                <w:rFonts w:cs="仿宋_GB2312" w:hint="eastAsia"/>
                <w:kern w:val="0"/>
                <w:sz w:val="28"/>
                <w:szCs w:val="28"/>
              </w:rPr>
              <w:t>3</w:t>
            </w:r>
            <w:r>
              <w:rPr>
                <w:rFonts w:cs="仿宋_GB2312" w:hint="eastAsia"/>
                <w:kern w:val="0"/>
                <w:sz w:val="28"/>
                <w:szCs w:val="28"/>
              </w:rPr>
              <w:t>个月未提供新租赁合同</w:t>
            </w:r>
          </w:p>
        </w:tc>
        <w:tc>
          <w:tcPr>
            <w:tcW w:w="2578" w:type="dxa"/>
            <w:vAlign w:val="center"/>
          </w:tcPr>
          <w:p w:rsidR="002B2EF6" w:rsidRDefault="00983F46">
            <w:pPr>
              <w:pStyle w:val="2"/>
              <w:snapToGrid w:val="0"/>
              <w:spacing w:line="240" w:lineRule="auto"/>
              <w:ind w:firstLineChars="0" w:firstLine="0"/>
              <w:jc w:val="center"/>
              <w:rPr>
                <w:rFonts w:cs="仿宋_GB2312"/>
                <w:sz w:val="28"/>
                <w:szCs w:val="28"/>
                <w:shd w:val="clear" w:color="auto" w:fill="FFFFFF"/>
              </w:rPr>
            </w:pPr>
            <w:r>
              <w:rPr>
                <w:rFonts w:cs="仿宋_GB2312" w:hint="eastAsia"/>
                <w:kern w:val="0"/>
                <w:sz w:val="28"/>
                <w:szCs w:val="28"/>
              </w:rPr>
              <w:t>提高至</w:t>
            </w:r>
            <w:r>
              <w:rPr>
                <w:rFonts w:cs="仿宋_GB2312" w:hint="eastAsia"/>
                <w:kern w:val="0"/>
                <w:sz w:val="28"/>
                <w:szCs w:val="28"/>
              </w:rPr>
              <w:t>100%</w:t>
            </w:r>
          </w:p>
        </w:tc>
        <w:tc>
          <w:tcPr>
            <w:tcW w:w="2631" w:type="dxa"/>
            <w:vAlign w:val="center"/>
          </w:tcPr>
          <w:p w:rsidR="002B2EF6" w:rsidRDefault="002B2EF6">
            <w:pPr>
              <w:pStyle w:val="2"/>
              <w:snapToGrid w:val="0"/>
              <w:spacing w:line="240" w:lineRule="auto"/>
              <w:ind w:firstLineChars="0" w:firstLine="0"/>
              <w:jc w:val="center"/>
              <w:rPr>
                <w:rFonts w:cs="仿宋_GB2312"/>
                <w:sz w:val="28"/>
                <w:szCs w:val="28"/>
                <w:shd w:val="clear" w:color="auto" w:fill="FFFFFF"/>
              </w:rPr>
            </w:pPr>
          </w:p>
        </w:tc>
      </w:tr>
      <w:tr w:rsidR="002B2EF6">
        <w:trPr>
          <w:trHeight w:hRule="exact" w:val="850"/>
        </w:trPr>
        <w:tc>
          <w:tcPr>
            <w:tcW w:w="3851" w:type="dxa"/>
            <w:vAlign w:val="center"/>
          </w:tcPr>
          <w:p w:rsidR="002B2EF6" w:rsidRDefault="00983F46">
            <w:pPr>
              <w:pStyle w:val="2"/>
              <w:snapToGrid w:val="0"/>
              <w:spacing w:line="240" w:lineRule="auto"/>
              <w:ind w:firstLineChars="0" w:firstLine="0"/>
              <w:rPr>
                <w:rFonts w:cs="仿宋_GB2312"/>
                <w:kern w:val="0"/>
                <w:sz w:val="28"/>
                <w:szCs w:val="28"/>
              </w:rPr>
            </w:pPr>
            <w:r>
              <w:rPr>
                <w:rFonts w:cs="仿宋_GB2312" w:hint="eastAsia"/>
                <w:kern w:val="0"/>
                <w:sz w:val="28"/>
                <w:szCs w:val="28"/>
              </w:rPr>
              <w:t>重新提交租赁期</w:t>
            </w:r>
            <w:r>
              <w:rPr>
                <w:rFonts w:cs="仿宋_GB2312" w:hint="eastAsia"/>
                <w:kern w:val="0"/>
                <w:sz w:val="28"/>
                <w:szCs w:val="28"/>
              </w:rPr>
              <w:t>3</w:t>
            </w:r>
            <w:r>
              <w:rPr>
                <w:rFonts w:cs="仿宋_GB2312" w:hint="eastAsia"/>
                <w:kern w:val="0"/>
                <w:sz w:val="28"/>
                <w:szCs w:val="28"/>
              </w:rPr>
              <w:t>个月以上租赁合同</w:t>
            </w:r>
          </w:p>
        </w:tc>
        <w:tc>
          <w:tcPr>
            <w:tcW w:w="2578" w:type="dxa"/>
            <w:vAlign w:val="center"/>
          </w:tcPr>
          <w:p w:rsidR="002B2EF6" w:rsidRDefault="00983F46">
            <w:pPr>
              <w:pStyle w:val="2"/>
              <w:snapToGrid w:val="0"/>
              <w:spacing w:line="240" w:lineRule="auto"/>
              <w:ind w:firstLineChars="0" w:firstLine="0"/>
              <w:jc w:val="center"/>
              <w:rPr>
                <w:rFonts w:cs="仿宋_GB2312"/>
                <w:kern w:val="0"/>
                <w:sz w:val="28"/>
                <w:szCs w:val="28"/>
              </w:rPr>
            </w:pPr>
            <w:r>
              <w:rPr>
                <w:rFonts w:cs="仿宋_GB2312" w:hint="eastAsia"/>
                <w:kern w:val="0"/>
                <w:sz w:val="28"/>
                <w:szCs w:val="28"/>
              </w:rPr>
              <w:t>恢复至调整前</w:t>
            </w:r>
          </w:p>
        </w:tc>
        <w:tc>
          <w:tcPr>
            <w:tcW w:w="2631" w:type="dxa"/>
            <w:vAlign w:val="center"/>
          </w:tcPr>
          <w:p w:rsidR="002B2EF6" w:rsidRDefault="002B2EF6">
            <w:pPr>
              <w:pStyle w:val="2"/>
              <w:snapToGrid w:val="0"/>
              <w:spacing w:line="240" w:lineRule="auto"/>
              <w:ind w:firstLineChars="0" w:firstLine="0"/>
              <w:jc w:val="center"/>
              <w:rPr>
                <w:rFonts w:cs="仿宋_GB2312"/>
                <w:sz w:val="28"/>
                <w:szCs w:val="28"/>
                <w:shd w:val="clear" w:color="auto" w:fill="FFFFFF"/>
              </w:rPr>
            </w:pPr>
          </w:p>
        </w:tc>
      </w:tr>
    </w:tbl>
    <w:p w:rsidR="002B2EF6" w:rsidRDefault="00983F46">
      <w:pPr>
        <w:pStyle w:val="2"/>
        <w:ind w:firstLine="640"/>
        <w:rPr>
          <w:szCs w:val="32"/>
          <w:shd w:val="clear" w:color="auto" w:fill="FFFFFF"/>
        </w:rPr>
      </w:pPr>
      <w:r>
        <w:rPr>
          <w:rFonts w:hint="eastAsia"/>
          <w:szCs w:val="32"/>
          <w:shd w:val="clear" w:color="auto" w:fill="FFFFFF"/>
        </w:rPr>
        <w:lastRenderedPageBreak/>
        <w:t>该驾培机构调整前存管比例为</w:t>
      </w:r>
      <w:r>
        <w:rPr>
          <w:rFonts w:hint="eastAsia"/>
          <w:szCs w:val="32"/>
          <w:u w:val="single"/>
        </w:rPr>
        <w:t xml:space="preserve">     </w:t>
      </w:r>
      <w:r>
        <w:rPr>
          <w:rFonts w:hint="eastAsia"/>
          <w:szCs w:val="32"/>
          <w:shd w:val="clear" w:color="auto" w:fill="FFFFFF"/>
        </w:rPr>
        <w:t>%</w:t>
      </w:r>
      <w:r>
        <w:rPr>
          <w:rFonts w:hint="eastAsia"/>
          <w:szCs w:val="32"/>
          <w:shd w:val="clear" w:color="auto" w:fill="FFFFFF"/>
        </w:rPr>
        <w:t>，本次</w:t>
      </w:r>
      <w:r>
        <w:rPr>
          <w:rFonts w:cs="仿宋_GB2312" w:hint="eastAsia"/>
          <w:szCs w:val="32"/>
        </w:rPr>
        <w:t>存管比例调整可累加</w:t>
      </w:r>
      <w:r>
        <w:rPr>
          <w:rFonts w:hint="eastAsia"/>
          <w:szCs w:val="32"/>
          <w:shd w:val="clear" w:color="auto" w:fill="FFFFFF"/>
        </w:rPr>
        <w:t>为（提高</w:t>
      </w:r>
      <w:r>
        <w:rPr>
          <w:rFonts w:hint="eastAsia"/>
          <w:szCs w:val="32"/>
          <w:shd w:val="clear" w:color="auto" w:fill="FFFFFF"/>
        </w:rPr>
        <w:t>/</w:t>
      </w:r>
      <w:r>
        <w:rPr>
          <w:rFonts w:hint="eastAsia"/>
          <w:szCs w:val="32"/>
          <w:shd w:val="clear" w:color="auto" w:fill="FFFFFF"/>
        </w:rPr>
        <w:t>降低）</w:t>
      </w:r>
      <w:r>
        <w:rPr>
          <w:rFonts w:hint="eastAsia"/>
          <w:szCs w:val="32"/>
          <w:u w:val="single"/>
        </w:rPr>
        <w:t xml:space="preserve">    </w:t>
      </w:r>
      <w:r>
        <w:rPr>
          <w:rFonts w:hint="eastAsia"/>
          <w:szCs w:val="32"/>
          <w:shd w:val="clear" w:color="auto" w:fill="FFFFFF"/>
        </w:rPr>
        <w:t>%</w:t>
      </w:r>
      <w:r>
        <w:rPr>
          <w:rFonts w:hint="eastAsia"/>
          <w:szCs w:val="32"/>
          <w:shd w:val="clear" w:color="auto" w:fill="FFFFFF"/>
        </w:rPr>
        <w:t>，根据具体情况确定存管比例调整（提高</w:t>
      </w:r>
      <w:r>
        <w:rPr>
          <w:rFonts w:hint="eastAsia"/>
          <w:szCs w:val="32"/>
          <w:shd w:val="clear" w:color="auto" w:fill="FFFFFF"/>
        </w:rPr>
        <w:t>/</w:t>
      </w:r>
      <w:r>
        <w:rPr>
          <w:rFonts w:hint="eastAsia"/>
          <w:szCs w:val="32"/>
          <w:shd w:val="clear" w:color="auto" w:fill="FFFFFF"/>
        </w:rPr>
        <w:t>降低）</w:t>
      </w:r>
      <w:r>
        <w:rPr>
          <w:rFonts w:hint="eastAsia"/>
          <w:szCs w:val="32"/>
          <w:u w:val="single"/>
        </w:rPr>
        <w:t xml:space="preserve">    </w:t>
      </w:r>
      <w:r>
        <w:rPr>
          <w:rFonts w:hint="eastAsia"/>
          <w:szCs w:val="32"/>
          <w:shd w:val="clear" w:color="auto" w:fill="FFFFFF"/>
        </w:rPr>
        <w:t>%</w:t>
      </w:r>
      <w:r>
        <w:rPr>
          <w:rFonts w:hint="eastAsia"/>
          <w:szCs w:val="32"/>
          <w:shd w:val="clear" w:color="auto" w:fill="FFFFFF"/>
        </w:rPr>
        <w:t>，此次调整后存管比例为</w:t>
      </w:r>
      <w:r>
        <w:rPr>
          <w:rFonts w:hint="eastAsia"/>
          <w:szCs w:val="32"/>
          <w:u w:val="single"/>
        </w:rPr>
        <w:t xml:space="preserve">    </w:t>
      </w:r>
      <w:r>
        <w:rPr>
          <w:rFonts w:hint="eastAsia"/>
          <w:szCs w:val="32"/>
        </w:rPr>
        <w:t>%</w:t>
      </w:r>
      <w:r>
        <w:rPr>
          <w:rFonts w:hint="eastAsia"/>
          <w:szCs w:val="32"/>
        </w:rPr>
        <w:t>，自</w:t>
      </w:r>
      <w:r>
        <w:rPr>
          <w:rFonts w:hint="eastAsia"/>
          <w:szCs w:val="32"/>
          <w:u w:val="single"/>
        </w:rPr>
        <w:t xml:space="preserve">     </w:t>
      </w:r>
      <w:r>
        <w:rPr>
          <w:rFonts w:hint="eastAsia"/>
          <w:szCs w:val="32"/>
        </w:rPr>
        <w:t>年</w:t>
      </w:r>
      <w:r>
        <w:rPr>
          <w:rFonts w:hint="eastAsia"/>
          <w:szCs w:val="32"/>
          <w:u w:val="single"/>
        </w:rPr>
        <w:t xml:space="preserve">    </w:t>
      </w:r>
      <w:r>
        <w:rPr>
          <w:rFonts w:hint="eastAsia"/>
          <w:szCs w:val="32"/>
        </w:rPr>
        <w:t>月起执行。</w:t>
      </w:r>
    </w:p>
    <w:p w:rsidR="002B2EF6" w:rsidRDefault="002B2EF6">
      <w:pPr>
        <w:pStyle w:val="2"/>
        <w:ind w:firstLineChars="1300" w:firstLine="4160"/>
        <w:rPr>
          <w:szCs w:val="32"/>
          <w:shd w:val="clear" w:color="auto" w:fill="FFFFFF"/>
        </w:rPr>
      </w:pPr>
    </w:p>
    <w:p w:rsidR="002B2EF6" w:rsidRDefault="002B2EF6">
      <w:pPr>
        <w:ind w:firstLine="640"/>
      </w:pPr>
    </w:p>
    <w:p w:rsidR="002B2EF6" w:rsidRDefault="00983F46">
      <w:pPr>
        <w:pStyle w:val="2"/>
        <w:ind w:firstLineChars="1300" w:firstLine="4160"/>
        <w:rPr>
          <w:szCs w:val="32"/>
          <w:shd w:val="clear" w:color="auto" w:fill="FFFFFF"/>
        </w:rPr>
      </w:pPr>
      <w:r>
        <w:rPr>
          <w:rFonts w:hint="eastAsia"/>
          <w:szCs w:val="32"/>
          <w:shd w:val="clear" w:color="auto" w:fill="FFFFFF"/>
        </w:rPr>
        <w:t xml:space="preserve"> </w:t>
      </w:r>
      <w:r>
        <w:rPr>
          <w:rFonts w:hint="eastAsia"/>
          <w:szCs w:val="32"/>
          <w:shd w:val="clear" w:color="auto" w:fill="FFFFFF"/>
        </w:rPr>
        <w:t>区交通运输主管部门（盖章）</w:t>
      </w:r>
    </w:p>
    <w:p w:rsidR="002B2EF6" w:rsidRDefault="00983F46">
      <w:pPr>
        <w:pStyle w:val="2"/>
        <w:ind w:firstLineChars="0" w:firstLine="640"/>
      </w:pPr>
      <w:r>
        <w:rPr>
          <w:rFonts w:hint="eastAsia"/>
          <w:szCs w:val="32"/>
          <w:shd w:val="clear" w:color="auto" w:fill="FFFFFF"/>
        </w:rPr>
        <w:t xml:space="preserve">                             </w:t>
      </w:r>
      <w:r>
        <w:rPr>
          <w:rFonts w:hint="eastAsia"/>
          <w:szCs w:val="32"/>
          <w:shd w:val="clear" w:color="auto" w:fill="FFFFFF"/>
        </w:rPr>
        <w:t>年</w:t>
      </w:r>
      <w:r>
        <w:rPr>
          <w:rFonts w:hint="eastAsia"/>
          <w:szCs w:val="32"/>
          <w:shd w:val="clear" w:color="auto" w:fill="FFFFFF"/>
        </w:rPr>
        <w:t xml:space="preserve">    </w:t>
      </w:r>
      <w:r>
        <w:rPr>
          <w:rFonts w:hint="eastAsia"/>
          <w:szCs w:val="32"/>
          <w:shd w:val="clear" w:color="auto" w:fill="FFFFFF"/>
        </w:rPr>
        <w:t>月</w:t>
      </w:r>
      <w:r>
        <w:rPr>
          <w:rFonts w:hint="eastAsia"/>
          <w:szCs w:val="32"/>
          <w:shd w:val="clear" w:color="auto" w:fill="FFFFFF"/>
        </w:rPr>
        <w:t xml:space="preserve">    </w:t>
      </w:r>
      <w:r>
        <w:rPr>
          <w:rFonts w:hint="eastAsia"/>
          <w:szCs w:val="32"/>
          <w:shd w:val="clear" w:color="auto" w:fill="FFFFFF"/>
        </w:rPr>
        <w:t>日</w:t>
      </w:r>
    </w:p>
    <w:sectPr w:rsidR="002B2EF6">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58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F46" w:rsidRDefault="00983F46">
      <w:pPr>
        <w:spacing w:line="240" w:lineRule="auto"/>
        <w:ind w:firstLine="640"/>
      </w:pPr>
      <w:r>
        <w:separator/>
      </w:r>
    </w:p>
  </w:endnote>
  <w:endnote w:type="continuationSeparator" w:id="0">
    <w:p w:rsidR="00983F46" w:rsidRDefault="00983F4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F6" w:rsidRDefault="002B2EF6">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816136"/>
    </w:sdtPr>
    <w:sdtEndPr/>
    <w:sdtContent>
      <w:p w:rsidR="002B2EF6" w:rsidRDefault="00983F46">
        <w:pPr>
          <w:pStyle w:val="a6"/>
          <w:ind w:firstLine="360"/>
          <w:jc w:val="center"/>
        </w:pPr>
        <w:r>
          <w:fldChar w:fldCharType="begin"/>
        </w:r>
        <w:r>
          <w:instrText>PAGE   \* MERGEFORMAT</w:instrText>
        </w:r>
        <w:r>
          <w:fldChar w:fldCharType="separate"/>
        </w:r>
        <w:r w:rsidR="00736632" w:rsidRPr="00736632">
          <w:rPr>
            <w:noProof/>
            <w:lang w:val="zh-CN"/>
          </w:rPr>
          <w:t>2</w:t>
        </w:r>
        <w:r>
          <w:fldChar w:fldCharType="end"/>
        </w:r>
      </w:p>
    </w:sdtContent>
  </w:sdt>
  <w:p w:rsidR="002B2EF6" w:rsidRDefault="002B2EF6">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F6" w:rsidRDefault="002B2EF6">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F46" w:rsidRDefault="00983F46">
      <w:pPr>
        <w:spacing w:line="240" w:lineRule="auto"/>
        <w:ind w:firstLine="640"/>
      </w:pPr>
      <w:r>
        <w:separator/>
      </w:r>
    </w:p>
  </w:footnote>
  <w:footnote w:type="continuationSeparator" w:id="0">
    <w:p w:rsidR="00983F46" w:rsidRDefault="00983F46">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F6" w:rsidRDefault="002B2EF6">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F6" w:rsidRDefault="002B2EF6">
    <w:pPr>
      <w:pStyle w:val="a7"/>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F6" w:rsidRDefault="002B2EF6">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M2I0MDdhNDgwNDNkOTk5ZDIxZTUwZTg0MmIzOWUifQ=="/>
  </w:docVars>
  <w:rsids>
    <w:rsidRoot w:val="00BC25F7"/>
    <w:rsid w:val="FB9FABED"/>
    <w:rsid w:val="00012EDC"/>
    <w:rsid w:val="00023D67"/>
    <w:rsid w:val="00037A53"/>
    <w:rsid w:val="00037FB8"/>
    <w:rsid w:val="000553AD"/>
    <w:rsid w:val="00066157"/>
    <w:rsid w:val="0009758F"/>
    <w:rsid w:val="000A0D45"/>
    <w:rsid w:val="000A79F2"/>
    <w:rsid w:val="000C32CE"/>
    <w:rsid w:val="000D5A8D"/>
    <w:rsid w:val="000F3A0A"/>
    <w:rsid w:val="000F66A7"/>
    <w:rsid w:val="00100EB6"/>
    <w:rsid w:val="00106C97"/>
    <w:rsid w:val="00107425"/>
    <w:rsid w:val="00153D0B"/>
    <w:rsid w:val="001874B9"/>
    <w:rsid w:val="00187D11"/>
    <w:rsid w:val="001920ED"/>
    <w:rsid w:val="00194DB2"/>
    <w:rsid w:val="001A72E9"/>
    <w:rsid w:val="001F46C2"/>
    <w:rsid w:val="00212A1A"/>
    <w:rsid w:val="00246961"/>
    <w:rsid w:val="00257273"/>
    <w:rsid w:val="00262914"/>
    <w:rsid w:val="0027464C"/>
    <w:rsid w:val="0029078A"/>
    <w:rsid w:val="002B2EF6"/>
    <w:rsid w:val="002D49D6"/>
    <w:rsid w:val="002D7F11"/>
    <w:rsid w:val="002F032D"/>
    <w:rsid w:val="0031395A"/>
    <w:rsid w:val="00320871"/>
    <w:rsid w:val="00334E1D"/>
    <w:rsid w:val="00336B54"/>
    <w:rsid w:val="00341623"/>
    <w:rsid w:val="0037094E"/>
    <w:rsid w:val="003721BC"/>
    <w:rsid w:val="00380F6C"/>
    <w:rsid w:val="00381FFB"/>
    <w:rsid w:val="003A3DB6"/>
    <w:rsid w:val="003D7255"/>
    <w:rsid w:val="003E3097"/>
    <w:rsid w:val="004079FE"/>
    <w:rsid w:val="00414D13"/>
    <w:rsid w:val="00425A6B"/>
    <w:rsid w:val="004858DB"/>
    <w:rsid w:val="0049017B"/>
    <w:rsid w:val="004A7DFB"/>
    <w:rsid w:val="004B5BF2"/>
    <w:rsid w:val="004C1579"/>
    <w:rsid w:val="004C7B4A"/>
    <w:rsid w:val="004E38E8"/>
    <w:rsid w:val="0051660A"/>
    <w:rsid w:val="0052587E"/>
    <w:rsid w:val="00546BA4"/>
    <w:rsid w:val="00555653"/>
    <w:rsid w:val="0055676F"/>
    <w:rsid w:val="00566452"/>
    <w:rsid w:val="00573E34"/>
    <w:rsid w:val="005743B4"/>
    <w:rsid w:val="0057512A"/>
    <w:rsid w:val="0059435B"/>
    <w:rsid w:val="005958EF"/>
    <w:rsid w:val="005B0BE1"/>
    <w:rsid w:val="005C5627"/>
    <w:rsid w:val="005C6729"/>
    <w:rsid w:val="005D213D"/>
    <w:rsid w:val="005D6394"/>
    <w:rsid w:val="005E4B77"/>
    <w:rsid w:val="0060335D"/>
    <w:rsid w:val="0061224B"/>
    <w:rsid w:val="00621DF6"/>
    <w:rsid w:val="00623789"/>
    <w:rsid w:val="0063447F"/>
    <w:rsid w:val="006445D4"/>
    <w:rsid w:val="00647B55"/>
    <w:rsid w:val="006557F7"/>
    <w:rsid w:val="00663226"/>
    <w:rsid w:val="00666EB5"/>
    <w:rsid w:val="006A1700"/>
    <w:rsid w:val="006A43EC"/>
    <w:rsid w:val="006B17D3"/>
    <w:rsid w:val="006B23C9"/>
    <w:rsid w:val="006B7055"/>
    <w:rsid w:val="006D2CBD"/>
    <w:rsid w:val="006D2E52"/>
    <w:rsid w:val="006F5E17"/>
    <w:rsid w:val="00703A13"/>
    <w:rsid w:val="007260D9"/>
    <w:rsid w:val="007358CB"/>
    <w:rsid w:val="00736632"/>
    <w:rsid w:val="00737855"/>
    <w:rsid w:val="00741361"/>
    <w:rsid w:val="00744DD8"/>
    <w:rsid w:val="00754298"/>
    <w:rsid w:val="007574F7"/>
    <w:rsid w:val="0078070D"/>
    <w:rsid w:val="007912CB"/>
    <w:rsid w:val="007B22C5"/>
    <w:rsid w:val="007B4993"/>
    <w:rsid w:val="007B70F6"/>
    <w:rsid w:val="007E2912"/>
    <w:rsid w:val="00801F8F"/>
    <w:rsid w:val="00801FFE"/>
    <w:rsid w:val="008268CA"/>
    <w:rsid w:val="0083618E"/>
    <w:rsid w:val="008511F1"/>
    <w:rsid w:val="00860FB9"/>
    <w:rsid w:val="0086752E"/>
    <w:rsid w:val="00872B48"/>
    <w:rsid w:val="008C13DC"/>
    <w:rsid w:val="008D150F"/>
    <w:rsid w:val="008D176B"/>
    <w:rsid w:val="008D4971"/>
    <w:rsid w:val="008E4528"/>
    <w:rsid w:val="008F2F01"/>
    <w:rsid w:val="008F444A"/>
    <w:rsid w:val="00900ECD"/>
    <w:rsid w:val="00967F2F"/>
    <w:rsid w:val="00974A9E"/>
    <w:rsid w:val="00980442"/>
    <w:rsid w:val="00983F46"/>
    <w:rsid w:val="00993A95"/>
    <w:rsid w:val="009A3257"/>
    <w:rsid w:val="009C00C7"/>
    <w:rsid w:val="009C49C7"/>
    <w:rsid w:val="009C6ACB"/>
    <w:rsid w:val="009D3EC0"/>
    <w:rsid w:val="00A107FB"/>
    <w:rsid w:val="00A2435A"/>
    <w:rsid w:val="00A56FCD"/>
    <w:rsid w:val="00A719C6"/>
    <w:rsid w:val="00AE05C3"/>
    <w:rsid w:val="00AF1098"/>
    <w:rsid w:val="00AF2925"/>
    <w:rsid w:val="00B00C84"/>
    <w:rsid w:val="00B31994"/>
    <w:rsid w:val="00B3779D"/>
    <w:rsid w:val="00B3795E"/>
    <w:rsid w:val="00B53854"/>
    <w:rsid w:val="00B56529"/>
    <w:rsid w:val="00B61722"/>
    <w:rsid w:val="00B670A2"/>
    <w:rsid w:val="00B670DE"/>
    <w:rsid w:val="00B8556F"/>
    <w:rsid w:val="00B903B1"/>
    <w:rsid w:val="00B94A5B"/>
    <w:rsid w:val="00BA5271"/>
    <w:rsid w:val="00BB0437"/>
    <w:rsid w:val="00BC25F7"/>
    <w:rsid w:val="00BC46FF"/>
    <w:rsid w:val="00BF26F0"/>
    <w:rsid w:val="00BF629B"/>
    <w:rsid w:val="00C02E77"/>
    <w:rsid w:val="00C058B7"/>
    <w:rsid w:val="00C3184E"/>
    <w:rsid w:val="00C41E2A"/>
    <w:rsid w:val="00C471CC"/>
    <w:rsid w:val="00C72B9E"/>
    <w:rsid w:val="00C8532D"/>
    <w:rsid w:val="00C944F8"/>
    <w:rsid w:val="00CB1DAE"/>
    <w:rsid w:val="00CD4B71"/>
    <w:rsid w:val="00CF3E80"/>
    <w:rsid w:val="00CF75EC"/>
    <w:rsid w:val="00D12815"/>
    <w:rsid w:val="00D215A9"/>
    <w:rsid w:val="00D33F9B"/>
    <w:rsid w:val="00D424B6"/>
    <w:rsid w:val="00D42EAC"/>
    <w:rsid w:val="00D54E99"/>
    <w:rsid w:val="00D639D3"/>
    <w:rsid w:val="00D678C6"/>
    <w:rsid w:val="00D947C2"/>
    <w:rsid w:val="00DB12B9"/>
    <w:rsid w:val="00DB20F7"/>
    <w:rsid w:val="00DB5512"/>
    <w:rsid w:val="00DB71CC"/>
    <w:rsid w:val="00DD7D25"/>
    <w:rsid w:val="00E27BFC"/>
    <w:rsid w:val="00E30FD2"/>
    <w:rsid w:val="00E446FE"/>
    <w:rsid w:val="00E44C2A"/>
    <w:rsid w:val="00E75BEC"/>
    <w:rsid w:val="00E76D50"/>
    <w:rsid w:val="00E84D81"/>
    <w:rsid w:val="00E96582"/>
    <w:rsid w:val="00EC4C55"/>
    <w:rsid w:val="00EC5BED"/>
    <w:rsid w:val="00EC6C2B"/>
    <w:rsid w:val="00EC6D53"/>
    <w:rsid w:val="00EE466B"/>
    <w:rsid w:val="00EE5D84"/>
    <w:rsid w:val="00F002DB"/>
    <w:rsid w:val="00F02697"/>
    <w:rsid w:val="00F247BF"/>
    <w:rsid w:val="00F26C83"/>
    <w:rsid w:val="00F3182C"/>
    <w:rsid w:val="00F3568C"/>
    <w:rsid w:val="00F57F69"/>
    <w:rsid w:val="00F81D0D"/>
    <w:rsid w:val="00FB04AE"/>
    <w:rsid w:val="00FC4911"/>
    <w:rsid w:val="00FC7CB9"/>
    <w:rsid w:val="00FD724B"/>
    <w:rsid w:val="00FF01D0"/>
    <w:rsid w:val="01F11552"/>
    <w:rsid w:val="03A13F4F"/>
    <w:rsid w:val="03AE3AF3"/>
    <w:rsid w:val="03CF3A69"/>
    <w:rsid w:val="04150EED"/>
    <w:rsid w:val="05613D8A"/>
    <w:rsid w:val="06163BD1"/>
    <w:rsid w:val="069552CB"/>
    <w:rsid w:val="06BD2A2B"/>
    <w:rsid w:val="076E018C"/>
    <w:rsid w:val="0A775E1F"/>
    <w:rsid w:val="0AE147AE"/>
    <w:rsid w:val="0BF3436E"/>
    <w:rsid w:val="0D894C75"/>
    <w:rsid w:val="0DB52EF3"/>
    <w:rsid w:val="0DD028B8"/>
    <w:rsid w:val="13DF413D"/>
    <w:rsid w:val="15DE32B8"/>
    <w:rsid w:val="15E57BC7"/>
    <w:rsid w:val="16D16F37"/>
    <w:rsid w:val="17EE050A"/>
    <w:rsid w:val="180C0917"/>
    <w:rsid w:val="1CAB69CA"/>
    <w:rsid w:val="1D7B530D"/>
    <w:rsid w:val="1E776F29"/>
    <w:rsid w:val="1F3663ED"/>
    <w:rsid w:val="202A22FB"/>
    <w:rsid w:val="20DB35B3"/>
    <w:rsid w:val="22AF0896"/>
    <w:rsid w:val="2426102C"/>
    <w:rsid w:val="250D6B8E"/>
    <w:rsid w:val="25E82A3D"/>
    <w:rsid w:val="26633752"/>
    <w:rsid w:val="28DA0FEB"/>
    <w:rsid w:val="29DC15D1"/>
    <w:rsid w:val="2A6D6CA4"/>
    <w:rsid w:val="2A846AAC"/>
    <w:rsid w:val="2AA57EA2"/>
    <w:rsid w:val="2C2A4E9E"/>
    <w:rsid w:val="2C2E3813"/>
    <w:rsid w:val="2C7A1F15"/>
    <w:rsid w:val="2CF021D7"/>
    <w:rsid w:val="2EF04710"/>
    <w:rsid w:val="2FF50972"/>
    <w:rsid w:val="33305A23"/>
    <w:rsid w:val="3344502A"/>
    <w:rsid w:val="33D66AA8"/>
    <w:rsid w:val="33FC4E76"/>
    <w:rsid w:val="34100FE1"/>
    <w:rsid w:val="34F328E8"/>
    <w:rsid w:val="35154ED0"/>
    <w:rsid w:val="35CB510E"/>
    <w:rsid w:val="372D6FE6"/>
    <w:rsid w:val="385E422F"/>
    <w:rsid w:val="38E726E0"/>
    <w:rsid w:val="39F61D71"/>
    <w:rsid w:val="3A40479E"/>
    <w:rsid w:val="3A810912"/>
    <w:rsid w:val="3A8C165E"/>
    <w:rsid w:val="3BCE3076"/>
    <w:rsid w:val="3C3757AA"/>
    <w:rsid w:val="3C796BD3"/>
    <w:rsid w:val="3CFB4687"/>
    <w:rsid w:val="3D632551"/>
    <w:rsid w:val="409004C5"/>
    <w:rsid w:val="40CF23D7"/>
    <w:rsid w:val="41EE4ADF"/>
    <w:rsid w:val="422B5D33"/>
    <w:rsid w:val="427E2D85"/>
    <w:rsid w:val="43424558"/>
    <w:rsid w:val="44222F08"/>
    <w:rsid w:val="44392275"/>
    <w:rsid w:val="443A1503"/>
    <w:rsid w:val="446B008F"/>
    <w:rsid w:val="45104B31"/>
    <w:rsid w:val="453A28D8"/>
    <w:rsid w:val="458F0387"/>
    <w:rsid w:val="475B0F35"/>
    <w:rsid w:val="4883485C"/>
    <w:rsid w:val="49886BFF"/>
    <w:rsid w:val="49966E32"/>
    <w:rsid w:val="4E320449"/>
    <w:rsid w:val="4E8B669E"/>
    <w:rsid w:val="4E982244"/>
    <w:rsid w:val="4F301FFB"/>
    <w:rsid w:val="4F65059F"/>
    <w:rsid w:val="4FF736F9"/>
    <w:rsid w:val="50755312"/>
    <w:rsid w:val="51112598"/>
    <w:rsid w:val="51404C2B"/>
    <w:rsid w:val="51984A67"/>
    <w:rsid w:val="51A544B2"/>
    <w:rsid w:val="52AD32EB"/>
    <w:rsid w:val="53762B86"/>
    <w:rsid w:val="53E22182"/>
    <w:rsid w:val="54B05DCB"/>
    <w:rsid w:val="5621327D"/>
    <w:rsid w:val="585D2567"/>
    <w:rsid w:val="58773629"/>
    <w:rsid w:val="58E33B62"/>
    <w:rsid w:val="59CA79F2"/>
    <w:rsid w:val="5CA813C0"/>
    <w:rsid w:val="5D4D4958"/>
    <w:rsid w:val="5F13397F"/>
    <w:rsid w:val="5F6366B5"/>
    <w:rsid w:val="6006464F"/>
    <w:rsid w:val="609B35A7"/>
    <w:rsid w:val="60CE7B5E"/>
    <w:rsid w:val="61922C2C"/>
    <w:rsid w:val="61DC62AA"/>
    <w:rsid w:val="64A0299E"/>
    <w:rsid w:val="64A22188"/>
    <w:rsid w:val="64DE2339"/>
    <w:rsid w:val="662C0CD7"/>
    <w:rsid w:val="66CF6C4B"/>
    <w:rsid w:val="67397CFB"/>
    <w:rsid w:val="679259FF"/>
    <w:rsid w:val="67EF76D7"/>
    <w:rsid w:val="68C66006"/>
    <w:rsid w:val="696F3A23"/>
    <w:rsid w:val="6B9B310B"/>
    <w:rsid w:val="6BAC0E1A"/>
    <w:rsid w:val="6F407D0F"/>
    <w:rsid w:val="70C96DED"/>
    <w:rsid w:val="71C8684B"/>
    <w:rsid w:val="720E36BC"/>
    <w:rsid w:val="728D344D"/>
    <w:rsid w:val="73280CFB"/>
    <w:rsid w:val="73E80A08"/>
    <w:rsid w:val="743356A0"/>
    <w:rsid w:val="74874403"/>
    <w:rsid w:val="750C77B8"/>
    <w:rsid w:val="769D2054"/>
    <w:rsid w:val="778B39FE"/>
    <w:rsid w:val="78650950"/>
    <w:rsid w:val="78DA7590"/>
    <w:rsid w:val="7C596A1E"/>
    <w:rsid w:val="7CD6006E"/>
    <w:rsid w:val="7E1D7065"/>
    <w:rsid w:val="7EC37B79"/>
    <w:rsid w:val="7F7FD071"/>
    <w:rsid w:val="7FF01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spacing w:line="560" w:lineRule="exact"/>
      <w:ind w:firstLineChars="200" w:firstLine="880"/>
      <w:jc w:val="both"/>
    </w:pPr>
    <w:rPr>
      <w:rFonts w:ascii="仿宋_GB2312" w:eastAsia="仿宋_GB2312" w:hAnsi="仿宋_GB2312" w:cstheme="minorBidi"/>
      <w:kern w:val="2"/>
      <w:sz w:val="32"/>
      <w:szCs w:val="22"/>
    </w:rPr>
  </w:style>
  <w:style w:type="paragraph" w:styleId="1">
    <w:name w:val="heading 1"/>
    <w:basedOn w:val="a"/>
    <w:next w:val="a"/>
    <w:uiPriority w:val="9"/>
    <w:qFormat/>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pPr>
      <w:spacing w:after="0"/>
      <w:ind w:leftChars="0" w:left="0" w:firstLine="200"/>
    </w:pPr>
    <w:rPr>
      <w:rFonts w:cs="Times New Roman"/>
      <w:szCs w:val="24"/>
    </w:rPr>
  </w:style>
  <w:style w:type="paragraph" w:styleId="a3">
    <w:name w:val="Body Text Indent"/>
    <w:basedOn w:val="a"/>
    <w:link w:val="Char"/>
    <w:uiPriority w:val="99"/>
    <w:semiHidden/>
    <w:unhideWhenUsed/>
    <w:qFormat/>
    <w:pPr>
      <w:spacing w:after="120"/>
      <w:ind w:leftChars="200" w:left="420"/>
    </w:p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paragraph" w:customStyle="1" w:styleId="10">
    <w:name w:val="无间隔1"/>
    <w:next w:val="a"/>
    <w:uiPriority w:val="1"/>
    <w:qFormat/>
    <w:pPr>
      <w:widowControl w:val="0"/>
      <w:spacing w:line="560" w:lineRule="exact"/>
      <w:jc w:val="both"/>
    </w:pPr>
    <w:rPr>
      <w:rFonts w:ascii="仿宋_GB2312" w:eastAsia="仿宋_GB2312" w:hAnsi="仿宋_GB2312"/>
      <w:kern w:val="2"/>
      <w:sz w:val="32"/>
      <w:szCs w:val="24"/>
    </w:rPr>
  </w:style>
  <w:style w:type="character" w:customStyle="1" w:styleId="2Char">
    <w:name w:val="正文首行缩进 2 Char"/>
    <w:basedOn w:val="Char"/>
    <w:link w:val="2"/>
    <w:qFormat/>
    <w:rPr>
      <w:rFonts w:ascii="仿宋_GB2312" w:eastAsia="仿宋_GB2312" w:hAnsi="仿宋_GB2312" w:cs="Times New Roman"/>
      <w:sz w:val="32"/>
      <w:szCs w:val="24"/>
    </w:rPr>
  </w:style>
  <w:style w:type="character" w:customStyle="1" w:styleId="Char">
    <w:name w:val="正文文本缩进 Char"/>
    <w:basedOn w:val="a0"/>
    <w:link w:val="a3"/>
    <w:uiPriority w:val="99"/>
    <w:semiHidden/>
    <w:qFormat/>
  </w:style>
  <w:style w:type="character" w:customStyle="1" w:styleId="Char0">
    <w:name w:val="批注文字 Char"/>
    <w:basedOn w:val="a0"/>
    <w:link w:val="a4"/>
    <w:uiPriority w:val="99"/>
    <w:qFormat/>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3">
    <w:name w:val="页眉 Char"/>
    <w:basedOn w:val="a0"/>
    <w:link w:val="a7"/>
    <w:uiPriority w:val="99"/>
    <w:semiHidden/>
    <w:qFormat/>
    <w:rPr>
      <w:sz w:val="18"/>
      <w:szCs w:val="18"/>
    </w:rPr>
  </w:style>
  <w:style w:type="paragraph" w:customStyle="1" w:styleId="CharCharCharChar">
    <w:name w:val="Char Char Char Char"/>
    <w:basedOn w:val="a"/>
    <w:qFormat/>
    <w:pPr>
      <w:spacing w:line="240" w:lineRule="auto"/>
      <w:ind w:firstLineChars="0" w:firstLine="0"/>
    </w:pPr>
    <w:rPr>
      <w:rFonts w:ascii="Tahoma" w:eastAsia="宋体"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spacing w:line="560" w:lineRule="exact"/>
      <w:ind w:firstLineChars="200" w:firstLine="880"/>
      <w:jc w:val="both"/>
    </w:pPr>
    <w:rPr>
      <w:rFonts w:ascii="仿宋_GB2312" w:eastAsia="仿宋_GB2312" w:hAnsi="仿宋_GB2312" w:cstheme="minorBidi"/>
      <w:kern w:val="2"/>
      <w:sz w:val="32"/>
      <w:szCs w:val="22"/>
    </w:rPr>
  </w:style>
  <w:style w:type="paragraph" w:styleId="1">
    <w:name w:val="heading 1"/>
    <w:basedOn w:val="a"/>
    <w:next w:val="a"/>
    <w:uiPriority w:val="9"/>
    <w:qFormat/>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pPr>
      <w:spacing w:after="0"/>
      <w:ind w:leftChars="0" w:left="0" w:firstLine="200"/>
    </w:pPr>
    <w:rPr>
      <w:rFonts w:cs="Times New Roman"/>
      <w:szCs w:val="24"/>
    </w:rPr>
  </w:style>
  <w:style w:type="paragraph" w:styleId="a3">
    <w:name w:val="Body Text Indent"/>
    <w:basedOn w:val="a"/>
    <w:link w:val="Char"/>
    <w:uiPriority w:val="99"/>
    <w:semiHidden/>
    <w:unhideWhenUsed/>
    <w:qFormat/>
    <w:pPr>
      <w:spacing w:after="120"/>
      <w:ind w:leftChars="200" w:left="420"/>
    </w:p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paragraph" w:customStyle="1" w:styleId="10">
    <w:name w:val="无间隔1"/>
    <w:next w:val="a"/>
    <w:uiPriority w:val="1"/>
    <w:qFormat/>
    <w:pPr>
      <w:widowControl w:val="0"/>
      <w:spacing w:line="560" w:lineRule="exact"/>
      <w:jc w:val="both"/>
    </w:pPr>
    <w:rPr>
      <w:rFonts w:ascii="仿宋_GB2312" w:eastAsia="仿宋_GB2312" w:hAnsi="仿宋_GB2312"/>
      <w:kern w:val="2"/>
      <w:sz w:val="32"/>
      <w:szCs w:val="24"/>
    </w:rPr>
  </w:style>
  <w:style w:type="character" w:customStyle="1" w:styleId="2Char">
    <w:name w:val="正文首行缩进 2 Char"/>
    <w:basedOn w:val="Char"/>
    <w:link w:val="2"/>
    <w:qFormat/>
    <w:rPr>
      <w:rFonts w:ascii="仿宋_GB2312" w:eastAsia="仿宋_GB2312" w:hAnsi="仿宋_GB2312" w:cs="Times New Roman"/>
      <w:sz w:val="32"/>
      <w:szCs w:val="24"/>
    </w:rPr>
  </w:style>
  <w:style w:type="character" w:customStyle="1" w:styleId="Char">
    <w:name w:val="正文文本缩进 Char"/>
    <w:basedOn w:val="a0"/>
    <w:link w:val="a3"/>
    <w:uiPriority w:val="99"/>
    <w:semiHidden/>
    <w:qFormat/>
  </w:style>
  <w:style w:type="character" w:customStyle="1" w:styleId="Char0">
    <w:name w:val="批注文字 Char"/>
    <w:basedOn w:val="a0"/>
    <w:link w:val="a4"/>
    <w:uiPriority w:val="99"/>
    <w:qFormat/>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3">
    <w:name w:val="页眉 Char"/>
    <w:basedOn w:val="a0"/>
    <w:link w:val="a7"/>
    <w:uiPriority w:val="99"/>
    <w:semiHidden/>
    <w:qFormat/>
    <w:rPr>
      <w:sz w:val="18"/>
      <w:szCs w:val="18"/>
    </w:rPr>
  </w:style>
  <w:style w:type="paragraph" w:customStyle="1" w:styleId="CharCharCharChar">
    <w:name w:val="Char Char Char Char"/>
    <w:basedOn w:val="a"/>
    <w:qFormat/>
    <w:pPr>
      <w:spacing w:line="240" w:lineRule="auto"/>
      <w:ind w:firstLineChars="0" w:firstLine="0"/>
    </w:pPr>
    <w:rPr>
      <w:rFonts w:ascii="Tahoma" w:eastAsia="宋体"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华珊</cp:lastModifiedBy>
  <cp:revision>2</cp:revision>
  <cp:lastPrinted>2024-05-11T09:01:00Z</cp:lastPrinted>
  <dcterms:created xsi:type="dcterms:W3CDTF">2024-06-05T03:20:00Z</dcterms:created>
  <dcterms:modified xsi:type="dcterms:W3CDTF">2024-06-05T03:20:00Z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BC3C08ACAE104E0BBF9F028E4AE447AA_13</vt:lpwstr>
  </property>
</Properties>
</file>