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600" w:lineRule="exact"/>
        <w:ind w:firstLine="0" w:firstLineChars="0"/>
        <w:jc w:val="center"/>
        <w:rPr>
          <w:rFonts w:hint="eastAsia" w:ascii="仿宋_GB2312"/>
          <w:sz w:val="32"/>
          <w:szCs w:val="32"/>
        </w:rPr>
      </w:pPr>
      <w:r>
        <w:rPr>
          <w:rFonts w:hint="eastAsia" w:ascii="方正小标宋简体" w:eastAsia="方正小标宋简体"/>
          <w:b/>
          <w:sz w:val="44"/>
          <w:szCs w:val="44"/>
        </w:rPr>
        <w:t>北京市道路运输车辆技术等级评定管理办法</w:t>
      </w:r>
      <w:r>
        <w:rPr>
          <w:rFonts w:hint="eastAsia" w:ascii="仿宋_GB2312"/>
          <w:sz w:val="32"/>
          <w:szCs w:val="32"/>
        </w:rPr>
        <w:t>（试行）</w:t>
      </w:r>
    </w:p>
    <w:p>
      <w:pPr>
        <w:pStyle w:val="2"/>
        <w:numPr>
          <w:ilvl w:val="1"/>
          <w:numId w:val="1"/>
        </w:numPr>
        <w:tabs>
          <w:tab w:val="left" w:pos="0"/>
          <w:tab w:val="clear" w:pos="2115"/>
        </w:tabs>
        <w:adjustRightInd w:val="0"/>
        <w:snapToGrid w:val="0"/>
        <w:spacing w:before="156" w:beforeLines="50" w:line="600" w:lineRule="exact"/>
        <w:ind w:left="0" w:firstLine="0" w:firstLineChars="0"/>
        <w:jc w:val="center"/>
        <w:rPr>
          <w:rFonts w:hint="eastAsia" w:eastAsia="黑体"/>
        </w:rPr>
      </w:pPr>
      <w:r>
        <w:rPr>
          <w:rFonts w:hint="eastAsia" w:eastAsia="黑体"/>
        </w:rPr>
        <w:t>总  则</w:t>
      </w:r>
    </w:p>
    <w:p>
      <w:pPr>
        <w:pStyle w:val="2"/>
        <w:spacing w:line="560" w:lineRule="exact"/>
        <w:ind w:firstLine="571"/>
        <w:rPr>
          <w:rFonts w:hint="eastAsia"/>
          <w:b/>
        </w:rPr>
      </w:pPr>
      <w:r>
        <w:rPr>
          <w:rFonts w:hint="eastAsia" w:eastAsia="黑体"/>
          <w:b/>
        </w:rPr>
        <w:t xml:space="preserve">第一条  </w:t>
      </w:r>
      <w:r>
        <w:rPr>
          <w:rFonts w:hint="eastAsia"/>
        </w:rPr>
        <w:t>为了加强本市道路运输管理，保持车辆技术状况良好，降低车辆运行消耗，减少排放污染和保障安全运输生产，根据交通部《汽车运输车辆技术管理规定》、《道路运输行政处罚规定》、《汽车运输业车辆综合性能检测站管理办法》和《北京市道路运输管理条例》制定本管理办法。</w:t>
      </w:r>
    </w:p>
    <w:p>
      <w:pPr>
        <w:pStyle w:val="2"/>
        <w:spacing w:line="560" w:lineRule="exact"/>
        <w:ind w:firstLine="571"/>
        <w:rPr>
          <w:rFonts w:hint="eastAsia"/>
          <w:b/>
        </w:rPr>
      </w:pPr>
      <w:r>
        <w:rPr>
          <w:rFonts w:hint="eastAsia" w:eastAsia="黑体"/>
          <w:b/>
        </w:rPr>
        <w:t xml:space="preserve">第二条  </w:t>
      </w:r>
      <w:r>
        <w:rPr>
          <w:rFonts w:hint="eastAsia"/>
        </w:rPr>
        <w:t>本办法适用于本市行政区域内从事道路货物运输、长途旅客运输、搬运装卸、运输服务以及非营业性危险货物运输的单位和个人的运输车辆及汽车综合性能检测站。</w:t>
      </w:r>
    </w:p>
    <w:p>
      <w:pPr>
        <w:pStyle w:val="2"/>
        <w:spacing w:line="560" w:lineRule="exact"/>
        <w:ind w:firstLine="571"/>
        <w:rPr>
          <w:rFonts w:hint="eastAsia"/>
        </w:rPr>
      </w:pPr>
      <w:r>
        <w:rPr>
          <w:rFonts w:hint="eastAsia" w:eastAsia="黑体"/>
          <w:b/>
        </w:rPr>
        <w:t xml:space="preserve">第三条  </w:t>
      </w:r>
      <w:r>
        <w:rPr>
          <w:rFonts w:hint="eastAsia"/>
        </w:rPr>
        <w:t>北京市交通局负责制定车辆技术等级评定的有关制度、规范和标准，各区、县道路运输管理部门负责具体实施。</w:t>
      </w:r>
    </w:p>
    <w:p>
      <w:pPr>
        <w:pStyle w:val="2"/>
        <w:numPr>
          <w:ilvl w:val="1"/>
          <w:numId w:val="1"/>
        </w:numPr>
        <w:tabs>
          <w:tab w:val="left" w:pos="0"/>
          <w:tab w:val="clear" w:pos="2115"/>
        </w:tabs>
        <w:adjustRightInd w:val="0"/>
        <w:snapToGrid w:val="0"/>
        <w:spacing w:before="156" w:beforeLines="50" w:line="560" w:lineRule="exact"/>
        <w:ind w:left="0" w:firstLine="0" w:firstLineChars="0"/>
        <w:jc w:val="center"/>
        <w:rPr>
          <w:rFonts w:hint="eastAsia" w:eastAsia="黑体"/>
        </w:rPr>
      </w:pPr>
      <w:r>
        <w:rPr>
          <w:rFonts w:hint="eastAsia" w:eastAsia="黑体"/>
        </w:rPr>
        <w:t>汽车技术等级评定的内容与划分方法</w:t>
      </w:r>
    </w:p>
    <w:p>
      <w:pPr>
        <w:pStyle w:val="2"/>
        <w:spacing w:line="560" w:lineRule="exact"/>
        <w:ind w:firstLine="571"/>
        <w:rPr>
          <w:rFonts w:hint="eastAsia"/>
          <w:b/>
        </w:rPr>
      </w:pPr>
      <w:r>
        <w:rPr>
          <w:rFonts w:hint="eastAsia" w:eastAsia="黑体"/>
          <w:b/>
        </w:rPr>
        <w:t xml:space="preserve">第四条  </w:t>
      </w:r>
      <w:r>
        <w:rPr>
          <w:rFonts w:hint="eastAsia"/>
        </w:rPr>
        <w:t>汽车技术等级评定的主要内容包括：汽车的动力性、燃料经济性、制动性、转向操纵性、前照灯及喇叭噪声、密封性、废气排放、整车与外观。</w:t>
      </w:r>
    </w:p>
    <w:p>
      <w:pPr>
        <w:pStyle w:val="2"/>
        <w:spacing w:line="560" w:lineRule="exact"/>
        <w:ind w:firstLine="571"/>
        <w:rPr>
          <w:rFonts w:hint="eastAsia"/>
          <w:b/>
        </w:rPr>
      </w:pPr>
      <w:r>
        <w:rPr>
          <w:rFonts w:hint="eastAsia" w:eastAsia="黑体"/>
          <w:b/>
        </w:rPr>
        <w:t xml:space="preserve">第五条  </w:t>
      </w:r>
      <w:r>
        <w:rPr>
          <w:rFonts w:hint="eastAsia"/>
        </w:rPr>
        <w:t>汽车使用年限，按新车投入运行之日起核定。</w:t>
      </w:r>
    </w:p>
    <w:p>
      <w:pPr>
        <w:pStyle w:val="2"/>
        <w:spacing w:line="560" w:lineRule="exact"/>
        <w:ind w:firstLine="571"/>
        <w:rPr>
          <w:rFonts w:hint="eastAsia"/>
          <w:b/>
        </w:rPr>
      </w:pPr>
      <w:r>
        <w:rPr>
          <w:rFonts w:hint="eastAsia" w:eastAsia="黑体"/>
          <w:b/>
        </w:rPr>
        <w:t xml:space="preserve">第六条  </w:t>
      </w:r>
      <w:r>
        <w:rPr>
          <w:rFonts w:hint="eastAsia"/>
        </w:rPr>
        <w:t>第四条规定的内容为汽车技术等级评定的基本内容，其评定项目按重要程度分为“关键项”和“一般项”。</w:t>
      </w:r>
    </w:p>
    <w:p>
      <w:pPr>
        <w:pStyle w:val="2"/>
        <w:spacing w:line="560" w:lineRule="exact"/>
        <w:ind w:firstLine="571"/>
        <w:rPr>
          <w:rFonts w:hint="eastAsia"/>
          <w:b/>
        </w:rPr>
      </w:pPr>
      <w:r>
        <w:rPr>
          <w:rFonts w:hint="eastAsia" w:eastAsia="黑体"/>
          <w:b/>
        </w:rPr>
        <w:t xml:space="preserve">第七条  </w:t>
      </w:r>
      <w:r>
        <w:rPr>
          <w:rFonts w:hint="eastAsia"/>
        </w:rPr>
        <w:t>汽车技术等级评定采用汽车使用年限、关键项和项次合格率来衡量，分为一级车、二级车和三级车三个等级。</w:t>
      </w:r>
    </w:p>
    <w:p>
      <w:pPr>
        <w:pStyle w:val="2"/>
        <w:tabs>
          <w:tab w:val="left" w:pos="0"/>
        </w:tabs>
        <w:spacing w:line="560" w:lineRule="exact"/>
        <w:rPr>
          <w:rFonts w:hint="eastAsia"/>
        </w:rPr>
      </w:pPr>
      <w:r>
        <w:rPr>
          <w:rFonts w:hint="eastAsia"/>
        </w:rPr>
        <w:t xml:space="preserve">        项次合格率的计算方法：</w:t>
      </w:r>
    </w:p>
    <w:p>
      <w:pPr>
        <w:pStyle w:val="2"/>
        <w:tabs>
          <w:tab w:val="left" w:pos="0"/>
        </w:tabs>
        <w:spacing w:line="320" w:lineRule="exact"/>
        <w:ind w:firstLine="487"/>
        <w:rPr>
          <w:rFonts w:hint="eastAsia"/>
          <w:sz w:val="24"/>
        </w:rPr>
      </w:pPr>
      <w:r>
        <w:rPr>
          <w:sz w:val="24"/>
        </w:rPr>
        <w:t xml:space="preserve">              </w:t>
      </w:r>
      <w:r>
        <w:rPr>
          <w:rFonts w:hint="eastAsia"/>
          <w:sz w:val="24"/>
        </w:rPr>
        <w:t>N</w:t>
      </w:r>
    </w:p>
    <w:p>
      <w:pPr>
        <w:pStyle w:val="2"/>
        <w:tabs>
          <w:tab w:val="left" w:pos="0"/>
        </w:tabs>
        <w:spacing w:line="320" w:lineRule="exact"/>
        <w:ind w:firstLine="487"/>
        <w:rPr>
          <w:rFonts w:hint="eastAsia"/>
          <w:sz w:val="24"/>
        </w:rPr>
      </w:pPr>
      <w:r>
        <w:rPr>
          <w:sz w:val="24"/>
        </w:rPr>
        <w:t xml:space="preserve">         </w:t>
      </w:r>
      <w:r>
        <w:rPr>
          <w:rFonts w:hint="eastAsia"/>
          <w:sz w:val="24"/>
        </w:rPr>
        <w:t>B=</w:t>
      </w:r>
      <w:r>
        <w:rPr>
          <w:sz w:val="24"/>
        </w:rPr>
        <w:t xml:space="preserve"> ———</w:t>
      </w:r>
      <w:r>
        <w:rPr>
          <w:rFonts w:hint="eastAsia"/>
          <w:sz w:val="24"/>
        </w:rPr>
        <w:t>×100%</w:t>
      </w:r>
    </w:p>
    <w:p>
      <w:pPr>
        <w:pStyle w:val="2"/>
        <w:tabs>
          <w:tab w:val="left" w:pos="0"/>
        </w:tabs>
        <w:spacing w:line="320" w:lineRule="exact"/>
        <w:ind w:firstLine="487"/>
        <w:rPr>
          <w:rFonts w:hint="eastAsia"/>
          <w:sz w:val="24"/>
        </w:rPr>
      </w:pPr>
      <w:r>
        <w:rPr>
          <w:sz w:val="24"/>
        </w:rPr>
        <w:t xml:space="preserve">              </w:t>
      </w:r>
      <w:r>
        <w:rPr>
          <w:rFonts w:hint="eastAsia"/>
          <w:sz w:val="24"/>
        </w:rPr>
        <w:t>M</w:t>
      </w:r>
    </w:p>
    <w:p>
      <w:pPr>
        <w:pStyle w:val="2"/>
        <w:tabs>
          <w:tab w:val="left" w:pos="0"/>
        </w:tabs>
        <w:spacing w:line="600" w:lineRule="exact"/>
        <w:ind w:firstLine="487"/>
        <w:rPr>
          <w:rFonts w:hint="eastAsia"/>
        </w:rPr>
      </w:pPr>
      <w:r>
        <w:rPr>
          <w:rFonts w:hint="eastAsia"/>
          <w:sz w:val="24"/>
        </w:rPr>
        <w:t xml:space="preserve">         </w:t>
      </w:r>
      <w:r>
        <w:rPr>
          <w:rFonts w:hint="eastAsia"/>
        </w:rPr>
        <w:t>其中：B为项次合格率</w:t>
      </w:r>
    </w:p>
    <w:p>
      <w:pPr>
        <w:pStyle w:val="2"/>
        <w:tabs>
          <w:tab w:val="left" w:pos="0"/>
        </w:tabs>
        <w:spacing w:line="600" w:lineRule="exact"/>
        <w:rPr>
          <w:rFonts w:hint="eastAsia"/>
        </w:rPr>
      </w:pPr>
      <w:r>
        <w:rPr>
          <w:rFonts w:hint="eastAsia"/>
        </w:rPr>
        <w:t xml:space="preserve">              N为检测合格的项次数之和</w:t>
      </w:r>
    </w:p>
    <w:p>
      <w:pPr>
        <w:pStyle w:val="2"/>
        <w:tabs>
          <w:tab w:val="left" w:pos="0"/>
        </w:tabs>
        <w:spacing w:line="600" w:lineRule="exact"/>
        <w:rPr>
          <w:rFonts w:hint="eastAsia"/>
        </w:rPr>
      </w:pPr>
      <w:r>
        <w:rPr>
          <w:rFonts w:hint="eastAsia"/>
        </w:rPr>
        <w:t xml:space="preserve">              M为检测的项次数之和</w:t>
      </w:r>
    </w:p>
    <w:p>
      <w:pPr>
        <w:pStyle w:val="2"/>
        <w:spacing w:line="600" w:lineRule="exact"/>
        <w:ind w:firstLine="571"/>
        <w:rPr>
          <w:rFonts w:hint="eastAsia"/>
          <w:b/>
        </w:rPr>
      </w:pPr>
      <w:r>
        <w:rPr>
          <w:rFonts w:hint="eastAsia" w:eastAsia="黑体"/>
          <w:b/>
        </w:rPr>
        <w:t xml:space="preserve">第八条  </w:t>
      </w:r>
      <w:r>
        <w:rPr>
          <w:rFonts w:hint="eastAsia"/>
        </w:rPr>
        <w:t>汽车等级分级方法</w:t>
      </w:r>
    </w:p>
    <w:p>
      <w:pPr>
        <w:pStyle w:val="2"/>
        <w:spacing w:line="600" w:lineRule="exact"/>
        <w:rPr>
          <w:rFonts w:hint="eastAsia"/>
        </w:rPr>
      </w:pPr>
      <w:r>
        <w:rPr>
          <w:rFonts w:hint="eastAsia"/>
        </w:rPr>
        <w:t>一级车：使用年限在七年以内；关键项分级的项目达到一级，关键项不分级的项目为合格；项次合格率大于等于90%；在运行中无任何保留条件。</w:t>
      </w:r>
    </w:p>
    <w:p>
      <w:pPr>
        <w:pStyle w:val="2"/>
        <w:spacing w:line="600" w:lineRule="exact"/>
        <w:rPr>
          <w:rFonts w:hint="eastAsia"/>
        </w:rPr>
      </w:pPr>
      <w:r>
        <w:rPr>
          <w:rFonts w:hint="eastAsia"/>
        </w:rPr>
        <w:t>二级车：使用年限超过七年；关键项分级的项目达到二级以上，关键项不分级的项目为合格；项次合格率大于等于80%；在运行中无任何保留条件。</w:t>
      </w:r>
    </w:p>
    <w:p>
      <w:pPr>
        <w:pStyle w:val="2"/>
        <w:spacing w:line="600" w:lineRule="exact"/>
        <w:rPr>
          <w:rFonts w:hint="eastAsia"/>
          <w:b/>
        </w:rPr>
      </w:pPr>
      <w:r>
        <w:rPr>
          <w:rFonts w:hint="eastAsia"/>
        </w:rPr>
        <w:t>三级车：凡达不到二级车技术等级标准的汽车均为三级车。</w:t>
      </w:r>
    </w:p>
    <w:p>
      <w:pPr>
        <w:pStyle w:val="2"/>
        <w:spacing w:line="600" w:lineRule="exact"/>
        <w:ind w:firstLine="571"/>
        <w:rPr>
          <w:rFonts w:hint="eastAsia"/>
          <w:b/>
        </w:rPr>
      </w:pPr>
      <w:r>
        <w:rPr>
          <w:rFonts w:hint="eastAsia" w:eastAsia="黑体"/>
          <w:b/>
        </w:rPr>
        <w:t xml:space="preserve">第九条  </w:t>
      </w:r>
      <w:r>
        <w:rPr>
          <w:rFonts w:hint="eastAsia"/>
        </w:rPr>
        <w:t>汽车技术等级评定的检测方法按《汽车技术等级评定标准》（JT/T198-95）、《汽车技术等级评定的检测方法》（JT/T199-95）、       《北京市技术等级评定检测规范》执行。</w:t>
      </w:r>
    </w:p>
    <w:p>
      <w:pPr>
        <w:pStyle w:val="2"/>
        <w:spacing w:line="600" w:lineRule="exact"/>
        <w:ind w:firstLine="571"/>
        <w:rPr>
          <w:rFonts w:hint="eastAsia"/>
        </w:rPr>
      </w:pPr>
      <w:r>
        <w:rPr>
          <w:rFonts w:hint="eastAsia" w:eastAsia="黑体"/>
          <w:b/>
        </w:rPr>
        <w:t>第十条</w:t>
      </w:r>
      <w:r>
        <w:rPr>
          <w:rFonts w:hint="eastAsia"/>
          <w:b/>
        </w:rPr>
        <w:t xml:space="preserve">  </w:t>
      </w:r>
      <w:r>
        <w:rPr>
          <w:rFonts w:hint="eastAsia"/>
        </w:rPr>
        <w:t>特种、专项货物运输车辆的技术等级评定标准及检测规范由北京市交通局另行规定。</w:t>
      </w:r>
    </w:p>
    <w:p>
      <w:pPr>
        <w:pStyle w:val="2"/>
        <w:numPr>
          <w:ilvl w:val="1"/>
          <w:numId w:val="1"/>
        </w:numPr>
        <w:tabs>
          <w:tab w:val="left" w:pos="0"/>
          <w:tab w:val="clear" w:pos="2115"/>
        </w:tabs>
        <w:adjustRightInd w:val="0"/>
        <w:snapToGrid w:val="0"/>
        <w:spacing w:before="156" w:beforeLines="50" w:line="600" w:lineRule="exact"/>
        <w:ind w:left="0" w:firstLine="0" w:firstLineChars="0"/>
        <w:jc w:val="center"/>
        <w:rPr>
          <w:rFonts w:hint="eastAsia" w:eastAsia="黑体"/>
        </w:rPr>
      </w:pPr>
      <w:r>
        <w:rPr>
          <w:rFonts w:hint="eastAsia" w:eastAsia="黑体"/>
        </w:rPr>
        <w:t>车辆送评办法</w:t>
      </w:r>
    </w:p>
    <w:p>
      <w:pPr>
        <w:pStyle w:val="2"/>
        <w:spacing w:line="600" w:lineRule="exact"/>
        <w:ind w:firstLine="571"/>
        <w:rPr>
          <w:rFonts w:hint="eastAsia"/>
        </w:rPr>
      </w:pPr>
      <w:r>
        <w:rPr>
          <w:rFonts w:hint="eastAsia" w:eastAsia="黑体"/>
          <w:b/>
        </w:rPr>
        <w:t>第十一条</w:t>
      </w:r>
      <w:r>
        <w:rPr>
          <w:rFonts w:hint="eastAsia"/>
        </w:rPr>
        <w:t xml:space="preserve">  车辆技术等级评定按审验年度规定，为每一年度评定一次；评定年度为上一年的7月1日至当年的6月30日；道路运输经营者必须按规定进行车辆技术等级的评定。</w:t>
      </w:r>
    </w:p>
    <w:p>
      <w:pPr>
        <w:pStyle w:val="2"/>
        <w:spacing w:line="600" w:lineRule="exact"/>
        <w:ind w:firstLine="571"/>
        <w:rPr>
          <w:rFonts w:hint="eastAsia"/>
        </w:rPr>
      </w:pPr>
      <w:r>
        <w:rPr>
          <w:rFonts w:hint="eastAsia" w:eastAsia="黑体"/>
          <w:b/>
        </w:rPr>
        <w:t>第十二条</w:t>
      </w:r>
      <w:r>
        <w:rPr>
          <w:rFonts w:hint="eastAsia"/>
        </w:rPr>
        <w:t xml:space="preserve">  车辆技术等级评定以汽车牌照尾号加6的月份为评定时间，尾号为0和1的按10和11计算。</w:t>
      </w:r>
    </w:p>
    <w:p>
      <w:pPr>
        <w:pStyle w:val="2"/>
        <w:spacing w:line="600" w:lineRule="exact"/>
        <w:ind w:firstLine="571"/>
        <w:rPr>
          <w:rFonts w:hint="eastAsia"/>
        </w:rPr>
      </w:pPr>
      <w:r>
        <w:rPr>
          <w:rFonts w:hint="eastAsia" w:eastAsia="黑体"/>
          <w:b/>
        </w:rPr>
        <w:t>第十三条</w:t>
      </w:r>
      <w:r>
        <w:rPr>
          <w:rFonts w:hint="eastAsia"/>
        </w:rPr>
        <w:t xml:space="preserve">  道路运输经营者要按规定时间到道路运输管理部门认定的汽车综合性能检测站进行汽车技术等级评定。评定后一周内，持“车辆技术等级评定检测报告单”和《道路运输证》，到车籍所在地的道路运输管理部门办理车辆技术等级评定审验签章手续。</w:t>
      </w:r>
    </w:p>
    <w:p>
      <w:pPr>
        <w:pStyle w:val="2"/>
        <w:spacing w:line="600" w:lineRule="exact"/>
        <w:rPr>
          <w:rFonts w:hint="eastAsia"/>
        </w:rPr>
      </w:pPr>
      <w:r>
        <w:rPr>
          <w:rFonts w:hint="eastAsia"/>
        </w:rPr>
        <w:t>办理停驶手续的车辆，停驶时间在一年以内的按第十一条执行；停驶时间超过一年的，复驶时必须进行技术等级评定。</w:t>
      </w:r>
    </w:p>
    <w:p>
      <w:pPr>
        <w:pStyle w:val="2"/>
        <w:numPr>
          <w:ilvl w:val="1"/>
          <w:numId w:val="1"/>
        </w:numPr>
        <w:tabs>
          <w:tab w:val="left" w:pos="0"/>
          <w:tab w:val="clear" w:pos="2115"/>
        </w:tabs>
        <w:adjustRightInd w:val="0"/>
        <w:snapToGrid w:val="0"/>
        <w:spacing w:before="156" w:beforeLines="50" w:line="600" w:lineRule="exact"/>
        <w:ind w:left="0" w:firstLine="0" w:firstLineChars="0"/>
        <w:jc w:val="center"/>
        <w:rPr>
          <w:rFonts w:hint="eastAsia" w:eastAsia="黑体"/>
        </w:rPr>
      </w:pPr>
      <w:r>
        <w:rPr>
          <w:rFonts w:hint="eastAsia" w:eastAsia="黑体"/>
        </w:rPr>
        <w:t>职  责</w:t>
      </w:r>
    </w:p>
    <w:p>
      <w:pPr>
        <w:pStyle w:val="2"/>
        <w:spacing w:line="600" w:lineRule="exact"/>
        <w:ind w:firstLine="571"/>
        <w:rPr>
          <w:rFonts w:hint="eastAsia"/>
        </w:rPr>
      </w:pPr>
      <w:r>
        <w:rPr>
          <w:rFonts w:hint="eastAsia" w:eastAsia="黑体"/>
          <w:b/>
        </w:rPr>
        <w:t>第十四条</w:t>
      </w:r>
      <w:r>
        <w:rPr>
          <w:rFonts w:hint="eastAsia"/>
        </w:rPr>
        <w:t xml:space="preserve">  市交通局汽车维修管理处负责汽车综合性能检测站的认定与监督；货运管理处负责货运车辆技术等级评定的实施与监督；客运管理处负责客运车辆技术等级评定的实施与监督。</w:t>
      </w:r>
    </w:p>
    <w:p>
      <w:pPr>
        <w:pStyle w:val="2"/>
        <w:spacing w:line="600" w:lineRule="exact"/>
        <w:ind w:firstLine="571"/>
        <w:rPr>
          <w:rFonts w:hint="eastAsia"/>
        </w:rPr>
      </w:pPr>
      <w:r>
        <w:rPr>
          <w:rFonts w:hint="eastAsia" w:eastAsia="黑体"/>
          <w:b/>
        </w:rPr>
        <w:t>第十五条</w:t>
      </w:r>
      <w:r>
        <w:rPr>
          <w:rFonts w:hint="eastAsia"/>
        </w:rPr>
        <w:t xml:space="preserve">  市交通局货运管理处和各区、县道路运输管理部门应根据货运车辆的“车辆技术等级评定检测报告单”确定的车辆技术等级，签注《道路运输证》中“技术等级评定”栏、加盖车辆管理专用章，并建立车辆技术档案。车辆年审时，对在评定年度内进行了车辆技术等级评定的车辆，在《道路运输证》中加盖年审章，否则不予年审。</w:t>
      </w:r>
    </w:p>
    <w:p>
      <w:pPr>
        <w:pStyle w:val="2"/>
        <w:spacing w:line="600" w:lineRule="exact"/>
        <w:rPr>
          <w:rFonts w:hint="eastAsia"/>
        </w:rPr>
      </w:pPr>
      <w:r>
        <w:rPr>
          <w:rFonts w:hint="eastAsia"/>
        </w:rPr>
        <w:t>市交通局客运管理处和各区、县道路运输管理部门根据客运车辆的“车辆技术等级评定检测报告单”确定的车辆技术等级，签注《道路运输证》中“技术等级评定”栏、加盖车辆管理专用章，并建立车辆技术档案。车辆年审时，对在评定年度内进行了车辆技术等级评定的车辆，在《道路运输证》中加盖年审章，否则不予年审。</w:t>
      </w:r>
    </w:p>
    <w:p>
      <w:pPr>
        <w:pStyle w:val="2"/>
        <w:spacing w:line="600" w:lineRule="exact"/>
        <w:ind w:firstLine="571"/>
        <w:rPr>
          <w:rFonts w:hint="eastAsia"/>
          <w:sz w:val="18"/>
        </w:rPr>
      </w:pPr>
      <w:r>
        <w:rPr>
          <w:rFonts w:hint="eastAsia" w:eastAsia="黑体"/>
          <w:b/>
        </w:rPr>
        <w:t>第十六条</w:t>
      </w:r>
      <w:r>
        <w:rPr>
          <w:rFonts w:hint="eastAsia"/>
        </w:rPr>
        <w:t xml:space="preserve">  汽车综合性能检测站按车辆技术等级评定的标准、检测项目和技术要求对车辆进行检测，填写“车辆技术等级评定检测报告单”，并确定汽车的技术等级。</w:t>
      </w:r>
    </w:p>
    <w:p>
      <w:pPr>
        <w:pStyle w:val="2"/>
        <w:spacing w:line="600" w:lineRule="exact"/>
        <w:ind w:firstLine="571"/>
        <w:rPr>
          <w:rFonts w:hint="eastAsia"/>
        </w:rPr>
      </w:pPr>
      <w:r>
        <w:rPr>
          <w:rFonts w:hint="eastAsia" w:eastAsia="黑体"/>
          <w:b/>
        </w:rPr>
        <w:t>第十七条</w:t>
      </w:r>
      <w:r>
        <w:rPr>
          <w:rFonts w:hint="eastAsia"/>
        </w:rPr>
        <w:t xml:space="preserve">  汽车综合性能检测站要建立车辆检测档案，按季度向道路运输管理部门报送统计报表和有关技术资料，并自觉接受道路运输管理部门的管理与监督。</w:t>
      </w:r>
    </w:p>
    <w:p>
      <w:pPr>
        <w:pStyle w:val="2"/>
        <w:numPr>
          <w:ilvl w:val="1"/>
          <w:numId w:val="1"/>
        </w:numPr>
        <w:tabs>
          <w:tab w:val="left" w:pos="0"/>
          <w:tab w:val="clear" w:pos="2115"/>
        </w:tabs>
        <w:adjustRightInd w:val="0"/>
        <w:snapToGrid w:val="0"/>
        <w:spacing w:before="156" w:beforeLines="50" w:line="600" w:lineRule="exact"/>
        <w:ind w:left="0" w:firstLine="0" w:firstLineChars="0"/>
        <w:jc w:val="center"/>
        <w:rPr>
          <w:rFonts w:hint="eastAsia" w:eastAsia="黑体"/>
        </w:rPr>
      </w:pPr>
      <w:r>
        <w:rPr>
          <w:rFonts w:hint="eastAsia" w:eastAsia="黑体"/>
        </w:rPr>
        <w:t>罚  则</w:t>
      </w:r>
    </w:p>
    <w:p>
      <w:pPr>
        <w:pStyle w:val="2"/>
        <w:spacing w:line="600" w:lineRule="exact"/>
        <w:ind w:firstLine="571"/>
        <w:rPr>
          <w:rFonts w:hint="eastAsia"/>
        </w:rPr>
      </w:pPr>
      <w:r>
        <w:rPr>
          <w:rFonts w:hint="eastAsia" w:eastAsia="黑体"/>
          <w:b/>
        </w:rPr>
        <w:t>第十八条</w:t>
      </w:r>
      <w:r>
        <w:rPr>
          <w:rFonts w:hint="eastAsia"/>
        </w:rPr>
        <w:t xml:space="preserve">  道路运输车辆不按规定时间进行技术等级评定的，根据交通部《道路运输行政处罚规定》第十三条第一款的规定由道路运输管理部门给予相应处罚。</w:t>
      </w:r>
    </w:p>
    <w:p>
      <w:pPr>
        <w:pStyle w:val="2"/>
        <w:spacing w:line="600" w:lineRule="exact"/>
        <w:ind w:firstLine="571"/>
        <w:rPr>
          <w:rFonts w:hint="eastAsia"/>
        </w:rPr>
      </w:pPr>
      <w:r>
        <w:rPr>
          <w:rFonts w:hint="eastAsia" w:eastAsia="黑体"/>
          <w:b/>
        </w:rPr>
        <w:t>第十九条</w:t>
      </w:r>
      <w:r>
        <w:rPr>
          <w:rFonts w:hint="eastAsia"/>
        </w:rPr>
        <w:t xml:space="preserve">  对达不到一级车或二级车技术等级标准的车辆暂扣《道路运输证》，直到维修后达到一级车或二级车技术等级标准。如无维修价值或维修后达不到一级车或二级车技术等级标准的，不予审验。</w:t>
      </w:r>
    </w:p>
    <w:p>
      <w:pPr>
        <w:pStyle w:val="2"/>
        <w:spacing w:line="600" w:lineRule="exact"/>
        <w:ind w:firstLine="571"/>
        <w:rPr>
          <w:rFonts w:hint="eastAsia"/>
        </w:rPr>
      </w:pPr>
      <w:r>
        <w:rPr>
          <w:rFonts w:hint="eastAsia" w:eastAsia="黑体"/>
          <w:b/>
        </w:rPr>
        <w:t>第二十条</w:t>
      </w:r>
      <w:r>
        <w:rPr>
          <w:rFonts w:hint="eastAsia"/>
        </w:rPr>
        <w:t xml:space="preserve">  汽车综合性能检测站违反《汽车综合性能检测站暂行规定》的，根据交通部《道路运输行政处罚规定》第十三条第二、三、四款的规定，由道路运输管理部门给予相应处罚。</w:t>
      </w:r>
    </w:p>
    <w:p>
      <w:pPr>
        <w:pStyle w:val="2"/>
        <w:spacing w:line="600" w:lineRule="exact"/>
        <w:ind w:firstLine="571"/>
        <w:rPr>
          <w:rFonts w:hint="eastAsia"/>
        </w:rPr>
      </w:pPr>
      <w:r>
        <w:rPr>
          <w:rFonts w:hint="eastAsia" w:eastAsia="黑体"/>
          <w:b/>
        </w:rPr>
        <w:t>第二十一条</w:t>
      </w:r>
      <w:r>
        <w:rPr>
          <w:rFonts w:hint="eastAsia"/>
        </w:rPr>
        <w:t xml:space="preserve">  道路运输管理部门的工作人员玩忽职守、滥用职权、徇私舞弊的，由道路运输管理部门给予行政处分。</w:t>
      </w:r>
    </w:p>
    <w:p>
      <w:pPr>
        <w:pStyle w:val="2"/>
        <w:numPr>
          <w:ilvl w:val="1"/>
          <w:numId w:val="1"/>
        </w:numPr>
        <w:tabs>
          <w:tab w:val="left" w:pos="0"/>
          <w:tab w:val="clear" w:pos="2115"/>
        </w:tabs>
        <w:adjustRightInd w:val="0"/>
        <w:snapToGrid w:val="0"/>
        <w:spacing w:before="156" w:beforeLines="50" w:line="600" w:lineRule="exact"/>
        <w:ind w:left="0" w:firstLine="0" w:firstLineChars="0"/>
        <w:jc w:val="center"/>
        <w:rPr>
          <w:rFonts w:hint="eastAsia" w:eastAsia="黑体"/>
        </w:rPr>
      </w:pPr>
      <w:r>
        <w:rPr>
          <w:rFonts w:hint="eastAsia" w:eastAsia="黑体"/>
        </w:rPr>
        <w:t>附  则</w:t>
      </w:r>
    </w:p>
    <w:p>
      <w:pPr>
        <w:pStyle w:val="2"/>
        <w:spacing w:line="600" w:lineRule="exact"/>
        <w:ind w:firstLine="571"/>
        <w:rPr>
          <w:rFonts w:hint="eastAsia"/>
        </w:rPr>
      </w:pPr>
      <w:r>
        <w:rPr>
          <w:rFonts w:hint="eastAsia" w:eastAsia="黑体"/>
          <w:b/>
        </w:rPr>
        <w:t>第二十二条</w:t>
      </w:r>
      <w:r>
        <w:rPr>
          <w:rFonts w:hint="eastAsia"/>
        </w:rPr>
        <w:t xml:space="preserve">  本办法由北京市交通局负责解释。</w:t>
      </w:r>
    </w:p>
    <w:p>
      <w:pPr>
        <w:pStyle w:val="2"/>
        <w:spacing w:line="600" w:lineRule="exact"/>
        <w:ind w:firstLine="571"/>
      </w:pPr>
      <w:r>
        <w:rPr>
          <w:rFonts w:hint="eastAsia" w:eastAsia="黑体"/>
          <w:b/>
        </w:rPr>
        <w:t>第二十三条</w:t>
      </w:r>
      <w:r>
        <w:rPr>
          <w:rFonts w:hint="eastAsia"/>
        </w:rPr>
        <w:t xml:space="preserve">  本办法自1999年1月1日起施行。</w:t>
      </w:r>
    </w:p>
    <w:p>
      <w:bookmarkStart w:id="0" w:name="_GoBack"/>
      <w:bookmarkEnd w:id="0"/>
    </w:p>
    <w:sectPr>
      <w:pgSz w:w="11906" w:h="16838"/>
      <w:pgMar w:top="1440" w:right="1474"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1A3409"/>
    <w:multiLevelType w:val="multilevel"/>
    <w:tmpl w:val="7C1A3409"/>
    <w:lvl w:ilvl="0" w:tentative="0">
      <w:start w:val="1"/>
      <w:numFmt w:val="decimal"/>
      <w:lvlText w:val="%1．"/>
      <w:lvlJc w:val="left"/>
      <w:pPr>
        <w:tabs>
          <w:tab w:val="left" w:pos="1560"/>
        </w:tabs>
        <w:ind w:left="1560" w:hanging="990"/>
      </w:pPr>
      <w:rPr>
        <w:rFonts w:hint="eastAsia"/>
      </w:rPr>
    </w:lvl>
    <w:lvl w:ilvl="1" w:tentative="0">
      <w:start w:val="1"/>
      <w:numFmt w:val="japaneseCounting"/>
      <w:lvlText w:val="第%2章"/>
      <w:lvlJc w:val="left"/>
      <w:pPr>
        <w:tabs>
          <w:tab w:val="left" w:pos="2115"/>
        </w:tabs>
        <w:ind w:left="2115" w:hanging="1125"/>
      </w:pPr>
      <w:rPr>
        <w:rFonts w:hint="eastAsia"/>
      </w:rPr>
    </w:lvl>
    <w:lvl w:ilvl="2" w:tentative="0">
      <w:start w:val="1"/>
      <w:numFmt w:val="japaneseCounting"/>
      <w:lvlText w:val="第%3条"/>
      <w:lvlJc w:val="left"/>
      <w:pPr>
        <w:tabs>
          <w:tab w:val="left" w:pos="2535"/>
        </w:tabs>
        <w:ind w:left="2535" w:hanging="1125"/>
      </w:pPr>
      <w:rPr>
        <w:rFonts w:hint="eastAsia"/>
      </w:rPr>
    </w:lvl>
    <w:lvl w:ilvl="3" w:tentative="0">
      <w:start w:val="1"/>
      <w:numFmt w:val="decimal"/>
      <w:lvlText w:val="%4."/>
      <w:lvlJc w:val="left"/>
      <w:pPr>
        <w:tabs>
          <w:tab w:val="left" w:pos="2250"/>
        </w:tabs>
        <w:ind w:left="2250" w:hanging="420"/>
      </w:pPr>
    </w:lvl>
    <w:lvl w:ilvl="4" w:tentative="0">
      <w:start w:val="1"/>
      <w:numFmt w:val="lowerLetter"/>
      <w:lvlText w:val="%5)"/>
      <w:lvlJc w:val="left"/>
      <w:pPr>
        <w:tabs>
          <w:tab w:val="left" w:pos="2670"/>
        </w:tabs>
        <w:ind w:left="2670" w:hanging="420"/>
      </w:pPr>
    </w:lvl>
    <w:lvl w:ilvl="5" w:tentative="0">
      <w:start w:val="1"/>
      <w:numFmt w:val="lowerRoman"/>
      <w:lvlText w:val="%6."/>
      <w:lvlJc w:val="right"/>
      <w:pPr>
        <w:tabs>
          <w:tab w:val="left" w:pos="3090"/>
        </w:tabs>
        <w:ind w:left="3090" w:hanging="420"/>
      </w:pPr>
    </w:lvl>
    <w:lvl w:ilvl="6" w:tentative="0">
      <w:start w:val="1"/>
      <w:numFmt w:val="decimal"/>
      <w:lvlText w:val="%7."/>
      <w:lvlJc w:val="left"/>
      <w:pPr>
        <w:tabs>
          <w:tab w:val="left" w:pos="3510"/>
        </w:tabs>
        <w:ind w:left="3510" w:hanging="420"/>
      </w:pPr>
    </w:lvl>
    <w:lvl w:ilvl="7" w:tentative="0">
      <w:start w:val="1"/>
      <w:numFmt w:val="lowerLetter"/>
      <w:lvlText w:val="%8)"/>
      <w:lvlJc w:val="left"/>
      <w:pPr>
        <w:tabs>
          <w:tab w:val="left" w:pos="3930"/>
        </w:tabs>
        <w:ind w:left="3930" w:hanging="420"/>
      </w:pPr>
    </w:lvl>
    <w:lvl w:ilvl="8" w:tentative="0">
      <w:start w:val="1"/>
      <w:numFmt w:val="lowerRoman"/>
      <w:lvlText w:val="%9."/>
      <w:lvlJc w:val="right"/>
      <w:pPr>
        <w:tabs>
          <w:tab w:val="left" w:pos="4350"/>
        </w:tabs>
        <w:ind w:left="435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076612"/>
    <w:rsid w:val="5E0766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Indent"/>
    <w:basedOn w:val="1"/>
    <w:semiHidden/>
    <w:uiPriority w:val="0"/>
    <w:pPr>
      <w:ind w:firstLine="568" w:firstLineChars="203"/>
    </w:pPr>
    <w:rPr>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2021-12-29T02:42:00Z</dcterms:created>
  <dc:creator>Erin_缘</dc:creator>
  <cp:lastModifiedBy>Erin_缘</cp:lastModifiedBy>
  <dcterms:modified xsi:type="dcterms:W3CDTF">2021-12-29T02:45:19Z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F6B943D47E55435A93BD94CC0BCC5E95</vt:lpwstr>
  </property>
</Properties>
</file>