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sz w:val="36"/>
          <w:szCs w:val="36"/>
          <w:lang w:val="en-US" w:eastAsia="zh-CN"/>
        </w:rPr>
      </w:pPr>
      <w:r>
        <w:rPr>
          <w:rFonts w:hint="eastAsia" w:ascii="华文中宋" w:hAnsi="华文中宋" w:eastAsia="华文中宋"/>
          <w:sz w:val="36"/>
          <w:szCs w:val="36"/>
        </w:rPr>
        <w:t>北京市</w:t>
      </w:r>
      <w:r>
        <w:rPr>
          <w:rFonts w:hint="eastAsia" w:ascii="华文中宋" w:hAnsi="华文中宋" w:eastAsia="华文中宋"/>
          <w:sz w:val="36"/>
          <w:szCs w:val="36"/>
          <w:lang w:val="en-US" w:eastAsia="zh-CN"/>
        </w:rPr>
        <w:t>交通委员会</w:t>
      </w:r>
      <w:r>
        <w:rPr>
          <w:rFonts w:hint="eastAsia" w:ascii="华文中宋" w:hAnsi="华文中宋" w:eastAsia="华文中宋"/>
          <w:sz w:val="36"/>
          <w:szCs w:val="36"/>
        </w:rPr>
        <w:t>行政职权运行通用责任</w:t>
      </w:r>
      <w:r>
        <w:rPr>
          <w:rFonts w:hint="eastAsia" w:ascii="华文中宋" w:hAnsi="华文中宋" w:eastAsia="华文中宋"/>
          <w:sz w:val="36"/>
          <w:szCs w:val="36"/>
          <w:lang w:val="en-US" w:eastAsia="zh-CN"/>
        </w:rPr>
        <w:t>清单</w:t>
      </w:r>
    </w:p>
    <w:p>
      <w:pPr>
        <w:jc w:val="center"/>
        <w:rPr>
          <w:rFonts w:hint="eastAsia" w:ascii="华文中宋" w:hAnsi="华文中宋" w:eastAsia="华文中宋"/>
          <w:sz w:val="36"/>
          <w:szCs w:val="36"/>
        </w:rPr>
      </w:pPr>
    </w:p>
    <w:tbl>
      <w:tblPr>
        <w:tblStyle w:val="2"/>
        <w:tblW w:w="8536" w:type="dxa"/>
        <w:tblCellSpacing w:w="0" w:type="dxa"/>
        <w:tblInd w:w="0" w:type="dxa"/>
        <w:tblLayout w:type="autofit"/>
        <w:tblCellMar>
          <w:top w:w="0" w:type="dxa"/>
          <w:left w:w="0" w:type="dxa"/>
          <w:bottom w:w="0" w:type="dxa"/>
          <w:right w:w="0" w:type="dxa"/>
        </w:tblCellMar>
      </w:tblPr>
      <w:tblGrid>
        <w:gridCol w:w="730"/>
        <w:gridCol w:w="1828"/>
        <w:gridCol w:w="5978"/>
      </w:tblGrid>
      <w:tr>
        <w:tblPrEx>
          <w:tblCellMar>
            <w:top w:w="0" w:type="dxa"/>
            <w:left w:w="0" w:type="dxa"/>
            <w:bottom w:w="0" w:type="dxa"/>
            <w:right w:w="0" w:type="dxa"/>
          </w:tblCellMar>
        </w:tblPrEx>
        <w:trPr>
          <w:trHeight w:val="735" w:hRule="atLeast"/>
          <w:tblCellSpacing w:w="0" w:type="dxa"/>
        </w:trPr>
        <w:tc>
          <w:tcPr>
            <w:tcW w:w="8536" w:type="dxa"/>
            <w:gridSpan w:val="3"/>
            <w:tcBorders>
              <w:top w:val="single" w:color="auto" w:sz="4"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lang w:val="en-US" w:eastAsia="zh-CN"/>
              </w:rPr>
              <w:t>一</w:t>
            </w:r>
            <w:r>
              <w:rPr>
                <w:rFonts w:hint="eastAsia" w:ascii="宋体" w:hAnsi="宋体" w:eastAsia="宋体" w:cs="宋体"/>
                <w:b/>
                <w:bCs/>
                <w:kern w:val="0"/>
                <w:sz w:val="24"/>
                <w:szCs w:val="24"/>
              </w:rPr>
              <w:t>、行政处罚类行政职权运行通用责任清单</w:t>
            </w:r>
            <w:r>
              <w:rPr>
                <w:rFonts w:hint="eastAsia" w:ascii="宋体" w:hAnsi="宋体" w:eastAsia="宋体" w:cs="宋体"/>
                <w:kern w:val="0"/>
                <w:sz w:val="24"/>
                <w:szCs w:val="24"/>
              </w:rPr>
              <w:t xml:space="preserve"> </w:t>
            </w:r>
          </w:p>
        </w:tc>
      </w:tr>
      <w:tr>
        <w:tblPrEx>
          <w:tblCellMar>
            <w:top w:w="0" w:type="dxa"/>
            <w:left w:w="0" w:type="dxa"/>
            <w:bottom w:w="0" w:type="dxa"/>
            <w:right w:w="0" w:type="dxa"/>
          </w:tblCellMar>
        </w:tblPrEx>
        <w:trPr>
          <w:trHeight w:val="765" w:hRule="atLeast"/>
          <w:tblCellSpacing w:w="0" w:type="dxa"/>
        </w:trPr>
        <w:tc>
          <w:tcPr>
            <w:tcW w:w="730"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序号</w:t>
            </w:r>
            <w:r>
              <w:rPr>
                <w:rFonts w:hint="eastAsia" w:ascii="宋体" w:hAnsi="宋体" w:eastAsia="宋体" w:cs="宋体"/>
                <w:kern w:val="0"/>
                <w:sz w:val="24"/>
                <w:szCs w:val="24"/>
              </w:rPr>
              <w:t xml:space="preserve"> </w:t>
            </w:r>
          </w:p>
        </w:tc>
        <w:tc>
          <w:tcPr>
            <w:tcW w:w="1828"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运行环节</w:t>
            </w:r>
            <w:r>
              <w:rPr>
                <w:rFonts w:hint="eastAsia" w:ascii="宋体" w:hAnsi="宋体" w:eastAsia="宋体" w:cs="宋体"/>
                <w:kern w:val="0"/>
                <w:sz w:val="24"/>
                <w:szCs w:val="24"/>
              </w:rPr>
              <w:t xml:space="preserve"> </w:t>
            </w:r>
          </w:p>
        </w:tc>
        <w:tc>
          <w:tcPr>
            <w:tcW w:w="5978"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责任事项</w:t>
            </w:r>
            <w:r>
              <w:rPr>
                <w:rFonts w:hint="eastAsia" w:ascii="宋体" w:hAnsi="宋体" w:eastAsia="宋体" w:cs="宋体"/>
                <w:kern w:val="0"/>
                <w:sz w:val="24"/>
                <w:szCs w:val="24"/>
              </w:rPr>
              <w:t xml:space="preserve"> </w:t>
            </w:r>
          </w:p>
        </w:tc>
      </w:tr>
      <w:tr>
        <w:tblPrEx>
          <w:tblCellMar>
            <w:top w:w="0" w:type="dxa"/>
            <w:left w:w="0" w:type="dxa"/>
            <w:bottom w:w="0" w:type="dxa"/>
            <w:right w:w="0" w:type="dxa"/>
          </w:tblCellMar>
        </w:tblPrEx>
        <w:trPr>
          <w:trHeight w:val="435" w:hRule="atLeast"/>
          <w:tblCellSpacing w:w="0" w:type="dxa"/>
        </w:trPr>
        <w:tc>
          <w:tcPr>
            <w:tcW w:w="730"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1828"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(一)立案</w:t>
            </w:r>
            <w:r>
              <w:rPr>
                <w:rFonts w:hint="eastAsia" w:ascii="宋体" w:hAnsi="宋体" w:eastAsia="宋体" w:cs="宋体"/>
                <w:kern w:val="0"/>
                <w:sz w:val="24"/>
                <w:szCs w:val="24"/>
              </w:rPr>
              <w:t xml:space="preserve"> </w:t>
            </w:r>
          </w:p>
        </w:tc>
        <w:tc>
          <w:tcPr>
            <w:tcW w:w="5978"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对符合立案条件的案件及时立案。 </w:t>
            </w:r>
          </w:p>
        </w:tc>
      </w:tr>
      <w:tr>
        <w:tblPrEx>
          <w:tblCellMar>
            <w:top w:w="0" w:type="dxa"/>
            <w:left w:w="0" w:type="dxa"/>
            <w:bottom w:w="0" w:type="dxa"/>
            <w:right w:w="0" w:type="dxa"/>
          </w:tblCellMar>
        </w:tblPrEx>
        <w:trPr>
          <w:trHeight w:val="450" w:hRule="atLeast"/>
          <w:tblCellSpacing w:w="0" w:type="dxa"/>
        </w:trPr>
        <w:tc>
          <w:tcPr>
            <w:tcW w:w="730"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1828"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(二)调查</w:t>
            </w:r>
            <w:r>
              <w:rPr>
                <w:rFonts w:hint="eastAsia" w:ascii="宋体" w:hAnsi="宋体" w:eastAsia="宋体" w:cs="宋体"/>
                <w:kern w:val="0"/>
                <w:sz w:val="24"/>
                <w:szCs w:val="24"/>
              </w:rPr>
              <w:t xml:space="preserve"> </w:t>
            </w:r>
          </w:p>
        </w:tc>
        <w:tc>
          <w:tcPr>
            <w:tcW w:w="5978"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出示执法身份证件,表明执法身份。 </w:t>
            </w:r>
          </w:p>
        </w:tc>
      </w:tr>
      <w:tr>
        <w:tblPrEx>
          <w:tblCellMar>
            <w:top w:w="0" w:type="dxa"/>
            <w:left w:w="0" w:type="dxa"/>
            <w:bottom w:w="0" w:type="dxa"/>
            <w:right w:w="0" w:type="dxa"/>
          </w:tblCellMar>
        </w:tblPrEx>
        <w:trPr>
          <w:trHeight w:val="555" w:hRule="atLeast"/>
          <w:tblCellSpacing w:w="0" w:type="dxa"/>
        </w:trPr>
        <w:tc>
          <w:tcPr>
            <w:tcW w:w="730"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182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8"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应当有2名以上(含2名)行政执法人员共同参加调查取证。 </w:t>
            </w:r>
          </w:p>
        </w:tc>
      </w:tr>
      <w:tr>
        <w:tblPrEx>
          <w:tblCellMar>
            <w:top w:w="0" w:type="dxa"/>
            <w:left w:w="0" w:type="dxa"/>
            <w:bottom w:w="0" w:type="dxa"/>
            <w:right w:w="0" w:type="dxa"/>
          </w:tblCellMar>
        </w:tblPrEx>
        <w:trPr>
          <w:trHeight w:val="525" w:hRule="atLeast"/>
          <w:tblCellSpacing w:w="0" w:type="dxa"/>
        </w:trPr>
        <w:tc>
          <w:tcPr>
            <w:tcW w:w="730"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4 </w:t>
            </w:r>
          </w:p>
        </w:tc>
        <w:tc>
          <w:tcPr>
            <w:tcW w:w="182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8"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依法调查和保存证据。 </w:t>
            </w:r>
          </w:p>
        </w:tc>
      </w:tr>
      <w:tr>
        <w:tblPrEx>
          <w:tblCellMar>
            <w:top w:w="0" w:type="dxa"/>
            <w:left w:w="0" w:type="dxa"/>
            <w:bottom w:w="0" w:type="dxa"/>
            <w:right w:w="0" w:type="dxa"/>
          </w:tblCellMar>
        </w:tblPrEx>
        <w:trPr>
          <w:trHeight w:val="690" w:hRule="atLeast"/>
          <w:tblCellSpacing w:w="0" w:type="dxa"/>
        </w:trPr>
        <w:tc>
          <w:tcPr>
            <w:tcW w:w="730"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182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8"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适用简易程序的,当场制作行政处罚决定书并当场交付,在事后难以执行及特殊情况下应当当场收缴罚款。 </w:t>
            </w:r>
          </w:p>
        </w:tc>
      </w:tr>
      <w:tr>
        <w:tblPrEx>
          <w:tblCellMar>
            <w:top w:w="0" w:type="dxa"/>
            <w:left w:w="0" w:type="dxa"/>
            <w:bottom w:w="0" w:type="dxa"/>
            <w:right w:w="0" w:type="dxa"/>
          </w:tblCellMar>
        </w:tblPrEx>
        <w:trPr>
          <w:trHeight w:val="525" w:hRule="atLeast"/>
          <w:tblCellSpacing w:w="0" w:type="dxa"/>
        </w:trPr>
        <w:tc>
          <w:tcPr>
            <w:tcW w:w="730"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182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8"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适用简易程序的,执法人员当场作出的行政处罚决定应当报所属行政机关备案。 </w:t>
            </w:r>
          </w:p>
        </w:tc>
      </w:tr>
      <w:tr>
        <w:tblPrEx>
          <w:tblCellMar>
            <w:top w:w="0" w:type="dxa"/>
            <w:left w:w="0" w:type="dxa"/>
            <w:bottom w:w="0" w:type="dxa"/>
            <w:right w:w="0" w:type="dxa"/>
          </w:tblCellMar>
        </w:tblPrEx>
        <w:trPr>
          <w:trHeight w:val="1065" w:hRule="atLeast"/>
          <w:tblCellSpacing w:w="0" w:type="dxa"/>
        </w:trPr>
        <w:tc>
          <w:tcPr>
            <w:tcW w:w="730"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7 </w:t>
            </w:r>
          </w:p>
        </w:tc>
        <w:tc>
          <w:tcPr>
            <w:tcW w:w="1828"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(三)审查</w:t>
            </w:r>
            <w:r>
              <w:rPr>
                <w:rFonts w:hint="eastAsia" w:ascii="宋体" w:hAnsi="宋体" w:eastAsia="宋体" w:cs="宋体"/>
                <w:kern w:val="0"/>
                <w:sz w:val="24"/>
                <w:szCs w:val="24"/>
              </w:rPr>
              <w:t xml:space="preserve"> </w:t>
            </w:r>
          </w:p>
        </w:tc>
        <w:tc>
          <w:tcPr>
            <w:tcW w:w="5978"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审理案件调查报告,对案件违法事实、证据、调查取证程序、法律适用、处罚种类和幅度、当事人陈述和申辩理由等方面进行审查,提出处理意见(主要证据不足时,以适当的方式补充调查)。 </w:t>
            </w:r>
          </w:p>
        </w:tc>
      </w:tr>
      <w:tr>
        <w:tblPrEx>
          <w:tblCellMar>
            <w:top w:w="0" w:type="dxa"/>
            <w:left w:w="0" w:type="dxa"/>
            <w:bottom w:w="0" w:type="dxa"/>
            <w:right w:w="0" w:type="dxa"/>
          </w:tblCellMar>
        </w:tblPrEx>
        <w:trPr>
          <w:trHeight w:val="435" w:hRule="atLeast"/>
          <w:tblCellSpacing w:w="0" w:type="dxa"/>
        </w:trPr>
        <w:tc>
          <w:tcPr>
            <w:tcW w:w="730"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8 </w:t>
            </w:r>
          </w:p>
        </w:tc>
        <w:tc>
          <w:tcPr>
            <w:tcW w:w="182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8"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构成犯罪的,移送司法机关依法追究刑事责任。 </w:t>
            </w:r>
          </w:p>
        </w:tc>
      </w:tr>
      <w:tr>
        <w:tblPrEx>
          <w:tblCellMar>
            <w:top w:w="0" w:type="dxa"/>
            <w:left w:w="0" w:type="dxa"/>
            <w:bottom w:w="0" w:type="dxa"/>
            <w:right w:w="0" w:type="dxa"/>
          </w:tblCellMar>
        </w:tblPrEx>
        <w:trPr>
          <w:trHeight w:val="795" w:hRule="atLeast"/>
          <w:tblCellSpacing w:w="0" w:type="dxa"/>
        </w:trPr>
        <w:tc>
          <w:tcPr>
            <w:tcW w:w="730"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9 </w:t>
            </w:r>
          </w:p>
        </w:tc>
        <w:tc>
          <w:tcPr>
            <w:tcW w:w="1828"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(四)告知</w:t>
            </w:r>
            <w:r>
              <w:rPr>
                <w:rFonts w:hint="eastAsia" w:ascii="宋体" w:hAnsi="宋体" w:eastAsia="宋体" w:cs="宋体"/>
                <w:kern w:val="0"/>
                <w:sz w:val="24"/>
                <w:szCs w:val="24"/>
              </w:rPr>
              <w:t xml:space="preserve"> </w:t>
            </w:r>
          </w:p>
        </w:tc>
        <w:tc>
          <w:tcPr>
            <w:tcW w:w="5978"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在作出行政处罚前,应告知当事人作出行政处罚决定的事实、理由及依据,并告知当事人依法享有的权利。 </w:t>
            </w:r>
          </w:p>
        </w:tc>
      </w:tr>
      <w:tr>
        <w:tblPrEx>
          <w:tblCellMar>
            <w:top w:w="0" w:type="dxa"/>
            <w:left w:w="0" w:type="dxa"/>
            <w:bottom w:w="0" w:type="dxa"/>
            <w:right w:w="0" w:type="dxa"/>
          </w:tblCellMar>
        </w:tblPrEx>
        <w:trPr>
          <w:trHeight w:val="675" w:hRule="atLeast"/>
          <w:tblCellSpacing w:w="0" w:type="dxa"/>
        </w:trPr>
        <w:tc>
          <w:tcPr>
            <w:tcW w:w="730"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10 </w:t>
            </w:r>
          </w:p>
        </w:tc>
        <w:tc>
          <w:tcPr>
            <w:tcW w:w="182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8"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依法告知当事人有举行听证的权利,当事人要求听证的,应当依法组织听证。 </w:t>
            </w:r>
          </w:p>
        </w:tc>
      </w:tr>
      <w:tr>
        <w:tblPrEx>
          <w:tblCellMar>
            <w:top w:w="0" w:type="dxa"/>
            <w:left w:w="0" w:type="dxa"/>
            <w:bottom w:w="0" w:type="dxa"/>
            <w:right w:w="0" w:type="dxa"/>
          </w:tblCellMar>
        </w:tblPrEx>
        <w:trPr>
          <w:trHeight w:val="1020" w:hRule="atLeast"/>
          <w:tblCellSpacing w:w="0" w:type="dxa"/>
        </w:trPr>
        <w:tc>
          <w:tcPr>
            <w:tcW w:w="730"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11 </w:t>
            </w:r>
          </w:p>
        </w:tc>
        <w:tc>
          <w:tcPr>
            <w:tcW w:w="1828"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(五)决定</w:t>
            </w:r>
            <w:r>
              <w:rPr>
                <w:rFonts w:hint="eastAsia" w:ascii="宋体" w:hAnsi="宋体" w:eastAsia="宋体" w:cs="宋体"/>
                <w:kern w:val="0"/>
                <w:sz w:val="24"/>
                <w:szCs w:val="24"/>
              </w:rPr>
              <w:t xml:space="preserve"> </w:t>
            </w:r>
          </w:p>
        </w:tc>
        <w:tc>
          <w:tcPr>
            <w:tcW w:w="5978"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充分听取当事人的意见,对当事人提出的事实、理由和证据,应当进行复核;当事人提出的事实、理由或者证据成立的,应当</w:t>
            </w:r>
            <w:r>
              <w:rPr>
                <w:rFonts w:hint="eastAsia" w:ascii="宋体" w:hAnsi="宋体" w:eastAsia="宋体" w:cs="宋体"/>
                <w:color w:val="000000"/>
                <w:kern w:val="0"/>
                <w:sz w:val="24"/>
                <w:szCs w:val="24"/>
              </w:rPr>
              <w:t>采纳,不得因当事人申辩而加重处罚。</w:t>
            </w:r>
            <w:r>
              <w:rPr>
                <w:rFonts w:hint="eastAsia" w:ascii="宋体" w:hAnsi="宋体" w:eastAsia="宋体" w:cs="宋体"/>
                <w:kern w:val="0"/>
                <w:sz w:val="24"/>
                <w:szCs w:val="24"/>
              </w:rPr>
              <w:t xml:space="preserve"> </w:t>
            </w:r>
          </w:p>
        </w:tc>
      </w:tr>
      <w:tr>
        <w:tblPrEx>
          <w:tblCellMar>
            <w:top w:w="0" w:type="dxa"/>
            <w:left w:w="0" w:type="dxa"/>
            <w:bottom w:w="0" w:type="dxa"/>
            <w:right w:w="0" w:type="dxa"/>
          </w:tblCellMar>
        </w:tblPrEx>
        <w:trPr>
          <w:trHeight w:val="765" w:hRule="atLeast"/>
          <w:tblCellSpacing w:w="0" w:type="dxa"/>
        </w:trPr>
        <w:tc>
          <w:tcPr>
            <w:tcW w:w="730"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12 </w:t>
            </w:r>
          </w:p>
        </w:tc>
        <w:tc>
          <w:tcPr>
            <w:tcW w:w="182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8"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对情节复杂或者重大违法行为给予较重的行政处罚,应当集体讨论决定。 </w:t>
            </w:r>
          </w:p>
        </w:tc>
      </w:tr>
      <w:tr>
        <w:tblPrEx>
          <w:tblCellMar>
            <w:top w:w="0" w:type="dxa"/>
            <w:left w:w="0" w:type="dxa"/>
            <w:bottom w:w="0" w:type="dxa"/>
            <w:right w:w="0" w:type="dxa"/>
          </w:tblCellMar>
        </w:tblPrEx>
        <w:trPr>
          <w:trHeight w:val="555" w:hRule="atLeast"/>
          <w:tblCellSpacing w:w="0" w:type="dxa"/>
        </w:trPr>
        <w:tc>
          <w:tcPr>
            <w:tcW w:w="730"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13 </w:t>
            </w:r>
          </w:p>
        </w:tc>
        <w:tc>
          <w:tcPr>
            <w:tcW w:w="182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8"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依法决定给予行政处罚,制作行政处罚决定书,并在处罚决定书中告知对处罚决定不服的可以依法申请行政复议或者提起行政诉讼。 </w:t>
            </w:r>
          </w:p>
        </w:tc>
      </w:tr>
      <w:tr>
        <w:tblPrEx>
          <w:tblCellMar>
            <w:top w:w="0" w:type="dxa"/>
            <w:left w:w="0" w:type="dxa"/>
            <w:bottom w:w="0" w:type="dxa"/>
            <w:right w:w="0" w:type="dxa"/>
          </w:tblCellMar>
        </w:tblPrEx>
        <w:trPr>
          <w:trHeight w:val="750" w:hRule="atLeast"/>
          <w:tblCellSpacing w:w="0" w:type="dxa"/>
        </w:trPr>
        <w:tc>
          <w:tcPr>
            <w:tcW w:w="730"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14 </w:t>
            </w:r>
          </w:p>
        </w:tc>
        <w:tc>
          <w:tcPr>
            <w:tcW w:w="1828"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p>
        </w:tc>
        <w:tc>
          <w:tcPr>
            <w:tcW w:w="5978"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ascii="宋体" w:hAnsi="宋体" w:eastAsia="宋体" w:cs="宋体"/>
                <w:kern w:val="0"/>
                <w:sz w:val="24"/>
                <w:szCs w:val="24"/>
              </w:rPr>
            </w:pPr>
            <w:r>
              <w:rPr>
                <w:rFonts w:hint="eastAsia" w:ascii="宋体" w:hAnsi="宋体" w:eastAsia="宋体" w:cs="宋体"/>
                <w:kern w:val="0"/>
                <w:sz w:val="24"/>
                <w:szCs w:val="24"/>
              </w:rPr>
              <w:t xml:space="preserve">      对当事人的同一个违法行为,不得给予两次以上罚款的行政处罚。 </w:t>
            </w:r>
          </w:p>
        </w:tc>
      </w:tr>
      <w:tr>
        <w:tblPrEx>
          <w:tblCellMar>
            <w:top w:w="0" w:type="dxa"/>
            <w:left w:w="0" w:type="dxa"/>
            <w:bottom w:w="0" w:type="dxa"/>
            <w:right w:w="0" w:type="dxa"/>
          </w:tblCellMar>
        </w:tblPrEx>
        <w:trPr>
          <w:trHeight w:val="735" w:hRule="atLeast"/>
          <w:tblCellSpacing w:w="0" w:type="dxa"/>
        </w:trPr>
        <w:tc>
          <w:tcPr>
            <w:tcW w:w="730"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15 </w:t>
            </w:r>
          </w:p>
        </w:tc>
        <w:tc>
          <w:tcPr>
            <w:tcW w:w="182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8"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实施行政处罚时,应当责令当事人改正或者限期改正违法行为。 </w:t>
            </w:r>
          </w:p>
        </w:tc>
      </w:tr>
      <w:tr>
        <w:tblPrEx>
          <w:tblCellMar>
            <w:top w:w="0" w:type="dxa"/>
            <w:left w:w="0" w:type="dxa"/>
            <w:bottom w:w="0" w:type="dxa"/>
            <w:right w:w="0" w:type="dxa"/>
          </w:tblCellMar>
        </w:tblPrEx>
        <w:trPr>
          <w:trHeight w:val="1065" w:hRule="atLeast"/>
          <w:tblCellSpacing w:w="0" w:type="dxa"/>
        </w:trPr>
        <w:tc>
          <w:tcPr>
            <w:tcW w:w="730"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16 </w:t>
            </w:r>
          </w:p>
        </w:tc>
        <w:tc>
          <w:tcPr>
            <w:tcW w:w="1828"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(六)送达</w:t>
            </w:r>
            <w:r>
              <w:rPr>
                <w:rFonts w:hint="eastAsia" w:ascii="宋体" w:hAnsi="宋体" w:eastAsia="宋体" w:cs="宋体"/>
                <w:kern w:val="0"/>
                <w:sz w:val="24"/>
                <w:szCs w:val="24"/>
              </w:rPr>
              <w:t xml:space="preserve"> </w:t>
            </w:r>
          </w:p>
        </w:tc>
        <w:tc>
          <w:tcPr>
            <w:tcW w:w="5978"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行政处罚决定书应当在宣告后当场交付当事人;当事人不在场的,行政机关应当在7日内依照民事诉讼法的有关规定,将行政处罚决定书送达当事人。 </w:t>
            </w:r>
          </w:p>
        </w:tc>
      </w:tr>
      <w:tr>
        <w:tblPrEx>
          <w:tblCellMar>
            <w:top w:w="0" w:type="dxa"/>
            <w:left w:w="0" w:type="dxa"/>
            <w:bottom w:w="0" w:type="dxa"/>
            <w:right w:w="0" w:type="dxa"/>
          </w:tblCellMar>
        </w:tblPrEx>
        <w:trPr>
          <w:trHeight w:val="555" w:hRule="atLeast"/>
          <w:tblCellSpacing w:w="0" w:type="dxa"/>
        </w:trPr>
        <w:tc>
          <w:tcPr>
            <w:tcW w:w="730"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17 </w:t>
            </w:r>
          </w:p>
        </w:tc>
        <w:tc>
          <w:tcPr>
            <w:tcW w:w="1828"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(七)执行</w:t>
            </w:r>
            <w:r>
              <w:rPr>
                <w:rFonts w:hint="eastAsia" w:ascii="宋体" w:hAnsi="宋体" w:eastAsia="宋体" w:cs="宋体"/>
                <w:kern w:val="0"/>
                <w:sz w:val="24"/>
                <w:szCs w:val="24"/>
              </w:rPr>
              <w:t xml:space="preserve"> </w:t>
            </w:r>
          </w:p>
        </w:tc>
        <w:tc>
          <w:tcPr>
            <w:tcW w:w="5978"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使用法定部门制发的罚款、没收财物单据进行罚款、没收财物等处罚。 </w:t>
            </w:r>
          </w:p>
        </w:tc>
      </w:tr>
      <w:tr>
        <w:tblPrEx>
          <w:tblCellMar>
            <w:top w:w="0" w:type="dxa"/>
            <w:left w:w="0" w:type="dxa"/>
            <w:bottom w:w="0" w:type="dxa"/>
            <w:right w:w="0" w:type="dxa"/>
          </w:tblCellMar>
        </w:tblPrEx>
        <w:trPr>
          <w:trHeight w:val="540" w:hRule="atLeast"/>
          <w:tblCellSpacing w:w="0" w:type="dxa"/>
        </w:trPr>
        <w:tc>
          <w:tcPr>
            <w:tcW w:w="730"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18 </w:t>
            </w:r>
          </w:p>
        </w:tc>
        <w:tc>
          <w:tcPr>
            <w:tcW w:w="182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8"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对当事人的同一个违法行为,不得给予两次以上罚款的行政处罚。 </w:t>
            </w:r>
          </w:p>
        </w:tc>
      </w:tr>
      <w:tr>
        <w:tblPrEx>
          <w:tblCellMar>
            <w:top w:w="0" w:type="dxa"/>
            <w:left w:w="0" w:type="dxa"/>
            <w:bottom w:w="0" w:type="dxa"/>
            <w:right w:w="0" w:type="dxa"/>
          </w:tblCellMar>
        </w:tblPrEx>
        <w:trPr>
          <w:trHeight w:val="510" w:hRule="atLeast"/>
          <w:tblCellSpacing w:w="0" w:type="dxa"/>
        </w:trPr>
        <w:tc>
          <w:tcPr>
            <w:tcW w:w="730"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19 </w:t>
            </w:r>
          </w:p>
        </w:tc>
        <w:tc>
          <w:tcPr>
            <w:tcW w:w="182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8"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实施行政处罚时,应当责令当事人改正或者限期改正违法行为。 </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zZTJmYThiYmI3YzcxMWFiYzBiYTNmOWNiN2I1Y2YifQ=="/>
  </w:docVars>
  <w:rsids>
    <w:rsidRoot w:val="333C0E61"/>
    <w:rsid w:val="333C0E61"/>
    <w:rsid w:val="48FF2A0A"/>
    <w:rsid w:val="59372C8D"/>
    <w:rsid w:val="72C250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1106</Words>
  <Characters>1116</Characters>
  <Lines>0</Lines>
  <Paragraphs>0</Paragraphs>
  <TotalTime>2</TotalTime>
  <ScaleCrop>false</ScaleCrop>
  <LinksUpToDate>false</LinksUpToDate>
  <CharactersWithSpaces>1359</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2022-12-27T03:29:00Z</dcterms:created>
  <dc:creator>高妹纸</dc:creator>
  <cp:lastModifiedBy>高妹纸</cp:lastModifiedBy>
  <dcterms:modified xsi:type="dcterms:W3CDTF">2022-12-27T06:10:29Z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344CB63300204F4AB672CD0DDDF7B7B4</vt:lpwstr>
  </property>
</Properties>
</file>