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line="560" w:lineRule="exact"/>
        <w:jc w:val="left"/>
        <w:rPr>
          <w:rFonts w:hint="default"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r>
        <w:rPr>
          <w:rFonts w:hint="default" w:ascii="方正黑体_GBK" w:hAnsi="方正黑体_GBK" w:eastAsia="方正黑体_GBK" w:cs="方正黑体_GBK"/>
          <w:sz w:val="32"/>
          <w:szCs w:val="32"/>
          <w:lang w:val="en" w:eastAsia="zh-CN"/>
        </w:rPr>
        <w:t>1</w:t>
      </w:r>
    </w:p>
    <w:p>
      <w:pPr>
        <w:spacing w:line="460" w:lineRule="exact"/>
        <w:jc w:val="center"/>
        <w:rPr>
          <w:rFonts w:hint="eastAsia"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北京市水路运输行业信用评价标准（征求意见稿）</w:t>
      </w:r>
    </w:p>
    <w:p>
      <w:pPr>
        <w:jc w:val="center"/>
      </w:pPr>
    </w:p>
    <w:tbl>
      <w:tblPr>
        <w:tblStyle w:val="12"/>
        <w:tblW w:w="140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2800"/>
        <w:gridCol w:w="3084"/>
        <w:gridCol w:w="1250"/>
        <w:gridCol w:w="1800"/>
        <w:gridCol w:w="2416"/>
        <w:gridCol w:w="1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77" w:type="dxa"/>
            <w:tcBorders>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序号</w:t>
            </w:r>
          </w:p>
        </w:tc>
        <w:tc>
          <w:tcPr>
            <w:tcW w:w="2800" w:type="dxa"/>
            <w:tcBorders>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评价指标</w:t>
            </w:r>
          </w:p>
        </w:tc>
        <w:tc>
          <w:tcPr>
            <w:tcW w:w="3084" w:type="dxa"/>
            <w:tcBorders>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记分分值</w:t>
            </w:r>
          </w:p>
        </w:tc>
        <w:tc>
          <w:tcPr>
            <w:tcW w:w="1250" w:type="dxa"/>
            <w:tcBorders>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指标信息来源</w:t>
            </w:r>
          </w:p>
        </w:tc>
        <w:tc>
          <w:tcPr>
            <w:tcW w:w="1800" w:type="dxa"/>
            <w:tcBorders>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考核依据</w:t>
            </w:r>
          </w:p>
        </w:tc>
        <w:tc>
          <w:tcPr>
            <w:tcW w:w="2416" w:type="dxa"/>
            <w:tcBorders>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文件依据</w:t>
            </w:r>
          </w:p>
        </w:tc>
        <w:tc>
          <w:tcPr>
            <w:tcW w:w="1950" w:type="dxa"/>
            <w:tcBorders>
              <w:left w:val="single" w:color="000000" w:sz="4" w:space="0"/>
              <w:bottom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录入审核机构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vAlign w:val="center"/>
          </w:tcPr>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kern w:val="0"/>
                <w:sz w:val="32"/>
                <w:szCs w:val="32"/>
              </w:rPr>
              <w:t>第一部分：通用指标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4077" w:type="dxa"/>
            <w:gridSpan w:val="7"/>
            <w:tcBorders>
              <w:top w:val="single" w:color="000000" w:sz="4" w:space="0"/>
              <w:bottom w:val="single" w:color="000000" w:sz="4" w:space="0"/>
            </w:tcBorders>
            <w:vAlign w:val="center"/>
          </w:tcPr>
          <w:p>
            <w:pPr>
              <w:jc w:val="center"/>
              <w:rPr>
                <w:rFonts w:ascii="黑体" w:hAnsi="宋体" w:eastAsia="黑体" w:cs="黑体"/>
                <w:sz w:val="28"/>
                <w:szCs w:val="28"/>
              </w:rPr>
            </w:pPr>
            <w:r>
              <w:rPr>
                <w:rFonts w:hint="eastAsia" w:ascii="黑体" w:hAnsi="宋体" w:eastAsia="黑体" w:cs="黑体"/>
                <w:kern w:val="0"/>
                <w:sz w:val="28"/>
                <w:szCs w:val="28"/>
              </w:rPr>
              <w:t>加分指标，7项指标（加至50分）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vAlign w:val="center"/>
          </w:tcPr>
          <w:p>
            <w:pPr>
              <w:jc w:val="center"/>
              <w:rPr>
                <w:rFonts w:ascii="黑体" w:hAnsi="宋体" w:eastAsia="黑体" w:cs="黑体"/>
                <w:sz w:val="28"/>
                <w:szCs w:val="28"/>
              </w:rPr>
            </w:pPr>
            <w:r>
              <w:rPr>
                <w:rFonts w:hint="eastAsia" w:ascii="黑体" w:hAnsi="宋体" w:eastAsia="黑体" w:cs="黑体"/>
                <w:kern w:val="0"/>
                <w:sz w:val="28"/>
                <w:szCs w:val="28"/>
              </w:rPr>
              <w:t>经营状况，4项指标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序号</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评价指标</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记分分值</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指标信息来源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考核依据</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文件依据</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黑体" w:hAnsi="宋体" w:eastAsia="黑体" w:cs="黑体"/>
                <w:b/>
                <w:bCs/>
                <w:sz w:val="24"/>
              </w:rPr>
            </w:pPr>
            <w:r>
              <w:rPr>
                <w:rFonts w:hint="eastAsia" w:ascii="黑体" w:hAnsi="宋体" w:eastAsia="黑体" w:cs="黑体"/>
                <w:b/>
                <w:bCs/>
                <w:kern w:val="0"/>
                <w:sz w:val="24"/>
              </w:rPr>
              <w:t>录入审核机构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注册年限</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3～5年，加2分；</w:t>
            </w:r>
            <w:r>
              <w:rPr>
                <w:rFonts w:hint="eastAsia" w:ascii="仿宋_GB2312" w:hAnsi="宋体" w:eastAsia="仿宋_GB2312" w:cs="仿宋_GB2312"/>
                <w:kern w:val="0"/>
                <w:sz w:val="24"/>
              </w:rPr>
              <w:br w:type="textWrapping"/>
            </w:r>
            <w:r>
              <w:rPr>
                <w:rFonts w:hint="eastAsia" w:ascii="仿宋_GB2312" w:hAnsi="宋体" w:eastAsia="仿宋_GB2312" w:cs="仿宋_GB2312"/>
                <w:kern w:val="0"/>
                <w:sz w:val="24"/>
              </w:rPr>
              <w:t>5年及以上，加5分；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市场监管部门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注册登记信息</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2"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社保缴纳时长</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连续缴纳3年（每年补缴数不超过6个月）及以上，加5分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人力社保部门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社保缴纳记录</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公积金缴纳时长</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连续缴纳3年（每年补缴数不超过6个月）及以上，加5分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公积金管理部门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公积金缴纳记录</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税收缴纳时长</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连续缴纳3年及以上，加5分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税务缴纳记录</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vAlign w:val="center"/>
          </w:tcPr>
          <w:p>
            <w:pPr>
              <w:jc w:val="center"/>
              <w:rPr>
                <w:rFonts w:ascii="黑体" w:hAnsi="宋体" w:eastAsia="黑体" w:cs="黑体"/>
                <w:sz w:val="28"/>
                <w:szCs w:val="28"/>
              </w:rPr>
            </w:pPr>
            <w:r>
              <w:rPr>
                <w:rFonts w:hint="eastAsia" w:ascii="黑体" w:hAnsi="宋体" w:eastAsia="黑体" w:cs="黑体"/>
                <w:kern w:val="0"/>
                <w:sz w:val="28"/>
                <w:szCs w:val="28"/>
              </w:rPr>
              <w:t>守信激励，3项指标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2800"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A级纳税人</w:t>
            </w:r>
          </w:p>
        </w:tc>
        <w:tc>
          <w:tcPr>
            <w:tcW w:w="3084"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评价周期内，被评为A级纳税人的，加10分</w:t>
            </w:r>
          </w:p>
        </w:tc>
        <w:tc>
          <w:tcPr>
            <w:tcW w:w="1250"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税务部门</w:t>
            </w:r>
          </w:p>
        </w:tc>
        <w:tc>
          <w:tcPr>
            <w:tcW w:w="1800"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税务公告信息</w:t>
            </w:r>
          </w:p>
        </w:tc>
        <w:tc>
          <w:tcPr>
            <w:tcW w:w="241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慈善捐赠</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评价周期内，参与慈善捐赠的，加5分/次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民政部门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民政登记信息</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知识产权</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评价周期内，有发明专利的，加10分/个</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知识产权部门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专利证书</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《北京市开展信用分级分类监管工作的实施意见》</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大数据局系统对接或辖区行业管理部门录入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vAlign w:val="center"/>
          </w:tcPr>
          <w:p>
            <w:pPr>
              <w:jc w:val="center"/>
              <w:rPr>
                <w:rFonts w:ascii="黑体" w:hAnsi="宋体" w:eastAsia="黑体" w:cs="黑体"/>
                <w:sz w:val="28"/>
                <w:szCs w:val="28"/>
              </w:rPr>
            </w:pPr>
            <w:r>
              <w:rPr>
                <w:rFonts w:hint="eastAsia" w:ascii="黑体" w:hAnsi="宋体" w:eastAsia="黑体" w:cs="黑体"/>
                <w:kern w:val="0"/>
                <w:sz w:val="28"/>
                <w:szCs w:val="28"/>
              </w:rPr>
              <w:t>减分指标，9项指标（减至100分）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vAlign w:val="center"/>
          </w:tcPr>
          <w:p>
            <w:pPr>
              <w:jc w:val="center"/>
              <w:rPr>
                <w:rFonts w:ascii="黑体" w:hAnsi="宋体" w:eastAsia="黑体" w:cs="黑体"/>
                <w:sz w:val="28"/>
                <w:szCs w:val="28"/>
              </w:rPr>
            </w:pPr>
            <w:r>
              <w:rPr>
                <w:rFonts w:hint="eastAsia" w:ascii="黑体" w:hAnsi="宋体" w:eastAsia="黑体" w:cs="黑体"/>
                <w:kern w:val="0"/>
                <w:sz w:val="28"/>
                <w:szCs w:val="28"/>
              </w:rPr>
              <w:t>经营管理，6项指标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被列入经营异常名录的</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Style w:val="15"/>
                <w:rFonts w:hint="default" w:hAnsi="宋体"/>
                <w:color w:val="auto"/>
              </w:rPr>
              <w:t>评价周期内，被列入经营异常名录过的，扣20分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市场监管部门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市场监管公示信息</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《企业经营异常名录管理暂行办法》第一条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7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被认定为非正常户（税务）的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评价周期内，被认定为非正常户（税务）的，扣100分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税务公告信息</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《国家税务总局关于税收征管若干事项的公告》第三条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7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有逃避纳税义务行为的，但未达到非正常户的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扣30分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税务缴纳记录</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《中华人民共和国税收征收管理法》第三十八条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11</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未按照规定办理社会保险登记、变更登记或者注销登记，或者未按照规定申报应缴纳的社会保险费数额的</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扣30分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人力社保部门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行政处罚决定书</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《社会保险费征缴暂行条例》第二十三条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12</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违背信用承诺的</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扣50分/次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经信及其他有关部门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检查笔录及相关证据材料</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《北京市公共信用信息管理办法》第十条、第十一条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4"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13</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在行政办理中，提供虚假材料的</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扣50分/次</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经信及其他有关部门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检查笔录及相关证据材料</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《北京市公共信用信息管理办法》第十条、第十一条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077" w:type="dxa"/>
            <w:gridSpan w:val="7"/>
            <w:tcBorders>
              <w:top w:val="single" w:color="000000" w:sz="4" w:space="0"/>
              <w:bottom w:val="single" w:color="000000" w:sz="4" w:space="0"/>
            </w:tcBorders>
            <w:noWrap/>
            <w:vAlign w:val="center"/>
          </w:tcPr>
          <w:p>
            <w:pPr>
              <w:jc w:val="center"/>
              <w:rPr>
                <w:rFonts w:ascii="黑体" w:hAnsi="宋体" w:eastAsia="黑体" w:cs="黑体"/>
                <w:sz w:val="28"/>
                <w:szCs w:val="28"/>
              </w:rPr>
            </w:pPr>
            <w:r>
              <w:rPr>
                <w:rFonts w:hint="eastAsia" w:ascii="黑体" w:hAnsi="宋体" w:eastAsia="黑体" w:cs="黑体"/>
                <w:kern w:val="0"/>
                <w:sz w:val="28"/>
                <w:szCs w:val="28"/>
              </w:rPr>
              <w:t>人民法院及其他行政部门执行及处罚情况，3项指标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8" w:hRule="atLeast"/>
          <w:jc w:val="center"/>
        </w:trPr>
        <w:tc>
          <w:tcPr>
            <w:tcW w:w="7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14</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被人民法院列为失信被执行人的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扣30分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人民法院</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法院公告信息</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《最高人民法院关于公布失信被执行人名单信息的若干规定》第一条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法院被执行人信息查询平台系统对接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6" w:hRule="atLeast"/>
          <w:jc w:val="center"/>
        </w:trPr>
        <w:tc>
          <w:tcPr>
            <w:tcW w:w="7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15</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被其他行政部门实施行政强制执行的</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其他行政部门行政强制执行的（交通、公安交管部门除外），扣20分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经信及其他有关部门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行政强制执行</w:t>
            </w:r>
            <w:r>
              <w:rPr>
                <w:rFonts w:hint="eastAsia" w:ascii="仿宋_GB2312" w:hAnsi="宋体" w:eastAsia="仿宋_GB2312" w:cs="仿宋_GB2312"/>
                <w:kern w:val="0"/>
                <w:sz w:val="24"/>
              </w:rPr>
              <w:br w:type="textWrapping"/>
            </w:r>
            <w:r>
              <w:rPr>
                <w:rFonts w:hint="eastAsia" w:ascii="仿宋_GB2312" w:hAnsi="宋体" w:eastAsia="仿宋_GB2312" w:cs="仿宋_GB2312"/>
                <w:kern w:val="0"/>
                <w:sz w:val="24"/>
              </w:rPr>
              <w:t>通知书</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《北京市公共信用信息管理办法》第十条、第十一条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5" w:hRule="atLeast"/>
          <w:jc w:val="center"/>
        </w:trPr>
        <w:tc>
          <w:tcPr>
            <w:tcW w:w="777"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16</w:t>
            </w:r>
          </w:p>
        </w:tc>
        <w:tc>
          <w:tcPr>
            <w:tcW w:w="2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被其他行政部门实施行政处罚的</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其他行政部门行政处罚的（交通、公安交管部门除外），扣20分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经信及其他有关部门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行政处罚决定书</w:t>
            </w:r>
          </w:p>
        </w:tc>
        <w:tc>
          <w:tcPr>
            <w:tcW w:w="2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《北京市公共信用信息管理办法》第十条、第十一条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大数据局系统对接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noWrap/>
            <w:vAlign w:val="center"/>
          </w:tcPr>
          <w:p>
            <w:pPr>
              <w:jc w:val="center"/>
              <w:rPr>
                <w:rFonts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b/>
                <w:bCs/>
                <w:color w:val="000000"/>
                <w:kern w:val="0"/>
                <w:sz w:val="32"/>
                <w:szCs w:val="32"/>
              </w:rPr>
              <w:t>第二部分：</w:t>
            </w:r>
            <w:r>
              <w:rPr>
                <w:rFonts w:hint="eastAsia" w:ascii="方正小标宋简体" w:hAnsi="方正小标宋简体" w:eastAsia="方正小标宋简体" w:cs="方正小标宋简体"/>
                <w:b/>
                <w:bCs/>
                <w:color w:val="000000"/>
                <w:kern w:val="0"/>
                <w:sz w:val="32"/>
                <w:szCs w:val="32"/>
                <w:lang w:eastAsia="zh-CN"/>
              </w:rPr>
              <w:t>水路运输</w:t>
            </w:r>
            <w:r>
              <w:rPr>
                <w:rFonts w:hint="eastAsia" w:ascii="方正小标宋简体" w:hAnsi="方正小标宋简体" w:eastAsia="方正小标宋简体" w:cs="方正小标宋简体"/>
                <w:b/>
                <w:bCs/>
                <w:color w:val="000000"/>
                <w:kern w:val="0"/>
                <w:sz w:val="32"/>
                <w:szCs w:val="32"/>
              </w:rPr>
              <w:t>行业指标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4077" w:type="dxa"/>
            <w:gridSpan w:val="7"/>
            <w:tcBorders>
              <w:top w:val="single" w:color="000000" w:sz="4" w:space="0"/>
              <w:bottom w:val="single" w:color="000000" w:sz="4" w:space="0"/>
            </w:tcBorders>
            <w:noWrap/>
            <w:vAlign w:val="center"/>
          </w:tcPr>
          <w:p>
            <w:pPr>
              <w:spacing w:line="560" w:lineRule="exact"/>
              <w:jc w:val="center"/>
              <w:rPr>
                <w:rFonts w:ascii="黑体" w:hAnsi="宋体" w:eastAsia="黑体" w:cs="黑体"/>
                <w:color w:val="000000"/>
                <w:sz w:val="28"/>
                <w:szCs w:val="28"/>
              </w:rPr>
            </w:pPr>
            <w:r>
              <w:rPr>
                <w:rFonts w:hint="eastAsia" w:ascii="黑体" w:hAnsi="宋体" w:eastAsia="黑体" w:cs="黑体"/>
                <w:kern w:val="0"/>
                <w:sz w:val="28"/>
                <w:szCs w:val="28"/>
              </w:rPr>
              <w:t>加分指标，2个指标（加至100分为止）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序号</w:t>
            </w:r>
          </w:p>
        </w:tc>
        <w:tc>
          <w:tcPr>
            <w:tcW w:w="2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评价指标</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记分分值</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指标信息来源</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考核依据</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文件依据</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黑体" w:hAnsi="宋体" w:eastAsia="黑体" w:cs="黑体"/>
                <w:b/>
                <w:bCs/>
                <w:kern w:val="0"/>
                <w:sz w:val="24"/>
              </w:rPr>
              <w:t>录入审核机构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1</w:t>
            </w:r>
          </w:p>
        </w:tc>
        <w:tc>
          <w:tcPr>
            <w:tcW w:w="2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安全生产</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近三年未发生水上交通事故和船舶污染事故，加</w:t>
            </w:r>
            <w:r>
              <w:rPr>
                <w:rFonts w:hint="eastAsia" w:ascii="仿宋_GB2312" w:hAnsi="宋体" w:eastAsia="仿宋_GB2312" w:cs="仿宋_GB2312"/>
                <w:kern w:val="0"/>
                <w:sz w:val="24"/>
                <w:lang w:val="en-US" w:eastAsia="zh-CN"/>
              </w:rPr>
              <w:t>20</w:t>
            </w:r>
            <w:r>
              <w:rPr>
                <w:rFonts w:hint="eastAsia" w:ascii="仿宋_GB2312" w:hAnsi="宋体" w:eastAsia="仿宋_GB2312" w:cs="仿宋_GB2312"/>
                <w:kern w:val="0"/>
                <w:sz w:val="24"/>
              </w:rPr>
              <w:t>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辖区行业管理部门反馈情况</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鼓励项</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2</w:t>
            </w:r>
          </w:p>
        </w:tc>
        <w:tc>
          <w:tcPr>
            <w:tcW w:w="2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行业表彰</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市级以上，加30分/次</w:t>
            </w:r>
          </w:p>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区级，加10分/次</w:t>
            </w:r>
          </w:p>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行业协会表彰，5分/次</w:t>
            </w:r>
          </w:p>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收到市民锦旗或感谢信的，5分/次</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（因同一事由获多项表彰奖励的，不重复计算）</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获奖证书、表彰文件、锦旗或感谢信</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鼓励项</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noWrap/>
            <w:vAlign w:val="center"/>
          </w:tcPr>
          <w:p>
            <w:pPr>
              <w:jc w:val="center"/>
              <w:rPr>
                <w:rFonts w:ascii="黑体" w:hAnsi="宋体" w:eastAsia="黑体" w:cs="黑体"/>
                <w:color w:val="000000"/>
                <w:sz w:val="28"/>
                <w:szCs w:val="28"/>
              </w:rPr>
            </w:pPr>
            <w:r>
              <w:rPr>
                <w:rFonts w:hint="eastAsia" w:ascii="黑体" w:hAnsi="宋体" w:eastAsia="黑体" w:cs="黑体"/>
                <w:color w:val="000000"/>
                <w:kern w:val="0"/>
                <w:sz w:val="28"/>
                <w:szCs w:val="28"/>
              </w:rPr>
              <w:t>减分指标（减至350分为止）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noWrap/>
            <w:vAlign w:val="center"/>
          </w:tcPr>
          <w:p>
            <w:pPr>
              <w:jc w:val="center"/>
              <w:rPr>
                <w:rFonts w:ascii="黑体" w:hAnsi="宋体" w:eastAsia="黑体" w:cs="黑体"/>
                <w:color w:val="000000"/>
                <w:sz w:val="28"/>
                <w:szCs w:val="28"/>
              </w:rPr>
            </w:pPr>
            <w:r>
              <w:rPr>
                <w:rStyle w:val="16"/>
                <w:rFonts w:hint="default"/>
              </w:rPr>
              <w:t>安全生产，</w:t>
            </w:r>
            <w:r>
              <w:rPr>
                <w:rStyle w:val="16"/>
              </w:rPr>
              <w:t>5个</w:t>
            </w:r>
            <w:r>
              <w:rPr>
                <w:rStyle w:val="16"/>
                <w:rFonts w:hint="default"/>
              </w:rPr>
              <w:t>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3</w:t>
            </w:r>
          </w:p>
        </w:tc>
        <w:tc>
          <w:tcPr>
            <w:tcW w:w="2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水上交通事故</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发生</w:t>
            </w:r>
            <w:r>
              <w:rPr>
                <w:rFonts w:hint="eastAsia" w:ascii="仿宋_GB2312" w:hAnsi="宋体" w:eastAsia="仿宋_GB2312" w:cs="仿宋_GB2312"/>
                <w:color w:val="000000"/>
                <w:kern w:val="0"/>
                <w:sz w:val="24"/>
                <w:lang w:eastAsia="zh-CN"/>
              </w:rPr>
              <w:t>水上</w:t>
            </w:r>
            <w:r>
              <w:rPr>
                <w:rFonts w:ascii="仿宋_GB2312" w:hAnsi="宋体" w:eastAsia="仿宋_GB2312" w:cs="仿宋_GB2312"/>
                <w:color w:val="000000"/>
                <w:kern w:val="0"/>
                <w:sz w:val="24"/>
              </w:rPr>
              <w:t>交通</w:t>
            </w:r>
            <w:r>
              <w:rPr>
                <w:rFonts w:hint="eastAsia" w:ascii="仿宋_GB2312" w:hAnsi="宋体" w:eastAsia="仿宋_GB2312" w:cs="仿宋_GB2312"/>
                <w:color w:val="000000"/>
                <w:kern w:val="0"/>
                <w:sz w:val="24"/>
                <w:lang w:eastAsia="zh-CN"/>
              </w:rPr>
              <w:t>责任</w:t>
            </w:r>
            <w:r>
              <w:rPr>
                <w:rFonts w:ascii="仿宋_GB2312" w:hAnsi="宋体" w:eastAsia="仿宋_GB2312" w:cs="仿宋_GB2312"/>
                <w:color w:val="000000"/>
                <w:kern w:val="0"/>
                <w:sz w:val="24"/>
              </w:rPr>
              <w:t>事故</w:t>
            </w:r>
            <w:r>
              <w:rPr>
                <w:rFonts w:hint="eastAsia" w:ascii="仿宋_GB2312" w:hAnsi="宋体" w:eastAsia="仿宋_GB2312" w:cs="仿宋_GB2312"/>
                <w:color w:val="000000"/>
                <w:kern w:val="0"/>
                <w:sz w:val="24"/>
                <w:lang w:eastAsia="zh-CN"/>
              </w:rPr>
              <w:t>的</w:t>
            </w:r>
            <w:r>
              <w:rPr>
                <w:rFonts w:hint="eastAsia" w:ascii="仿宋_GB2312" w:hAnsi="宋体" w:eastAsia="仿宋_GB2312" w:cs="仿宋_GB2312"/>
                <w:color w:val="000000"/>
                <w:kern w:val="0"/>
                <w:sz w:val="24"/>
              </w:rPr>
              <w:t>，信用等级降为C级</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辖区行业管理部门反馈情况</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i w:val="0"/>
                <w:iCs w:val="0"/>
                <w:color w:val="000000"/>
                <w:kern w:val="2"/>
                <w:sz w:val="24"/>
                <w:szCs w:val="24"/>
                <w:u w:val="none"/>
                <w:lang w:val="en-US" w:eastAsia="zh-CN" w:bidi="ar-SA"/>
              </w:rPr>
              <w:t>《中华人民共和国内河交通事故调查处理规定》第十一条</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4</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船舶污染事故</w:t>
            </w:r>
          </w:p>
        </w:tc>
        <w:tc>
          <w:tcPr>
            <w:tcW w:w="308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lang w:val="en-US"/>
              </w:rPr>
            </w:pPr>
            <w:r>
              <w:rPr>
                <w:rFonts w:hint="eastAsia" w:ascii="仿宋_GB2312" w:hAnsi="宋体" w:eastAsia="仿宋_GB2312" w:cs="仿宋_GB2312"/>
                <w:kern w:val="0"/>
                <w:sz w:val="24"/>
                <w:lang w:val="en-US" w:eastAsia="zh-CN"/>
              </w:rPr>
              <w:t>违规向通航水域内排放污染物、生活垃圾，被批评教育、责令改正、行政约谈的，每起扣50分</w:t>
            </w:r>
          </w:p>
        </w:tc>
        <w:tc>
          <w:tcPr>
            <w:tcW w:w="12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rPr>
              <w:t>《中华人民共和国防治船舶污染内河水域环境管理规定》</w:t>
            </w:r>
            <w:r>
              <w:rPr>
                <w:rFonts w:hint="eastAsia" w:ascii="仿宋_GB2312" w:hAnsi="宋体" w:eastAsia="仿宋_GB2312" w:cs="仿宋_GB2312"/>
                <w:color w:val="000000"/>
                <w:kern w:val="0"/>
                <w:sz w:val="24"/>
                <w:lang w:eastAsia="zh-CN"/>
              </w:rPr>
              <w:t>第十三条</w:t>
            </w:r>
          </w:p>
        </w:tc>
        <w:tc>
          <w:tcPr>
            <w:tcW w:w="1950" w:type="dxa"/>
            <w:tcBorders>
              <w:top w:val="single" w:color="000000"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777" w:type="dxa"/>
            <w:vMerge w:val="continue"/>
            <w:tcBorders>
              <w:bottom w:val="single" w:color="000000" w:sz="4" w:space="0"/>
              <w:right w:val="single" w:color="000000" w:sz="4" w:space="0"/>
            </w:tcBorders>
            <w:noWrap/>
            <w:vAlign w:val="center"/>
          </w:tcPr>
          <w:p>
            <w:pPr>
              <w:widowControl/>
              <w:jc w:val="center"/>
              <w:textAlignment w:val="center"/>
            </w:pPr>
          </w:p>
        </w:tc>
        <w:tc>
          <w:tcPr>
            <w:tcW w:w="2800" w:type="dxa"/>
            <w:vMerge w:val="continue"/>
            <w:tcBorders>
              <w:left w:val="single" w:color="000000" w:sz="4" w:space="0"/>
              <w:bottom w:val="single" w:color="000000" w:sz="4" w:space="0"/>
              <w:right w:val="single" w:color="auto" w:sz="4" w:space="0"/>
            </w:tcBorders>
            <w:noWrap/>
            <w:vAlign w:val="center"/>
          </w:tcPr>
          <w:p>
            <w:pPr>
              <w:widowControl/>
              <w:jc w:val="center"/>
              <w:textAlignment w:val="center"/>
            </w:pPr>
          </w:p>
        </w:tc>
        <w:tc>
          <w:tcPr>
            <w:tcW w:w="3084" w:type="dxa"/>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lang w:val="en-US" w:eastAsia="zh-CN"/>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lang w:val="en-US" w:eastAsia="zh-CN"/>
              </w:rPr>
            </w:pPr>
            <w:r>
              <w:rPr>
                <w:rFonts w:hint="eastAsia" w:ascii="仿宋_GB2312" w:hAnsi="宋体" w:eastAsia="仿宋_GB2312" w:cs="仿宋_GB2312"/>
                <w:kern w:val="0"/>
                <w:sz w:val="24"/>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lang w:val="en-US" w:eastAsia="zh-CN"/>
              </w:rPr>
            </w:pPr>
            <w:r>
              <w:rPr>
                <w:rFonts w:hint="eastAsia" w:ascii="仿宋_GB2312" w:hAnsi="宋体" w:eastAsia="仿宋_GB2312" w:cs="仿宋_GB2312"/>
                <w:kern w:val="0"/>
                <w:sz w:val="24"/>
              </w:rPr>
              <w:t>行政处罚决定书</w:t>
            </w:r>
          </w:p>
        </w:tc>
        <w:tc>
          <w:tcPr>
            <w:tcW w:w="2416"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lang w:val="en-US" w:eastAsia="zh-CN"/>
              </w:rPr>
            </w:pPr>
            <w:r>
              <w:rPr>
                <w:rFonts w:hint="eastAsia" w:ascii="仿宋_GB2312" w:hAnsi="宋体" w:eastAsia="仿宋_GB2312" w:cs="仿宋_GB2312"/>
                <w:color w:val="000000"/>
                <w:kern w:val="0"/>
                <w:sz w:val="24"/>
              </w:rPr>
              <w:t>《中华人民共和国防治船舶污染内河水域环境管理规定》</w:t>
            </w:r>
            <w:r>
              <w:rPr>
                <w:rFonts w:hint="eastAsia" w:ascii="仿宋_GB2312" w:hAnsi="宋体" w:eastAsia="仿宋_GB2312" w:cs="仿宋_GB2312"/>
                <w:color w:val="000000"/>
                <w:kern w:val="0"/>
                <w:sz w:val="24"/>
                <w:lang w:val="en-US" w:eastAsia="zh-CN"/>
              </w:rPr>
              <w:t>第四十五条</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hint="eastAsia" w:ascii="仿宋_GB2312" w:hAnsi="宋体" w:eastAsia="仿宋_GB2312" w:cs="仿宋_GB2312"/>
                <w:kern w:val="0"/>
                <w:sz w:val="24"/>
                <w:lang w:val="en-US" w:eastAsia="zh-CN"/>
              </w:rPr>
            </w:pPr>
            <w:r>
              <w:rPr>
                <w:rFonts w:hint="eastAsia" w:ascii="仿宋_GB2312" w:hAnsi="宋体" w:eastAsia="仿宋_GB2312" w:cs="仿宋_GB2312"/>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5</w:t>
            </w:r>
          </w:p>
        </w:tc>
        <w:tc>
          <w:tcPr>
            <w:tcW w:w="28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未建立健全事故隐患排查治理制度</w:t>
            </w:r>
          </w:p>
        </w:tc>
        <w:tc>
          <w:tcPr>
            <w:tcW w:w="3084"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rPr>
              <w:t>，每起扣30分</w:t>
            </w:r>
          </w:p>
        </w:tc>
        <w:tc>
          <w:tcPr>
            <w:tcW w:w="1250"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《中华人民共和国安全生产法》第一百零一条；《北京市生产安全事故隐患排查治理办法》第二十七条</w:t>
            </w:r>
          </w:p>
        </w:tc>
        <w:tc>
          <w:tcPr>
            <w:tcW w:w="1950" w:type="dxa"/>
            <w:tcBorders>
              <w:top w:val="single" w:color="auto"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000000" w:sz="4" w:space="0"/>
              <w:right w:val="single" w:color="000000" w:sz="4" w:space="0"/>
            </w:tcBorders>
            <w:noWrap/>
            <w:vAlign w:val="center"/>
          </w:tcPr>
          <w:p>
            <w:pPr>
              <w:jc w:val="center"/>
              <w:rPr>
                <w:rFonts w:ascii="仿宋_GB2312" w:hAnsi="宋体" w:eastAsia="仿宋_GB2312" w:cs="仿宋_GB2312"/>
                <w:kern w:val="0"/>
                <w:sz w:val="24"/>
              </w:rPr>
            </w:pPr>
          </w:p>
        </w:tc>
        <w:tc>
          <w:tcPr>
            <w:tcW w:w="280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60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行政处罚决定书</w:t>
            </w:r>
          </w:p>
        </w:tc>
        <w:tc>
          <w:tcPr>
            <w:tcW w:w="2416"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jc w:val="center"/>
        </w:trPr>
        <w:tc>
          <w:tcPr>
            <w:tcW w:w="777" w:type="dxa"/>
            <w:vMerge w:val="restart"/>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28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未定期通报事故隐患排查治理情况，或者未公示重大事故隐患的危害程度、影响范围和应急措施</w:t>
            </w: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rPr>
              <w:t>，每起扣30分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《中华人民共和国安全生产法》第四十一条；</w:t>
            </w:r>
            <w:r>
              <w:rPr>
                <w:rFonts w:hint="eastAsia" w:ascii="仿宋_GB2312" w:hAnsi="宋体" w:eastAsia="仿宋_GB2312" w:cs="仿宋_GB2312"/>
                <w:color w:val="000000"/>
                <w:kern w:val="0"/>
                <w:sz w:val="24"/>
              </w:rPr>
              <w:t>《北京市生产安全事故隐患排查治理办法》第二十八条</w:t>
            </w: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777" w:type="dxa"/>
            <w:vMerge w:val="continue"/>
            <w:tcBorders>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p>
        </w:tc>
        <w:tc>
          <w:tcPr>
            <w:tcW w:w="3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60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行政处罚决定书</w:t>
            </w:r>
          </w:p>
        </w:tc>
        <w:tc>
          <w:tcPr>
            <w:tcW w:w="24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p>
        </w:tc>
        <w:tc>
          <w:tcPr>
            <w:tcW w:w="195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777" w:type="dxa"/>
            <w:vMerge w:val="restart"/>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280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主要负责人未履行事故隐患排查治理职责</w:t>
            </w:r>
          </w:p>
        </w:tc>
        <w:tc>
          <w:tcPr>
            <w:tcW w:w="308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rPr>
              <w:t>，每起扣30分</w:t>
            </w:r>
          </w:p>
        </w:tc>
        <w:tc>
          <w:tcPr>
            <w:tcW w:w="12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《中华人民共和国安全生产法》第二十一条；《北京市生产安全事故隐患排查治理办法》第二十六条</w:t>
            </w:r>
          </w:p>
        </w:tc>
        <w:tc>
          <w:tcPr>
            <w:tcW w:w="1950" w:type="dxa"/>
            <w:tcBorders>
              <w:top w:val="single" w:color="000000" w:sz="4" w:space="0"/>
              <w:left w:val="single" w:color="000000" w:sz="4" w:space="0"/>
              <w:bottom w:val="single" w:color="auto"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8" w:hRule="atLeast"/>
          <w:jc w:val="center"/>
        </w:trPr>
        <w:tc>
          <w:tcPr>
            <w:tcW w:w="777" w:type="dxa"/>
            <w:vMerge w:val="continue"/>
            <w:tcBorders>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p>
        </w:tc>
        <w:tc>
          <w:tcPr>
            <w:tcW w:w="308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60</w:t>
            </w:r>
            <w:r>
              <w:rPr>
                <w:rFonts w:hint="eastAsia" w:ascii="仿宋_GB2312" w:hAnsi="宋体" w:eastAsia="仿宋_GB2312" w:cs="仿宋_GB2312"/>
                <w:color w:val="000000"/>
                <w:kern w:val="0"/>
                <w:sz w:val="24"/>
              </w:rPr>
              <w:t>分</w:t>
            </w:r>
          </w:p>
        </w:tc>
        <w:tc>
          <w:tcPr>
            <w:tcW w:w="12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交通执法部门</w:t>
            </w:r>
          </w:p>
        </w:tc>
        <w:tc>
          <w:tcPr>
            <w:tcW w:w="180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行政处罚决定书</w:t>
            </w:r>
          </w:p>
        </w:tc>
        <w:tc>
          <w:tcPr>
            <w:tcW w:w="24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rPr>
            </w:pPr>
          </w:p>
        </w:tc>
        <w:tc>
          <w:tcPr>
            <w:tcW w:w="1950" w:type="dxa"/>
            <w:tcBorders>
              <w:top w:val="single" w:color="auto"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077" w:type="dxa"/>
            <w:gridSpan w:val="7"/>
            <w:tcBorders>
              <w:top w:val="single" w:color="000000" w:sz="4" w:space="0"/>
              <w:bottom w:val="single" w:color="000000" w:sz="4" w:space="0"/>
            </w:tcBorders>
            <w:noWrap/>
            <w:vAlign w:val="center"/>
          </w:tcPr>
          <w:p>
            <w:pPr>
              <w:jc w:val="center"/>
              <w:rPr>
                <w:rFonts w:ascii="黑体" w:hAnsi="宋体" w:eastAsia="黑体" w:cs="黑体"/>
                <w:color w:val="000000"/>
                <w:sz w:val="28"/>
                <w:szCs w:val="28"/>
              </w:rPr>
            </w:pPr>
            <w:r>
              <w:rPr>
                <w:rStyle w:val="16"/>
                <w:rFonts w:hint="default"/>
              </w:rPr>
              <w:t>经营管理，</w:t>
            </w:r>
            <w:r>
              <w:rPr>
                <w:rStyle w:val="16"/>
                <w:rFonts w:hint="eastAsia" w:eastAsia="黑体"/>
                <w:lang w:val="en-US" w:eastAsia="zh-CN"/>
              </w:rPr>
              <w:t>11</w:t>
            </w:r>
            <w:r>
              <w:rPr>
                <w:rStyle w:val="16"/>
              </w:rPr>
              <w:t>个</w:t>
            </w:r>
            <w:r>
              <w:rPr>
                <w:rStyle w:val="16"/>
                <w:rFonts w:hint="default"/>
              </w:rPr>
              <w:t>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8</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不遵守海事管理部门发布的在气候水文条件不佳时停航的决定</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管理部门发布大风等恶劣天气预警后，未及时采取停航等措施，</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rPr>
              <w:t>，</w:t>
            </w:r>
            <w:r>
              <w:rPr>
                <w:rFonts w:hint="eastAsia" w:ascii="仿宋_GB2312" w:hAnsi="宋体" w:eastAsia="仿宋_GB2312" w:cs="仿宋_GB2312"/>
                <w:color w:val="000000"/>
                <w:kern w:val="0"/>
                <w:sz w:val="24"/>
              </w:rPr>
              <w:t>每起扣50分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《北京市水域游船安全管理规定》第二条第八款</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由交通执法部门查处，被处罚款的，扣100分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行政处罚决定书</w:t>
            </w:r>
          </w:p>
        </w:tc>
        <w:tc>
          <w:tcPr>
            <w:tcW w:w="241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7"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9</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船舶存在超员载客现象</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船舶发生超员载客现象，</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rPr>
              <w:t>每起扣50分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《北京市水域游船安全管理规定》第二条第一款</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7" w:type="dxa"/>
            <w:vMerge w:val="continue"/>
            <w:tcBorders>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由交通执法部门查处，被处罚款的，扣100分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行政处罚决定书</w:t>
            </w:r>
          </w:p>
        </w:tc>
        <w:tc>
          <w:tcPr>
            <w:tcW w:w="241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7"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10</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船舶未配备必要的</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航行资料</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自航船舶未配备船检证书</w:t>
            </w:r>
            <w:r>
              <w:rPr>
                <w:rFonts w:hint="eastAsia" w:ascii="仿宋_GB2312" w:hAnsi="宋体" w:eastAsia="仿宋_GB2312" w:cs="仿宋_GB2312"/>
                <w:color w:val="000000"/>
                <w:kern w:val="0"/>
                <w:sz w:val="24"/>
                <w:lang w:eastAsia="zh-CN"/>
              </w:rPr>
              <w:t>、</w:t>
            </w:r>
            <w:r>
              <w:rPr>
                <w:rFonts w:hint="eastAsia" w:ascii="仿宋_GB2312" w:hAnsi="宋体" w:eastAsia="仿宋_GB2312" w:cs="仿宋_GB2312"/>
                <w:color w:val="000000"/>
                <w:kern w:val="0"/>
                <w:sz w:val="24"/>
              </w:rPr>
              <w:t>船检证书过期</w:t>
            </w:r>
            <w:r>
              <w:rPr>
                <w:rFonts w:hint="eastAsia" w:ascii="仿宋_GB2312" w:hAnsi="宋体" w:eastAsia="仿宋_GB2312" w:cs="仿宋_GB2312"/>
                <w:color w:val="000000"/>
                <w:kern w:val="0"/>
                <w:sz w:val="24"/>
                <w:lang w:eastAsia="zh-CN"/>
              </w:rPr>
              <w:t>或</w:t>
            </w:r>
            <w:r>
              <w:rPr>
                <w:rFonts w:hint="eastAsia" w:ascii="仿宋_GB2312" w:hAnsi="宋体" w:eastAsia="仿宋_GB2312" w:cs="仿宋_GB2312"/>
                <w:color w:val="000000"/>
                <w:kern w:val="0"/>
                <w:sz w:val="24"/>
              </w:rPr>
              <w:t>非自航船舶未经辖区海事管理部门检验投入运营</w:t>
            </w:r>
            <w:r>
              <w:rPr>
                <w:rFonts w:hint="eastAsia" w:ascii="仿宋_GB2312" w:hAnsi="宋体" w:eastAsia="仿宋_GB2312" w:cs="仿宋_GB2312"/>
                <w:color w:val="000000"/>
                <w:kern w:val="0"/>
                <w:sz w:val="24"/>
                <w:lang w:eastAsia="zh-CN"/>
              </w:rPr>
              <w:t>，</w:t>
            </w:r>
            <w:r>
              <w:rPr>
                <w:rFonts w:hint="eastAsia" w:ascii="仿宋_GB2312" w:hAnsi="宋体" w:eastAsia="仿宋_GB2312" w:cs="仿宋_GB2312"/>
                <w:kern w:val="0"/>
                <w:sz w:val="24"/>
                <w:lang w:val="en-US" w:eastAsia="zh-CN"/>
              </w:rPr>
              <w:t>被批评教育、责令改正、行政约谈</w:t>
            </w:r>
            <w:r>
              <w:rPr>
                <w:rFonts w:hint="eastAsia" w:ascii="仿宋_GB2312" w:hAnsi="宋体" w:eastAsia="仿宋_GB2312" w:cs="仿宋_GB2312"/>
                <w:kern w:val="0"/>
                <w:sz w:val="24"/>
              </w:rPr>
              <w:t>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rPr>
              <w:t>每起扣50分。自航船舶未按要求喷涂船名或载重线</w:t>
            </w:r>
            <w:r>
              <w:rPr>
                <w:rFonts w:hint="eastAsia" w:ascii="仿宋_GB2312" w:hAnsi="宋体" w:eastAsia="仿宋_GB2312" w:cs="仿宋_GB2312"/>
                <w:color w:val="000000"/>
                <w:kern w:val="0"/>
                <w:sz w:val="24"/>
                <w:lang w:eastAsia="zh-CN"/>
              </w:rPr>
              <w:t>或</w:t>
            </w:r>
            <w:r>
              <w:rPr>
                <w:rFonts w:hint="eastAsia" w:ascii="仿宋_GB2312" w:hAnsi="宋体" w:eastAsia="仿宋_GB2312" w:cs="仿宋_GB2312"/>
                <w:color w:val="000000"/>
                <w:kern w:val="0"/>
                <w:sz w:val="24"/>
              </w:rPr>
              <w:t>非自航船舶未配备船名牌，</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rPr>
              <w:t>每起扣</w:t>
            </w:r>
            <w:r>
              <w:rPr>
                <w:rFonts w:hint="eastAsia" w:ascii="仿宋_GB2312" w:hAnsi="宋体" w:eastAsia="仿宋_GB2312" w:cs="仿宋_GB2312"/>
                <w:color w:val="000000"/>
                <w:kern w:val="0"/>
                <w:sz w:val="24"/>
                <w:lang w:val="en-US" w:eastAsia="zh-CN"/>
              </w:rPr>
              <w:t>50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i w:val="0"/>
                <w:iCs w:val="0"/>
                <w:color w:val="000000"/>
                <w:kern w:val="2"/>
                <w:sz w:val="24"/>
                <w:szCs w:val="24"/>
                <w:u w:val="none"/>
                <w:lang w:val="en-US" w:eastAsia="zh-CN" w:bidi="ar-SA"/>
              </w:rPr>
              <w:t>《中华人民共和国内河交通安全管理条例》第六十四条</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4" w:hRule="atLeast"/>
          <w:jc w:val="center"/>
        </w:trPr>
        <w:tc>
          <w:tcPr>
            <w:tcW w:w="777" w:type="dxa"/>
            <w:vMerge w:val="continue"/>
            <w:tcBorders>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行政处罚决定书</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《中华人民共和国内河交通安全管理条例》第六十五条</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船员未配备必要的</w:t>
            </w:r>
          </w:p>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i w:val="0"/>
                <w:iCs w:val="0"/>
                <w:color w:val="000000"/>
                <w:kern w:val="0"/>
                <w:sz w:val="24"/>
                <w:szCs w:val="24"/>
                <w:u w:val="none"/>
                <w:lang w:val="en-US" w:eastAsia="zh-CN" w:bidi="ar"/>
              </w:rPr>
              <w:t>航行资料</w:t>
            </w: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000000"/>
                <w:kern w:val="0"/>
                <w:sz w:val="24"/>
                <w:lang w:val="en-US"/>
              </w:rPr>
            </w:pPr>
            <w:r>
              <w:rPr>
                <w:rFonts w:hint="eastAsia" w:ascii="仿宋_GB2312" w:hAnsi="宋体" w:eastAsia="仿宋_GB2312" w:cs="仿宋_GB2312"/>
                <w:i w:val="0"/>
                <w:iCs w:val="0"/>
                <w:color w:val="000000"/>
                <w:kern w:val="0"/>
                <w:sz w:val="24"/>
                <w:szCs w:val="24"/>
                <w:u w:val="none"/>
                <w:lang w:val="en-US" w:eastAsia="zh-CN" w:bidi="ar"/>
              </w:rPr>
              <w:t>自航船舶船员未配备必要的适任证件，</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i w:val="0"/>
                <w:iCs w:val="0"/>
                <w:color w:val="000000"/>
                <w:kern w:val="0"/>
                <w:sz w:val="24"/>
                <w:szCs w:val="24"/>
                <w:u w:val="none"/>
                <w:lang w:val="en-US" w:eastAsia="zh-CN" w:bidi="ar"/>
              </w:rPr>
              <w:t>每起扣50分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《中华人民共和国内河交通安全管理条例》第六十六条</w:t>
            </w: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rPr>
            </w:pPr>
          </w:p>
        </w:tc>
        <w:tc>
          <w:tcPr>
            <w:tcW w:w="280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3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交通执法部门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行政处罚决定书</w:t>
            </w:r>
          </w:p>
        </w:tc>
        <w:tc>
          <w:tcPr>
            <w:tcW w:w="241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c>
          <w:tcPr>
            <w:tcW w:w="1950" w:type="dxa"/>
            <w:tcBorders>
              <w:top w:val="single" w:color="000000" w:sz="4" w:space="0"/>
              <w:left w:val="single" w:color="000000" w:sz="4" w:space="0"/>
              <w:bottom w:val="single" w:color="000000" w:sz="4" w:space="0"/>
            </w:tcBorders>
            <w:noWrap/>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000000"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12</w:t>
            </w:r>
          </w:p>
        </w:tc>
        <w:tc>
          <w:tcPr>
            <w:tcW w:w="28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auto"/>
                <w:kern w:val="0"/>
                <w:sz w:val="24"/>
              </w:rPr>
              <w:t>游船码头未按要求设置必要的安全措施</w:t>
            </w:r>
          </w:p>
        </w:tc>
        <w:tc>
          <w:tcPr>
            <w:tcW w:w="308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highlight w:val="none"/>
              </w:rPr>
              <w:t>游船码头未设置防滑、消防和救生设备等安全防护措施</w:t>
            </w:r>
            <w:r>
              <w:rPr>
                <w:rFonts w:hint="eastAsia" w:ascii="仿宋_GB2312" w:hAnsi="宋体" w:eastAsia="仿宋_GB2312" w:cs="仿宋_GB2312"/>
                <w:color w:val="000000"/>
                <w:kern w:val="0"/>
                <w:sz w:val="24"/>
                <w:highlight w:val="none"/>
                <w:lang w:eastAsia="zh-CN"/>
              </w:rPr>
              <w:t>，</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highlight w:val="none"/>
                <w:lang w:eastAsia="zh-CN"/>
              </w:rPr>
              <w:t>，</w:t>
            </w:r>
            <w:r>
              <w:rPr>
                <w:rFonts w:hint="eastAsia" w:ascii="仿宋_GB2312" w:hAnsi="宋体" w:eastAsia="仿宋_GB2312" w:cs="仿宋_GB2312"/>
                <w:color w:val="000000"/>
                <w:kern w:val="0"/>
                <w:sz w:val="24"/>
                <w:highlight w:val="none"/>
              </w:rPr>
              <w:t>每起扣</w:t>
            </w:r>
            <w:r>
              <w:rPr>
                <w:rFonts w:hint="eastAsia" w:ascii="仿宋_GB2312" w:hAnsi="宋体" w:eastAsia="仿宋_GB2312" w:cs="仿宋_GB2312"/>
                <w:color w:val="000000"/>
                <w:kern w:val="0"/>
                <w:sz w:val="24"/>
                <w:highlight w:val="none"/>
                <w:lang w:val="en-US" w:eastAsia="zh-CN"/>
              </w:rPr>
              <w:t>50</w:t>
            </w:r>
            <w:r>
              <w:rPr>
                <w:rFonts w:hint="eastAsia" w:ascii="仿宋_GB2312" w:hAnsi="宋体" w:eastAsia="仿宋_GB2312" w:cs="仿宋_GB2312"/>
                <w:color w:val="000000"/>
                <w:kern w:val="0"/>
                <w:sz w:val="24"/>
                <w:highlight w:val="none"/>
              </w:rPr>
              <w:t>分</w:t>
            </w:r>
          </w:p>
        </w:tc>
        <w:tc>
          <w:tcPr>
            <w:tcW w:w="12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lang w:eastAsia="zh-CN"/>
              </w:rPr>
              <w:t>《</w:t>
            </w:r>
            <w:r>
              <w:rPr>
                <w:rFonts w:hint="eastAsia" w:ascii="仿宋_GB2312" w:hAnsi="宋体" w:eastAsia="仿宋_GB2312" w:cs="仿宋_GB2312"/>
                <w:color w:val="000000"/>
                <w:sz w:val="24"/>
                <w:lang w:val="en-US" w:eastAsia="zh-CN"/>
              </w:rPr>
              <w:t>北京市水域游船安全管理规定》第二条第五款、第四条第一款，</w:t>
            </w:r>
            <w:r>
              <w:rPr>
                <w:rFonts w:hint="eastAsia" w:ascii="仿宋_GB2312" w:hAnsi="宋体" w:eastAsia="仿宋_GB2312" w:cs="仿宋_GB2312"/>
                <w:color w:val="000000"/>
                <w:sz w:val="24"/>
              </w:rPr>
              <w:t>DB11/666-2009《游船码头安全设置规范》第4.5条</w:t>
            </w:r>
          </w:p>
        </w:tc>
        <w:tc>
          <w:tcPr>
            <w:tcW w:w="1950" w:type="dxa"/>
            <w:tcBorders>
              <w:top w:val="single" w:color="000000"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rP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auto"/>
                <w:kern w:val="0"/>
                <w:sz w:val="24"/>
              </w:rPr>
            </w:pPr>
          </w:p>
        </w:tc>
        <w:tc>
          <w:tcPr>
            <w:tcW w:w="3084"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交通执法部门</w:t>
            </w:r>
          </w:p>
        </w:tc>
        <w:tc>
          <w:tcPr>
            <w:tcW w:w="180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行政处罚决定书</w:t>
            </w:r>
          </w:p>
        </w:tc>
        <w:tc>
          <w:tcPr>
            <w:tcW w:w="2416"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lang w:eastAsia="zh-CN"/>
              </w:rPr>
            </w:pPr>
          </w:p>
        </w:tc>
        <w:tc>
          <w:tcPr>
            <w:tcW w:w="1950" w:type="dxa"/>
            <w:tcBorders>
              <w:top w:val="single" w:color="000000" w:sz="4" w:space="0"/>
              <w:left w:val="single" w:color="000000" w:sz="4" w:space="0"/>
              <w:bottom w:val="single" w:color="auto" w:sz="4" w:space="0"/>
            </w:tcBorders>
            <w:noWrap/>
            <w:vAlign w:val="center"/>
          </w:tcPr>
          <w:p>
            <w:pPr>
              <w:widowControl/>
              <w:jc w:val="center"/>
              <w:textAlignment w:val="center"/>
              <w:rPr>
                <w:rFonts w:hint="eastAsia" w:ascii="仿宋_GB2312" w:hAnsi="宋体" w:eastAsia="仿宋_GB2312" w:cs="仿宋_GB2312"/>
                <w:kern w:val="0"/>
                <w:sz w:val="24"/>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0" w:hRule="atLeast"/>
          <w:jc w:val="center"/>
        </w:trPr>
        <w:tc>
          <w:tcPr>
            <w:tcW w:w="777" w:type="dxa"/>
            <w:vMerge w:val="restart"/>
            <w:tcBorders>
              <w:top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lang w:val="en-US" w:eastAsia="zh-CN"/>
              </w:rPr>
            </w:pPr>
            <w:r>
              <w:rPr>
                <w:rFonts w:hint="eastAsia" w:ascii="仿宋_GB2312" w:hAnsi="宋体" w:eastAsia="仿宋_GB2312" w:cs="仿宋_GB2312"/>
                <w:kern w:val="0"/>
                <w:sz w:val="24"/>
                <w:highlight w:val="none"/>
                <w:lang w:val="en-US" w:eastAsia="zh-CN"/>
              </w:rPr>
              <w:t>13</w:t>
            </w:r>
          </w:p>
        </w:tc>
        <w:tc>
          <w:tcPr>
            <w:tcW w:w="2800"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在通航水域进行有关作业或者活动未经批准或备案</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color w:val="000000"/>
                <w:kern w:val="0"/>
                <w:sz w:val="24"/>
                <w:lang w:val="en-US"/>
              </w:rPr>
            </w:pPr>
            <w:r>
              <w:rPr>
                <w:rFonts w:hint="eastAsia" w:ascii="仿宋_GB2312" w:hAnsi="宋体" w:eastAsia="仿宋_GB2312" w:cs="仿宋_GB2312"/>
                <w:color w:val="000000"/>
                <w:kern w:val="0"/>
                <w:sz w:val="24"/>
                <w:lang w:eastAsia="zh-CN"/>
              </w:rPr>
              <w:t>在通航水域进行有关作业或活动未经批准或备案，或者未设置标志、显示信号，</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lang w:eastAsia="zh-CN"/>
              </w:rPr>
              <w:t>每起扣</w:t>
            </w:r>
            <w:r>
              <w:rPr>
                <w:rFonts w:hint="eastAsia" w:ascii="仿宋_GB2312" w:hAnsi="宋体" w:eastAsia="仿宋_GB2312" w:cs="仿宋_GB2312"/>
                <w:color w:val="000000"/>
                <w:kern w:val="0"/>
                <w:sz w:val="24"/>
                <w:lang w:val="en-US" w:eastAsia="zh-CN"/>
              </w:rPr>
              <w:t>50分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szCs w:val="24"/>
                <w:lang w:val="en-US" w:eastAsia="zh-CN" w:bidi="ar-SA"/>
              </w:rPr>
            </w:pPr>
            <w:r>
              <w:rPr>
                <w:rFonts w:hint="eastAsia" w:ascii="仿宋_GB2312" w:hAnsi="宋体" w:eastAsia="仿宋_GB2312" w:cs="仿宋_GB2312"/>
                <w:kern w:val="0"/>
                <w:sz w:val="24"/>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szCs w:val="24"/>
                <w:lang w:val="en-US" w:eastAsia="zh-CN" w:bidi="ar-SA"/>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i w:val="0"/>
                <w:iCs w:val="0"/>
                <w:color w:val="000000"/>
                <w:kern w:val="2"/>
                <w:sz w:val="24"/>
                <w:szCs w:val="24"/>
                <w:u w:val="none"/>
                <w:lang w:val="en-US" w:eastAsia="zh-CN" w:bidi="ar-SA"/>
              </w:rPr>
              <w:t>《中华人民共和国内河交通安全管理条例》第七十条</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0"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pPr>
          </w:p>
        </w:tc>
        <w:tc>
          <w:tcPr>
            <w:tcW w:w="3084"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rPr>
              <w:t>行政处罚决定书</w:t>
            </w:r>
          </w:p>
        </w:tc>
        <w:tc>
          <w:tcPr>
            <w:tcW w:w="241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auto" w:sz="4" w:space="0"/>
              <w:right w:val="single" w:color="000000"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14</w:t>
            </w:r>
          </w:p>
        </w:tc>
        <w:tc>
          <w:tcPr>
            <w:tcW w:w="2800"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未按要求配备救护船（艇）和救生人员的</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highlight w:val="none"/>
              </w:rPr>
              <w:t>未按航线长度、水域面积和船舶数量配备足额的救护船（艇）</w:t>
            </w:r>
            <w:r>
              <w:rPr>
                <w:rFonts w:hint="eastAsia" w:ascii="仿宋_GB2312" w:hAnsi="宋体" w:eastAsia="仿宋_GB2312" w:cs="仿宋_GB2312"/>
                <w:color w:val="000000"/>
                <w:kern w:val="0"/>
                <w:sz w:val="24"/>
                <w:highlight w:val="none"/>
                <w:lang w:eastAsia="zh-CN"/>
              </w:rPr>
              <w:t>或</w:t>
            </w:r>
            <w:r>
              <w:rPr>
                <w:rFonts w:hint="eastAsia" w:ascii="仿宋_GB2312" w:hAnsi="宋体" w:eastAsia="仿宋_GB2312" w:cs="仿宋_GB2312"/>
                <w:color w:val="000000"/>
                <w:kern w:val="0"/>
                <w:sz w:val="24"/>
              </w:rPr>
              <w:t>未按要求配备救生人员，</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rPr>
              <w:t>每起扣50分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eastAsia="zh-CN"/>
              </w:rPr>
              <w:t>《</w:t>
            </w:r>
            <w:r>
              <w:rPr>
                <w:rFonts w:hint="eastAsia" w:ascii="仿宋_GB2312" w:hAnsi="宋体" w:eastAsia="仿宋_GB2312" w:cs="仿宋_GB2312"/>
                <w:color w:val="000000"/>
                <w:sz w:val="24"/>
                <w:lang w:val="en-US" w:eastAsia="zh-CN"/>
              </w:rPr>
              <w:t>北京市水域游船安全管理规定》第二条第七款、第四条第一款，</w:t>
            </w:r>
            <w:r>
              <w:rPr>
                <w:rFonts w:hint="eastAsia" w:ascii="仿宋_GB2312" w:hAnsi="宋体" w:eastAsia="仿宋_GB2312" w:cs="仿宋_GB2312"/>
                <w:color w:val="000000"/>
                <w:sz w:val="24"/>
              </w:rPr>
              <w:t>DB11/T1322.42-2017 《安全生产等级评定技术规范 第42部分：水域游船单位》</w:t>
            </w:r>
            <w:r>
              <w:rPr>
                <w:rFonts w:hint="eastAsia" w:ascii="仿宋_GB2312" w:hAnsi="宋体" w:eastAsia="仿宋_GB2312" w:cs="仿宋_GB2312"/>
                <w:color w:val="000000"/>
                <w:sz w:val="24"/>
                <w:lang w:eastAsia="zh-CN"/>
              </w:rPr>
              <w:t>表</w:t>
            </w:r>
            <w:r>
              <w:rPr>
                <w:rFonts w:hint="eastAsia" w:ascii="仿宋_GB2312" w:hAnsi="宋体" w:eastAsia="仿宋_GB2312" w:cs="仿宋_GB2312"/>
                <w:color w:val="000000"/>
                <w:sz w:val="24"/>
                <w:lang w:val="en-US" w:eastAsia="zh-CN"/>
              </w:rPr>
              <w:t>D.1</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rP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rPr>
            </w:pP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rPr>
              <w:t>由交通执法部门查处，被处罚款的，</w:t>
            </w:r>
            <w:r>
              <w:rPr>
                <w:rFonts w:hint="eastAsia" w:ascii="仿宋_GB2312" w:hAnsi="宋体" w:eastAsia="仿宋_GB2312" w:cs="仿宋_GB2312"/>
                <w:color w:val="000000"/>
                <w:kern w:val="0"/>
                <w:sz w:val="24"/>
                <w:lang w:val="en-US" w:eastAsia="zh-CN"/>
              </w:rPr>
              <w:t>每起</w:t>
            </w:r>
            <w:r>
              <w:rPr>
                <w:rFonts w:hint="eastAsia" w:ascii="仿宋_GB2312" w:hAnsi="宋体" w:eastAsia="仿宋_GB2312" w:cs="仿宋_GB2312"/>
                <w:color w:val="000000"/>
                <w:kern w:val="0"/>
                <w:sz w:val="24"/>
              </w:rPr>
              <w:t>扣</w:t>
            </w:r>
            <w:r>
              <w:rPr>
                <w:rFonts w:hint="eastAsia" w:ascii="仿宋_GB2312" w:hAnsi="宋体" w:eastAsia="仿宋_GB2312" w:cs="仿宋_GB2312"/>
                <w:color w:val="000000"/>
                <w:kern w:val="0"/>
                <w:sz w:val="24"/>
                <w:lang w:val="en-US" w:eastAsia="zh-CN"/>
              </w:rPr>
              <w:t>100</w:t>
            </w:r>
            <w:r>
              <w:rPr>
                <w:rFonts w:hint="eastAsia" w:ascii="仿宋_GB2312" w:hAnsi="宋体" w:eastAsia="仿宋_GB2312" w:cs="仿宋_GB2312"/>
                <w:color w:val="000000"/>
                <w:kern w:val="0"/>
                <w:sz w:val="24"/>
              </w:rPr>
              <w:t>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仿宋_GB2312"/>
                <w:color w:val="000000"/>
                <w:kern w:val="0"/>
                <w:sz w:val="24"/>
              </w:rPr>
              <w:t>行政处罚决定书</w:t>
            </w:r>
          </w:p>
        </w:tc>
        <w:tc>
          <w:tcPr>
            <w:tcW w:w="2416"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2"/>
                <w:sz w:val="24"/>
                <w:szCs w:val="24"/>
                <w:lang w:val="en-US" w:eastAsia="zh-CN" w:bidi="ar-SA"/>
              </w:rPr>
            </w:pP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color w:val="000000"/>
                <w:kern w:val="0"/>
                <w:sz w:val="24"/>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highlight w:val="none"/>
                <w:lang w:val="en-US" w:eastAsia="zh-CN"/>
              </w:rPr>
            </w:pPr>
            <w:r>
              <w:rPr>
                <w:rFonts w:hint="eastAsia" w:ascii="仿宋_GB2312" w:hAnsi="宋体" w:eastAsia="仿宋_GB2312" w:cs="仿宋_GB2312"/>
                <w:kern w:val="0"/>
                <w:sz w:val="24"/>
                <w:highlight w:val="none"/>
                <w:lang w:val="en-US" w:eastAsia="zh-CN"/>
              </w:rPr>
              <w:t>15</w:t>
            </w:r>
          </w:p>
        </w:tc>
        <w:tc>
          <w:tcPr>
            <w:tcW w:w="2800"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未经许可擅自经营或者超越许可范围经营水路运输业务的</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highlight w:val="none"/>
              </w:rPr>
              <w:t>未经许可擅自经营或者超越许可范围经营水路运输业务</w:t>
            </w:r>
            <w:r>
              <w:rPr>
                <w:rFonts w:hint="eastAsia" w:ascii="仿宋_GB2312" w:hAnsi="宋体" w:eastAsia="仿宋_GB2312" w:cs="仿宋_GB2312"/>
                <w:color w:val="000000"/>
                <w:kern w:val="0"/>
                <w:sz w:val="24"/>
                <w:highlight w:val="none"/>
                <w:lang w:eastAsia="zh-CN"/>
              </w:rPr>
              <w:t>，</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_GB2312" w:hAnsi="宋体" w:eastAsia="仿宋_GB2312" w:cs="仿宋_GB2312"/>
                <w:color w:val="000000"/>
                <w:kern w:val="0"/>
                <w:sz w:val="24"/>
                <w:highlight w:val="none"/>
              </w:rPr>
              <w:t>扣50分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《国内水路运输管理条例》第三十三条</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由交通执法部门查处，被处罚款的，扣100分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行政处罚决定书</w:t>
            </w:r>
          </w:p>
        </w:tc>
        <w:tc>
          <w:tcPr>
            <w:tcW w:w="2416"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color w:val="000000"/>
                <w:kern w:val="0"/>
                <w:sz w:val="24"/>
                <w:highlight w:val="none"/>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restart"/>
            <w:tcBorders>
              <w:top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highlight w:val="none"/>
                <w:lang w:val="en-US" w:eastAsia="zh-CN"/>
              </w:rPr>
            </w:pPr>
            <w:r>
              <w:rPr>
                <w:rFonts w:hint="eastAsia" w:ascii="仿宋_GB2312" w:hAnsi="宋体" w:eastAsia="仿宋_GB2312" w:cs="仿宋_GB2312"/>
                <w:kern w:val="0"/>
                <w:sz w:val="24"/>
                <w:highlight w:val="none"/>
                <w:lang w:val="en-US" w:eastAsia="zh-CN"/>
              </w:rPr>
              <w:t>16</w:t>
            </w:r>
          </w:p>
        </w:tc>
        <w:tc>
          <w:tcPr>
            <w:tcW w:w="2800"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水路运输经营者使用未取得船舶营运证件的船舶从事水路运输的</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使用未取得船舶营运证件的船舶从事水路运输</w:t>
            </w:r>
            <w:r>
              <w:rPr>
                <w:rFonts w:hint="eastAsia" w:ascii="仿宋" w:hAnsi="仿宋" w:eastAsia="仿宋" w:cs="宋体"/>
                <w:kern w:val="0"/>
                <w:sz w:val="24"/>
                <w:highlight w:val="none"/>
                <w:lang w:eastAsia="zh-CN"/>
              </w:rPr>
              <w:t>，</w:t>
            </w:r>
            <w:r>
              <w:rPr>
                <w:rFonts w:hint="eastAsia" w:ascii="仿宋_GB2312" w:hAnsi="宋体" w:eastAsia="仿宋_GB2312" w:cs="仿宋_GB2312"/>
                <w:kern w:val="0"/>
                <w:sz w:val="24"/>
                <w:lang w:val="en-US" w:eastAsia="zh-CN"/>
              </w:rPr>
              <w:t>被批评教育、责令改正、行政约谈的</w:t>
            </w:r>
            <w:r>
              <w:rPr>
                <w:rFonts w:hint="eastAsia" w:ascii="仿宋_GB2312" w:hAnsi="宋体" w:eastAsia="仿宋_GB2312" w:cs="仿宋_GB2312"/>
                <w:kern w:val="0"/>
                <w:sz w:val="24"/>
                <w:lang w:eastAsia="zh-CN"/>
              </w:rPr>
              <w:t>，</w:t>
            </w:r>
            <w:r>
              <w:rPr>
                <w:rFonts w:hint="eastAsia" w:ascii="仿宋" w:hAnsi="仿宋" w:eastAsia="仿宋" w:cs="宋体"/>
                <w:kern w:val="0"/>
                <w:sz w:val="24"/>
                <w:highlight w:val="none"/>
              </w:rPr>
              <w:t>扣50分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highlight w:val="none"/>
              </w:rPr>
            </w:pPr>
            <w:r>
              <w:rPr>
                <w:rFonts w:hint="eastAsia" w:ascii="仿宋" w:hAnsi="仿宋" w:eastAsia="仿宋" w:cs="宋体"/>
                <w:kern w:val="0"/>
                <w:sz w:val="24"/>
                <w:highlight w:val="none"/>
              </w:rPr>
              <w:t>《国内水路运输管理条例》第三十四条</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5"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由交通执法部门查处，被处罚款的，扣100分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行政处罚决定书</w:t>
            </w:r>
          </w:p>
        </w:tc>
        <w:tc>
          <w:tcPr>
            <w:tcW w:w="2416"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highlight w:val="none"/>
              </w:rPr>
            </w:pP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color w:val="000000"/>
                <w:kern w:val="0"/>
                <w:sz w:val="24"/>
                <w:highlight w:val="none"/>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5" w:hRule="atLeast"/>
          <w:jc w:val="center"/>
        </w:trPr>
        <w:tc>
          <w:tcPr>
            <w:tcW w:w="777" w:type="dxa"/>
            <w:vMerge w:val="restart"/>
            <w:tcBorders>
              <w:right w:val="single" w:color="000000" w:sz="4" w:space="0"/>
            </w:tcBorders>
            <w:noWrap/>
            <w:vAlign w:val="center"/>
          </w:tcPr>
          <w:p>
            <w:pPr>
              <w:widowControl/>
              <w:jc w:val="center"/>
              <w:textAlignment w:val="center"/>
              <w:rPr>
                <w:rFonts w:hint="default" w:ascii="仿宋_GB2312" w:hAnsi="宋体" w:eastAsia="仿宋_GB2312" w:cs="仿宋_GB2312"/>
                <w:kern w:val="0"/>
                <w:sz w:val="24"/>
                <w:highlight w:val="none"/>
                <w:lang w:val="en-US" w:eastAsia="zh-CN"/>
              </w:rPr>
            </w:pPr>
            <w:r>
              <w:rPr>
                <w:rFonts w:hint="eastAsia" w:ascii="仿宋_GB2312" w:hAnsi="宋体" w:eastAsia="仿宋_GB2312" w:cs="仿宋_GB2312"/>
                <w:kern w:val="0"/>
                <w:sz w:val="24"/>
                <w:highlight w:val="none"/>
                <w:lang w:val="en-US" w:eastAsia="zh-CN"/>
              </w:rPr>
              <w:t>17</w:t>
            </w:r>
          </w:p>
        </w:tc>
        <w:tc>
          <w:tcPr>
            <w:tcW w:w="2800" w:type="dxa"/>
            <w:vMerge w:val="restart"/>
            <w:tcBorders>
              <w:left w:val="single" w:color="000000"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出租、出借、倒卖《国内水路运输管理条例》规定的行政许可证件或者以其他方式非法转让《国内水路运输管理条例》规定的行政许可的</w:t>
            </w:r>
          </w:p>
        </w:tc>
        <w:tc>
          <w:tcPr>
            <w:tcW w:w="3084" w:type="dxa"/>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出租、出借、倒卖《国内水路运输管理条例》规定的行政许可证件或者以其他方式非法转让《国内水路运输管理条例》规定的行政许可,</w:t>
            </w:r>
            <w:r>
              <w:rPr>
                <w:rFonts w:hint="eastAsia" w:ascii="仿宋_GB2312" w:hAnsi="宋体" w:eastAsia="仿宋_GB2312" w:cs="仿宋_GB2312"/>
                <w:kern w:val="0"/>
                <w:sz w:val="24"/>
              </w:rPr>
              <w:t>被</w:t>
            </w:r>
            <w:r>
              <w:rPr>
                <w:rFonts w:hint="eastAsia" w:ascii="仿宋_GB2312" w:hAnsi="宋体" w:eastAsia="仿宋_GB2312" w:cs="仿宋_GB2312"/>
                <w:kern w:val="0"/>
                <w:sz w:val="24"/>
                <w:lang w:val="en-US" w:eastAsia="zh-CN"/>
              </w:rPr>
              <w:t>批评教育、责令改正、行政约谈的</w:t>
            </w:r>
            <w:r>
              <w:rPr>
                <w:rFonts w:hint="eastAsia" w:ascii="仿宋_GB2312" w:hAnsi="宋体" w:eastAsia="仿宋_GB2312" w:cs="仿宋_GB2312"/>
                <w:kern w:val="0"/>
                <w:sz w:val="24"/>
                <w:lang w:eastAsia="zh-CN"/>
              </w:rPr>
              <w:t>，每起</w:t>
            </w:r>
            <w:r>
              <w:rPr>
                <w:rFonts w:hint="eastAsia" w:ascii="仿宋" w:hAnsi="仿宋" w:eastAsia="仿宋" w:cs="宋体"/>
                <w:kern w:val="0"/>
                <w:sz w:val="24"/>
                <w:highlight w:val="none"/>
              </w:rPr>
              <w:t>扣</w:t>
            </w:r>
            <w:r>
              <w:rPr>
                <w:rFonts w:hint="eastAsia" w:ascii="仿宋" w:hAnsi="仿宋" w:eastAsia="仿宋" w:cs="宋体"/>
                <w:kern w:val="0"/>
                <w:sz w:val="24"/>
                <w:highlight w:val="none"/>
                <w:lang w:val="en-US" w:eastAsia="zh-CN"/>
              </w:rPr>
              <w:t>50</w:t>
            </w:r>
            <w:r>
              <w:rPr>
                <w:rFonts w:hint="eastAsia" w:ascii="仿宋" w:hAnsi="仿宋" w:eastAsia="仿宋" w:cs="宋体"/>
                <w:kern w:val="0"/>
                <w:sz w:val="24"/>
                <w:highlight w:val="none"/>
              </w:rPr>
              <w:t>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kern w:val="0"/>
                <w:sz w:val="24"/>
                <w:highlight w:val="none"/>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highlight w:val="none"/>
              </w:rPr>
            </w:pPr>
            <w:r>
              <w:rPr>
                <w:rFonts w:hint="eastAsia" w:ascii="仿宋" w:hAnsi="仿宋" w:eastAsia="仿宋" w:cs="宋体"/>
                <w:kern w:val="0"/>
                <w:sz w:val="24"/>
                <w:highlight w:val="none"/>
              </w:rPr>
              <w:t>《国内水路运输管理条例》第三十七条</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5"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pP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宋体"/>
                <w:kern w:val="0"/>
                <w:sz w:val="24"/>
                <w:highlight w:val="none"/>
              </w:rPr>
            </w:pPr>
            <w:r>
              <w:rPr>
                <w:rFonts w:hint="eastAsia" w:ascii="仿宋_GB2312" w:hAnsi="宋体" w:eastAsia="仿宋_GB2312" w:cs="仿宋_GB2312"/>
                <w:color w:val="000000"/>
                <w:kern w:val="0"/>
                <w:sz w:val="24"/>
                <w:highlight w:val="none"/>
              </w:rPr>
              <w:t>由交通执法部门查处，被处罚款的，扣100分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宋体"/>
                <w:kern w:val="0"/>
                <w:sz w:val="24"/>
                <w:highlight w:val="none"/>
              </w:rPr>
            </w:pPr>
            <w:r>
              <w:rPr>
                <w:rFonts w:hint="eastAsia" w:ascii="仿宋_GB2312" w:hAnsi="宋体" w:eastAsia="仿宋_GB2312" w:cs="仿宋_GB2312"/>
                <w:color w:val="000000"/>
                <w:kern w:val="0"/>
                <w:sz w:val="24"/>
                <w:highlight w:val="none"/>
              </w:rPr>
              <w:t>交通执法部门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宋体"/>
                <w:kern w:val="0"/>
                <w:sz w:val="24"/>
                <w:highlight w:val="none"/>
              </w:rPr>
            </w:pPr>
            <w:r>
              <w:rPr>
                <w:rFonts w:hint="eastAsia" w:ascii="仿宋_GB2312" w:hAnsi="宋体" w:eastAsia="仿宋_GB2312" w:cs="仿宋_GB2312"/>
                <w:color w:val="000000"/>
                <w:kern w:val="0"/>
                <w:sz w:val="24"/>
                <w:highlight w:val="none"/>
              </w:rPr>
              <w:t>行政处罚决定书</w:t>
            </w:r>
          </w:p>
        </w:tc>
        <w:tc>
          <w:tcPr>
            <w:tcW w:w="241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宋体"/>
                <w:kern w:val="0"/>
                <w:sz w:val="24"/>
                <w:highlight w:val="none"/>
              </w:rPr>
            </w:pP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hint="eastAsia" w:ascii="仿宋" w:hAnsi="仿宋" w:eastAsia="仿宋" w:cs="宋体"/>
                <w:kern w:val="0"/>
                <w:sz w:val="24"/>
                <w:highlight w:val="none"/>
              </w:rPr>
            </w:pPr>
            <w:r>
              <w:rPr>
                <w:rFonts w:hint="eastAsia" w:ascii="仿宋_GB2312" w:hAnsi="宋体" w:eastAsia="仿宋_GB2312" w:cs="仿宋_GB2312"/>
                <w:color w:val="000000"/>
                <w:kern w:val="0"/>
                <w:sz w:val="24"/>
                <w:highlight w:val="none"/>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9" w:hRule="atLeast"/>
          <w:jc w:val="center"/>
        </w:trPr>
        <w:tc>
          <w:tcPr>
            <w:tcW w:w="777" w:type="dxa"/>
            <w:vMerge w:val="restart"/>
            <w:tcBorders>
              <w:right w:val="single" w:color="000000" w:sz="4" w:space="0"/>
            </w:tcBorders>
            <w:noWrap/>
            <w:vAlign w:val="center"/>
          </w:tcPr>
          <w:p>
            <w:pPr>
              <w:widowControl/>
              <w:jc w:val="center"/>
              <w:textAlignment w:val="center"/>
              <w:rPr>
                <w:rFonts w:hint="default" w:ascii="仿宋_GB2312" w:hAnsi="宋体" w:eastAsia="仿宋_GB2312" w:cs="仿宋_GB2312"/>
                <w:kern w:val="0"/>
                <w:sz w:val="24"/>
                <w:highlight w:val="none"/>
                <w:lang w:val="en-US" w:eastAsia="zh-CN"/>
              </w:rPr>
            </w:pPr>
            <w:r>
              <w:rPr>
                <w:rFonts w:hint="eastAsia" w:ascii="仿宋_GB2312" w:hAnsi="宋体" w:eastAsia="仿宋_GB2312" w:cs="仿宋_GB2312"/>
                <w:kern w:val="0"/>
                <w:sz w:val="24"/>
                <w:highlight w:val="none"/>
                <w:lang w:val="en-US" w:eastAsia="zh-CN"/>
              </w:rPr>
              <w:t>18</w:t>
            </w:r>
          </w:p>
        </w:tc>
        <w:tc>
          <w:tcPr>
            <w:tcW w:w="2800" w:type="dxa"/>
            <w:vMerge w:val="restart"/>
            <w:tcBorders>
              <w:left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经营者未为其经营的客运船舶投保承运人责任保险或者取得相应的财务担保的</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 w:hAnsi="仿宋" w:eastAsia="仿宋" w:cs="宋体"/>
                <w:kern w:val="0"/>
                <w:sz w:val="24"/>
                <w:highlight w:val="none"/>
              </w:rPr>
              <w:t>经营者未为其经营的客运船舶投保承运人责任保险或取得相应的财务担保</w:t>
            </w:r>
            <w:r>
              <w:rPr>
                <w:rFonts w:hint="eastAsia" w:ascii="仿宋" w:hAnsi="仿宋" w:eastAsia="仿宋" w:cs="宋体"/>
                <w:kern w:val="0"/>
                <w:sz w:val="24"/>
                <w:highlight w:val="none"/>
                <w:lang w:eastAsia="zh-CN"/>
              </w:rPr>
              <w:t>，</w:t>
            </w:r>
            <w:r>
              <w:rPr>
                <w:rFonts w:hint="eastAsia" w:ascii="仿宋_GB2312" w:hAnsi="宋体" w:eastAsia="仿宋_GB2312" w:cs="仿宋_GB2312"/>
                <w:kern w:val="0"/>
                <w:sz w:val="24"/>
              </w:rPr>
              <w:t>被</w:t>
            </w:r>
            <w:r>
              <w:rPr>
                <w:rFonts w:hint="eastAsia" w:ascii="仿宋_GB2312" w:hAnsi="宋体" w:eastAsia="仿宋_GB2312" w:cs="仿宋_GB2312"/>
                <w:kern w:val="0"/>
                <w:sz w:val="24"/>
                <w:lang w:val="en-US" w:eastAsia="zh-CN"/>
              </w:rPr>
              <w:t>批评教育、责令改正、行政约谈的</w:t>
            </w:r>
            <w:r>
              <w:rPr>
                <w:rFonts w:hint="eastAsia" w:ascii="仿宋_GB2312" w:hAnsi="宋体" w:eastAsia="仿宋_GB2312" w:cs="仿宋_GB2312"/>
                <w:kern w:val="0"/>
                <w:sz w:val="24"/>
                <w:lang w:eastAsia="zh-CN"/>
              </w:rPr>
              <w:t>，</w:t>
            </w:r>
            <w:r>
              <w:rPr>
                <w:rFonts w:hint="eastAsia" w:ascii="仿宋" w:hAnsi="仿宋" w:eastAsia="仿宋" w:cs="宋体"/>
                <w:kern w:val="0"/>
                <w:sz w:val="24"/>
                <w:highlight w:val="none"/>
              </w:rPr>
              <w:t>扣50分</w:t>
            </w:r>
          </w:p>
        </w:tc>
        <w:tc>
          <w:tcPr>
            <w:tcW w:w="1250" w:type="dxa"/>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c>
          <w:tcPr>
            <w:tcW w:w="1800" w:type="dxa"/>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r>
              <w:rPr>
                <w:rFonts w:hint="eastAsia" w:ascii="仿宋_GB2312" w:hAnsi="宋体" w:eastAsia="仿宋_GB2312" w:cs="仿宋_GB2312"/>
                <w:color w:val="000000"/>
                <w:kern w:val="0"/>
                <w:sz w:val="24"/>
                <w:lang w:eastAsia="zh-CN"/>
              </w:rPr>
              <w:t>批评教育通知书、责令改正通知书、行政约谈通知书</w:t>
            </w:r>
          </w:p>
        </w:tc>
        <w:tc>
          <w:tcPr>
            <w:tcW w:w="2416" w:type="dxa"/>
            <w:vMerge w:val="restart"/>
            <w:tcBorders>
              <w:left w:val="single" w:color="000000" w:sz="4" w:space="0"/>
              <w:right w:val="single" w:color="000000" w:sz="4" w:space="0"/>
            </w:tcBorders>
            <w:noWrap/>
            <w:vAlign w:val="center"/>
          </w:tcPr>
          <w:p>
            <w:pPr>
              <w:widowControl/>
              <w:rPr>
                <w:rFonts w:ascii="仿宋" w:hAnsi="仿宋" w:eastAsia="仿宋" w:cs="宋体"/>
                <w:kern w:val="0"/>
                <w:sz w:val="24"/>
                <w:highlight w:val="none"/>
              </w:rPr>
            </w:pPr>
            <w:r>
              <w:rPr>
                <w:rFonts w:hint="eastAsia" w:ascii="仿宋" w:hAnsi="仿宋" w:eastAsia="仿宋" w:cs="宋体"/>
                <w:kern w:val="0"/>
                <w:sz w:val="24"/>
                <w:highlight w:val="none"/>
              </w:rPr>
              <w:t>《国内水路运输管理条例》第三十九条</w:t>
            </w:r>
          </w:p>
        </w:tc>
        <w:tc>
          <w:tcPr>
            <w:tcW w:w="1950" w:type="dxa"/>
            <w:tcBorders>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kern w:val="0"/>
                <w:sz w:val="24"/>
                <w:highlight w:val="none"/>
              </w:rPr>
              <w:t>辖区行业管理部门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vMerge w:val="continue"/>
            <w:tcBorders>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kern w:val="0"/>
                <w:sz w:val="24"/>
                <w:highlight w:val="none"/>
              </w:rPr>
            </w:pPr>
          </w:p>
        </w:tc>
        <w:tc>
          <w:tcPr>
            <w:tcW w:w="2800"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highlight w:val="none"/>
              </w:rPr>
            </w:pP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由交通执法部门查处，被处罚款的，扣100分</w:t>
            </w:r>
          </w:p>
        </w:tc>
        <w:tc>
          <w:tcPr>
            <w:tcW w:w="1250" w:type="dxa"/>
            <w:tcBorders>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交通执法部门</w:t>
            </w:r>
          </w:p>
        </w:tc>
        <w:tc>
          <w:tcPr>
            <w:tcW w:w="1800" w:type="dxa"/>
            <w:tcBorders>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行政处罚决定书</w:t>
            </w:r>
          </w:p>
        </w:tc>
        <w:tc>
          <w:tcPr>
            <w:tcW w:w="2416"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highlight w:val="none"/>
              </w:rPr>
            </w:pPr>
          </w:p>
        </w:tc>
        <w:tc>
          <w:tcPr>
            <w:tcW w:w="1950" w:type="dxa"/>
            <w:tcBorders>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kern w:val="0"/>
                <w:sz w:val="24"/>
                <w:highlight w:val="none"/>
              </w:rPr>
            </w:pPr>
            <w:r>
              <w:rPr>
                <w:rFonts w:hint="eastAsia" w:ascii="仿宋_GB2312" w:hAnsi="宋体" w:eastAsia="仿宋_GB2312" w:cs="仿宋_GB2312"/>
                <w:color w:val="000000"/>
                <w:kern w:val="0"/>
                <w:sz w:val="24"/>
                <w:highlight w:val="none"/>
              </w:rPr>
              <w:t>交通执法系统对接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14077" w:type="dxa"/>
            <w:gridSpan w:val="7"/>
            <w:tcBorders>
              <w:top w:val="single" w:color="000000" w:sz="4" w:space="0"/>
              <w:bottom w:val="single" w:color="000000" w:sz="4" w:space="0"/>
            </w:tcBorders>
            <w:noWrap/>
            <w:vAlign w:val="center"/>
          </w:tcPr>
          <w:p>
            <w:pPr>
              <w:jc w:val="center"/>
              <w:rPr>
                <w:rFonts w:hint="default" w:ascii="黑体" w:hAnsi="宋体" w:eastAsia="黑体" w:cs="黑体"/>
                <w:color w:val="000000"/>
                <w:sz w:val="28"/>
                <w:szCs w:val="28"/>
                <w:lang w:val="en-US" w:eastAsia="zh-CN"/>
              </w:rPr>
            </w:pPr>
            <w:r>
              <w:rPr>
                <w:rStyle w:val="16"/>
                <w:rFonts w:hint="default"/>
              </w:rPr>
              <w:t>服务质量，</w:t>
            </w:r>
            <w:r>
              <w:rPr>
                <w:rStyle w:val="16"/>
              </w:rPr>
              <w:t>2个</w:t>
            </w:r>
            <w:r>
              <w:rPr>
                <w:rStyle w:val="16"/>
                <w:rFonts w:hint="default"/>
              </w:rPr>
              <w:t>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2" w:hRule="atLeast"/>
          <w:jc w:val="center"/>
        </w:trPr>
        <w:tc>
          <w:tcPr>
            <w:tcW w:w="777" w:type="dxa"/>
            <w:tcBorders>
              <w:top w:val="single" w:color="auto" w:sz="4" w:space="0"/>
              <w:bottom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lang w:val="en-US" w:eastAsia="zh-CN"/>
              </w:rPr>
            </w:pPr>
            <w:r>
              <w:rPr>
                <w:rFonts w:hint="eastAsia" w:ascii="仿宋_GB2312" w:hAnsi="宋体" w:eastAsia="仿宋_GB2312" w:cs="仿宋_GB2312"/>
                <w:kern w:val="0"/>
                <w:sz w:val="24"/>
                <w:lang w:val="en-US" w:eastAsia="zh-CN"/>
              </w:rPr>
              <w:t>19</w:t>
            </w:r>
          </w:p>
        </w:tc>
        <w:tc>
          <w:tcPr>
            <w:tcW w:w="2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有责投诉与</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服务质量问题</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结合年度“接诉即办”工作，接市民投诉或反馈情况，经核实为有责投诉或服务质量问题的，每起扣50分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行业“接诉即办”完成情况</w:t>
            </w:r>
          </w:p>
        </w:tc>
        <w:tc>
          <w:tcPr>
            <w:tcW w:w="2416"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《北京市接诉即办工作条例》</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辖区行业管理部门录入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1" w:hRule="atLeast"/>
          <w:jc w:val="center"/>
        </w:trPr>
        <w:tc>
          <w:tcPr>
            <w:tcW w:w="777" w:type="dxa"/>
            <w:tcBorders>
              <w:top w:val="single" w:color="auto" w:sz="4" w:space="0"/>
              <w:bottom w:val="single" w:color="auto" w:sz="4" w:space="0"/>
              <w:right w:val="single" w:color="000000" w:sz="4" w:space="0"/>
            </w:tcBorders>
            <w:noWrap/>
            <w:vAlign w:val="center"/>
          </w:tcPr>
          <w:p>
            <w:pPr>
              <w:widowControl/>
              <w:jc w:val="center"/>
              <w:textAlignment w:val="center"/>
              <w:rPr>
                <w:rFonts w:hint="default" w:ascii="仿宋_GB2312" w:hAnsi="宋体" w:eastAsia="仿宋_GB2312" w:cs="仿宋_GB2312"/>
                <w:kern w:val="0"/>
                <w:sz w:val="24"/>
                <w:lang w:val="en-US" w:eastAsia="zh-CN"/>
              </w:rPr>
            </w:pPr>
            <w:r>
              <w:rPr>
                <w:rFonts w:hint="eastAsia" w:ascii="仿宋_GB2312" w:hAnsi="宋体" w:eastAsia="仿宋_GB2312" w:cs="仿宋_GB2312"/>
                <w:kern w:val="0"/>
                <w:sz w:val="24"/>
                <w:lang w:val="en-US" w:eastAsia="zh-CN"/>
              </w:rPr>
              <w:t>20</w:t>
            </w:r>
          </w:p>
        </w:tc>
        <w:tc>
          <w:tcPr>
            <w:tcW w:w="2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媒体曝光相关情况</w:t>
            </w:r>
          </w:p>
        </w:tc>
        <w:tc>
          <w:tcPr>
            <w:tcW w:w="3084"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经媒体曝光，在开展</w:t>
            </w:r>
            <w:r>
              <w:rPr>
                <w:rFonts w:hint="eastAsia" w:ascii="仿宋_GB2312" w:hAnsi="宋体" w:eastAsia="仿宋_GB2312" w:cs="仿宋_GB2312"/>
                <w:color w:val="000000"/>
                <w:sz w:val="24"/>
                <w:lang w:eastAsia="zh-CN"/>
              </w:rPr>
              <w:t>水路运输或游船运营</w:t>
            </w:r>
            <w:r>
              <w:rPr>
                <w:rFonts w:hint="eastAsia" w:ascii="仿宋_GB2312" w:hAnsi="宋体" w:eastAsia="仿宋_GB2312" w:cs="仿宋_GB2312"/>
                <w:color w:val="000000"/>
                <w:sz w:val="24"/>
              </w:rPr>
              <w:t>业务过程中确有问题的，每起扣100分</w:t>
            </w:r>
          </w:p>
        </w:tc>
        <w:tc>
          <w:tcPr>
            <w:tcW w:w="125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辖区行业管理部门</w:t>
            </w:r>
          </w:p>
        </w:tc>
        <w:tc>
          <w:tcPr>
            <w:tcW w:w="1800"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相关报道材料</w:t>
            </w:r>
          </w:p>
        </w:tc>
        <w:tc>
          <w:tcPr>
            <w:tcW w:w="2416"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相关报道材料</w:t>
            </w:r>
          </w:p>
        </w:tc>
        <w:tc>
          <w:tcPr>
            <w:tcW w:w="1950" w:type="dxa"/>
            <w:tcBorders>
              <w:top w:val="single" w:color="auto" w:sz="4" w:space="0"/>
              <w:left w:val="single" w:color="000000" w:sz="4" w:space="0"/>
              <w:bottom w:val="single" w:color="auto" w:sz="4" w:space="0"/>
            </w:tcBorders>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辖区行业管理部门录入</w:t>
            </w:r>
          </w:p>
        </w:tc>
      </w:tr>
    </w:tbl>
    <w:p>
      <w:pPr>
        <w:pStyle w:val="4"/>
        <w:widowControl/>
        <w:shd w:val="clear" w:color="auto" w:fill="FFFFFF"/>
        <w:spacing w:beforeAutospacing="0" w:afterAutospacing="0"/>
        <w:jc w:val="both"/>
        <w:rPr>
          <w:rFonts w:ascii="仿宋_GB2312" w:hAnsi="仿宋_GB2312" w:eastAsia="仿宋_GB2312" w:cs="仿宋_GB2312"/>
          <w:b w:val="0"/>
          <w:bCs w:val="0"/>
          <w:sz w:val="32"/>
          <w:szCs w:val="32"/>
        </w:rPr>
      </w:pPr>
    </w:p>
    <w:sectPr>
      <w:footerReference r:id="rId4" w:type="first"/>
      <w:footerReference r:id="rId3" w:type="default"/>
      <w:pgSz w:w="16838" w:h="11906" w:orient="landscape"/>
      <w:pgMar w:top="1463" w:right="1080" w:bottom="1463" w:left="1080" w:header="851" w:footer="907"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9</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kern w:val="0"/>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5A549A"/>
    <w:multiLevelType w:val="multilevel"/>
    <w:tmpl w:val="785A549A"/>
    <w:lvl w:ilvl="0" w:tentative="0">
      <w:start w:val="1"/>
      <w:numFmt w:val="chineseCountingThousand"/>
      <w:pStyle w:val="23"/>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BlYzNiYWMwMmNkYWExNTkwZWNkNTgzN2I1YTdjZmMifQ=="/>
  </w:docVars>
  <w:rsids>
    <w:rsidRoot w:val="302E3DC7"/>
    <w:rsid w:val="0000724F"/>
    <w:rsid w:val="000657F6"/>
    <w:rsid w:val="000C0F8B"/>
    <w:rsid w:val="000C63AC"/>
    <w:rsid w:val="000D1D54"/>
    <w:rsid w:val="000F2BF2"/>
    <w:rsid w:val="00107BCB"/>
    <w:rsid w:val="00124297"/>
    <w:rsid w:val="00145E2C"/>
    <w:rsid w:val="001732F3"/>
    <w:rsid w:val="00175E79"/>
    <w:rsid w:val="00181637"/>
    <w:rsid w:val="001903FA"/>
    <w:rsid w:val="001E6349"/>
    <w:rsid w:val="001F2B4D"/>
    <w:rsid w:val="001F64BA"/>
    <w:rsid w:val="0020232C"/>
    <w:rsid w:val="00224475"/>
    <w:rsid w:val="002258FD"/>
    <w:rsid w:val="002510BB"/>
    <w:rsid w:val="00261CF9"/>
    <w:rsid w:val="00264B41"/>
    <w:rsid w:val="002A4DAA"/>
    <w:rsid w:val="002C440E"/>
    <w:rsid w:val="002E1D53"/>
    <w:rsid w:val="002F20E4"/>
    <w:rsid w:val="002F7F62"/>
    <w:rsid w:val="003048FC"/>
    <w:rsid w:val="003113D8"/>
    <w:rsid w:val="0034501D"/>
    <w:rsid w:val="00377CD8"/>
    <w:rsid w:val="003E325C"/>
    <w:rsid w:val="00407693"/>
    <w:rsid w:val="00433D43"/>
    <w:rsid w:val="004D4D6F"/>
    <w:rsid w:val="004D550F"/>
    <w:rsid w:val="004F166D"/>
    <w:rsid w:val="00533EE6"/>
    <w:rsid w:val="00567F06"/>
    <w:rsid w:val="005A0AE9"/>
    <w:rsid w:val="005C22D2"/>
    <w:rsid w:val="00646B6D"/>
    <w:rsid w:val="0068772F"/>
    <w:rsid w:val="00690264"/>
    <w:rsid w:val="00695774"/>
    <w:rsid w:val="00707C13"/>
    <w:rsid w:val="007135F3"/>
    <w:rsid w:val="00786498"/>
    <w:rsid w:val="007B31B6"/>
    <w:rsid w:val="00807327"/>
    <w:rsid w:val="008451DA"/>
    <w:rsid w:val="008555AA"/>
    <w:rsid w:val="008716BF"/>
    <w:rsid w:val="00894AF8"/>
    <w:rsid w:val="00896936"/>
    <w:rsid w:val="008A5D26"/>
    <w:rsid w:val="008C67D7"/>
    <w:rsid w:val="008F1204"/>
    <w:rsid w:val="009009A5"/>
    <w:rsid w:val="009214F5"/>
    <w:rsid w:val="00973B08"/>
    <w:rsid w:val="009C0B00"/>
    <w:rsid w:val="009D3555"/>
    <w:rsid w:val="00A4044A"/>
    <w:rsid w:val="00AA0FA7"/>
    <w:rsid w:val="00AB2FB8"/>
    <w:rsid w:val="00AC5E92"/>
    <w:rsid w:val="00AD5861"/>
    <w:rsid w:val="00AE6A7D"/>
    <w:rsid w:val="00B11124"/>
    <w:rsid w:val="00B132D7"/>
    <w:rsid w:val="00B153D5"/>
    <w:rsid w:val="00B34116"/>
    <w:rsid w:val="00B66FB3"/>
    <w:rsid w:val="00B92B94"/>
    <w:rsid w:val="00BD34BF"/>
    <w:rsid w:val="00C03BF4"/>
    <w:rsid w:val="00C32872"/>
    <w:rsid w:val="00C61BCB"/>
    <w:rsid w:val="00CD2A62"/>
    <w:rsid w:val="00D13E07"/>
    <w:rsid w:val="00D154D5"/>
    <w:rsid w:val="00D311FF"/>
    <w:rsid w:val="00D437A0"/>
    <w:rsid w:val="00D73845"/>
    <w:rsid w:val="00D908AD"/>
    <w:rsid w:val="00DC4575"/>
    <w:rsid w:val="00DE61A2"/>
    <w:rsid w:val="00E26777"/>
    <w:rsid w:val="00E34AEA"/>
    <w:rsid w:val="00E8168E"/>
    <w:rsid w:val="00E8300F"/>
    <w:rsid w:val="00E92884"/>
    <w:rsid w:val="00E931DD"/>
    <w:rsid w:val="00E96AB2"/>
    <w:rsid w:val="00EA2B3D"/>
    <w:rsid w:val="00EA461D"/>
    <w:rsid w:val="00F516E9"/>
    <w:rsid w:val="00F622EF"/>
    <w:rsid w:val="00F86D9B"/>
    <w:rsid w:val="00FC2BC5"/>
    <w:rsid w:val="00FC66C3"/>
    <w:rsid w:val="01CC7EBE"/>
    <w:rsid w:val="027D2549"/>
    <w:rsid w:val="031A1964"/>
    <w:rsid w:val="037776D8"/>
    <w:rsid w:val="038650B8"/>
    <w:rsid w:val="03A10067"/>
    <w:rsid w:val="03B66ED3"/>
    <w:rsid w:val="079A0276"/>
    <w:rsid w:val="09EE46DB"/>
    <w:rsid w:val="0B8650F1"/>
    <w:rsid w:val="0B8712B9"/>
    <w:rsid w:val="0BC60D3E"/>
    <w:rsid w:val="0C05048D"/>
    <w:rsid w:val="11AA327B"/>
    <w:rsid w:val="127A213F"/>
    <w:rsid w:val="14404E24"/>
    <w:rsid w:val="145C7AD5"/>
    <w:rsid w:val="14822938"/>
    <w:rsid w:val="15525C1B"/>
    <w:rsid w:val="155B7DD4"/>
    <w:rsid w:val="15DE2311"/>
    <w:rsid w:val="18ED7780"/>
    <w:rsid w:val="1AD1620D"/>
    <w:rsid w:val="1C1E4484"/>
    <w:rsid w:val="1CAC6566"/>
    <w:rsid w:val="1D584C60"/>
    <w:rsid w:val="1DB7F5F8"/>
    <w:rsid w:val="1E2646F8"/>
    <w:rsid w:val="1EC34309"/>
    <w:rsid w:val="1FBB6B0C"/>
    <w:rsid w:val="220A25BD"/>
    <w:rsid w:val="226D07EF"/>
    <w:rsid w:val="22FA113A"/>
    <w:rsid w:val="26420C76"/>
    <w:rsid w:val="285D5524"/>
    <w:rsid w:val="28C61A90"/>
    <w:rsid w:val="2A7861F4"/>
    <w:rsid w:val="2DA3425C"/>
    <w:rsid w:val="2ED70855"/>
    <w:rsid w:val="2F05286C"/>
    <w:rsid w:val="302E3DC7"/>
    <w:rsid w:val="3209030F"/>
    <w:rsid w:val="348F46BF"/>
    <w:rsid w:val="34F80BEE"/>
    <w:rsid w:val="362A2AB2"/>
    <w:rsid w:val="37002872"/>
    <w:rsid w:val="38D65F78"/>
    <w:rsid w:val="39364134"/>
    <w:rsid w:val="3A1B5216"/>
    <w:rsid w:val="3B3FA91A"/>
    <w:rsid w:val="3C81109D"/>
    <w:rsid w:val="400340CA"/>
    <w:rsid w:val="40F02D23"/>
    <w:rsid w:val="4102331E"/>
    <w:rsid w:val="42824547"/>
    <w:rsid w:val="447B057B"/>
    <w:rsid w:val="46611EB4"/>
    <w:rsid w:val="485E432A"/>
    <w:rsid w:val="4A54478E"/>
    <w:rsid w:val="4AF91C41"/>
    <w:rsid w:val="4B712021"/>
    <w:rsid w:val="4BE1232F"/>
    <w:rsid w:val="4C2A757B"/>
    <w:rsid w:val="4ECF39C8"/>
    <w:rsid w:val="4F2A7CA4"/>
    <w:rsid w:val="4FBD7D41"/>
    <w:rsid w:val="52F704FB"/>
    <w:rsid w:val="53E817BA"/>
    <w:rsid w:val="545D3EF0"/>
    <w:rsid w:val="54F01BD4"/>
    <w:rsid w:val="56780F70"/>
    <w:rsid w:val="56A02EC6"/>
    <w:rsid w:val="58EF56FD"/>
    <w:rsid w:val="5A1F3EE8"/>
    <w:rsid w:val="5AE86507"/>
    <w:rsid w:val="5B00317E"/>
    <w:rsid w:val="5BB306C0"/>
    <w:rsid w:val="5DE702E7"/>
    <w:rsid w:val="5DFE7676"/>
    <w:rsid w:val="5E6149BE"/>
    <w:rsid w:val="5F6025FA"/>
    <w:rsid w:val="61BB47D1"/>
    <w:rsid w:val="62600731"/>
    <w:rsid w:val="64C515B0"/>
    <w:rsid w:val="658207D7"/>
    <w:rsid w:val="66685651"/>
    <w:rsid w:val="67DFFBBE"/>
    <w:rsid w:val="67EEEA16"/>
    <w:rsid w:val="69077F1E"/>
    <w:rsid w:val="690E252E"/>
    <w:rsid w:val="69FE607E"/>
    <w:rsid w:val="6AE35470"/>
    <w:rsid w:val="6C845FAB"/>
    <w:rsid w:val="6D004678"/>
    <w:rsid w:val="6F5E4AAE"/>
    <w:rsid w:val="6FFF959B"/>
    <w:rsid w:val="708F2E79"/>
    <w:rsid w:val="713733D2"/>
    <w:rsid w:val="713CFD4D"/>
    <w:rsid w:val="72F754D1"/>
    <w:rsid w:val="73A75F77"/>
    <w:rsid w:val="769B3405"/>
    <w:rsid w:val="76DB9829"/>
    <w:rsid w:val="77608905"/>
    <w:rsid w:val="77DEA15D"/>
    <w:rsid w:val="7A7F6C12"/>
    <w:rsid w:val="7AD44638"/>
    <w:rsid w:val="7C537214"/>
    <w:rsid w:val="7D15338B"/>
    <w:rsid w:val="7D2372AB"/>
    <w:rsid w:val="7FA51F6C"/>
    <w:rsid w:val="7FC23CDD"/>
    <w:rsid w:val="BE7F0BB9"/>
    <w:rsid w:val="BF3F3A69"/>
    <w:rsid w:val="BFFF0CE5"/>
    <w:rsid w:val="CAFC71AB"/>
    <w:rsid w:val="DEFF1245"/>
    <w:rsid w:val="E7F36F2E"/>
    <w:rsid w:val="ECAEDE5C"/>
    <w:rsid w:val="F7AC760A"/>
    <w:rsid w:val="F7BFC883"/>
    <w:rsid w:val="FEFE2E7D"/>
    <w:rsid w:val="FF2552D4"/>
    <w:rsid w:val="FF5B982B"/>
    <w:rsid w:val="FFEE3261"/>
    <w:rsid w:val="FFF7F9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annotation text"/>
    <w:basedOn w:val="1"/>
    <w:link w:val="20"/>
    <w:semiHidden/>
    <w:unhideWhenUsed/>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spacing w:beforeAutospacing="1" w:afterAutospacing="1"/>
      <w:jc w:val="left"/>
    </w:pPr>
    <w:rPr>
      <w:rFonts w:hint="eastAsia" w:ascii="宋体" w:hAnsi="宋体"/>
      <w:kern w:val="0"/>
      <w:sz w:val="24"/>
    </w:rPr>
  </w:style>
  <w:style w:type="paragraph" w:styleId="11">
    <w:name w:val="annotation subject"/>
    <w:basedOn w:val="5"/>
    <w:next w:val="5"/>
    <w:link w:val="21"/>
    <w:semiHidden/>
    <w:unhideWhenUsed/>
    <w:qFormat/>
    <w:uiPriority w:val="0"/>
    <w:rPr>
      <w:b/>
      <w:bCs/>
    </w:rPr>
  </w:style>
  <w:style w:type="character" w:styleId="14">
    <w:name w:val="annotation reference"/>
    <w:basedOn w:val="13"/>
    <w:semiHidden/>
    <w:unhideWhenUsed/>
    <w:qFormat/>
    <w:uiPriority w:val="0"/>
    <w:rPr>
      <w:sz w:val="21"/>
      <w:szCs w:val="21"/>
    </w:rPr>
  </w:style>
  <w:style w:type="character" w:customStyle="1" w:styleId="15">
    <w:name w:val="font41"/>
    <w:basedOn w:val="13"/>
    <w:qFormat/>
    <w:uiPriority w:val="0"/>
    <w:rPr>
      <w:rFonts w:hint="eastAsia" w:ascii="仿宋_GB2312" w:eastAsia="仿宋_GB2312" w:cs="仿宋_GB2312"/>
      <w:color w:val="000000"/>
      <w:sz w:val="24"/>
      <w:szCs w:val="24"/>
      <w:u w:val="none"/>
    </w:rPr>
  </w:style>
  <w:style w:type="character" w:customStyle="1" w:styleId="16">
    <w:name w:val="font81"/>
    <w:basedOn w:val="13"/>
    <w:qFormat/>
    <w:uiPriority w:val="0"/>
    <w:rPr>
      <w:rFonts w:hint="eastAsia" w:ascii="黑体" w:hAnsi="宋体" w:eastAsia="黑体" w:cs="黑体"/>
      <w:color w:val="000000"/>
      <w:sz w:val="28"/>
      <w:szCs w:val="28"/>
      <w:u w:val="none"/>
    </w:rPr>
  </w:style>
  <w:style w:type="character" w:customStyle="1" w:styleId="17">
    <w:name w:val="font71"/>
    <w:basedOn w:val="13"/>
    <w:qFormat/>
    <w:uiPriority w:val="0"/>
    <w:rPr>
      <w:rFonts w:hint="eastAsia" w:ascii="仿宋_GB2312" w:eastAsia="仿宋_GB2312" w:cs="仿宋_GB2312"/>
      <w:color w:val="000000"/>
      <w:sz w:val="24"/>
      <w:szCs w:val="24"/>
      <w:u w:val="none"/>
    </w:rPr>
  </w:style>
  <w:style w:type="character" w:customStyle="1" w:styleId="18">
    <w:name w:val="批注框文本 Char"/>
    <w:basedOn w:val="13"/>
    <w:link w:val="6"/>
    <w:qFormat/>
    <w:uiPriority w:val="0"/>
    <w:rPr>
      <w:rFonts w:ascii="Times New Roman" w:hAnsi="Times New Roman" w:eastAsia="宋体" w:cs="Times New Roman"/>
      <w:kern w:val="2"/>
      <w:sz w:val="18"/>
      <w:szCs w:val="18"/>
    </w:rPr>
  </w:style>
  <w:style w:type="paragraph" w:customStyle="1" w:styleId="1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0">
    <w:name w:val="批注文字 Char"/>
    <w:basedOn w:val="13"/>
    <w:link w:val="5"/>
    <w:semiHidden/>
    <w:qFormat/>
    <w:uiPriority w:val="0"/>
    <w:rPr>
      <w:kern w:val="2"/>
      <w:sz w:val="21"/>
      <w:szCs w:val="24"/>
    </w:rPr>
  </w:style>
  <w:style w:type="character" w:customStyle="1" w:styleId="21">
    <w:name w:val="批注主题 Char"/>
    <w:basedOn w:val="20"/>
    <w:link w:val="11"/>
    <w:semiHidden/>
    <w:qFormat/>
    <w:uiPriority w:val="0"/>
    <w:rPr>
      <w:b/>
      <w:bCs/>
      <w:kern w:val="2"/>
      <w:sz w:val="21"/>
      <w:szCs w:val="24"/>
    </w:rPr>
  </w:style>
  <w:style w:type="paragraph" w:styleId="22">
    <w:name w:val="List Paragraph"/>
    <w:basedOn w:val="1"/>
    <w:unhideWhenUsed/>
    <w:qFormat/>
    <w:uiPriority w:val="99"/>
    <w:pPr>
      <w:ind w:firstLine="420" w:firstLineChars="200"/>
    </w:pPr>
  </w:style>
  <w:style w:type="paragraph" w:customStyle="1" w:styleId="23">
    <w:name w:val="一级标题"/>
    <w:next w:val="1"/>
    <w:qFormat/>
    <w:uiPriority w:val="0"/>
    <w:pPr>
      <w:numPr>
        <w:ilvl w:val="0"/>
        <w:numId w:val="1"/>
      </w:numPr>
      <w:spacing w:line="560" w:lineRule="exact"/>
      <w:outlineLvl w:val="0"/>
    </w:pPr>
    <w:rPr>
      <w:rFonts w:ascii="等线" w:hAnsi="等线" w:eastAsia="黑体" w:cs="Times New Roman"/>
      <w:bCs/>
      <w:kern w:val="44"/>
      <w:sz w:val="32"/>
      <w:szCs w:val="44"/>
      <w:lang w:val="en-US" w:eastAsia="zh-CN" w:bidi="ar-SA"/>
    </w:rPr>
  </w:style>
  <w:style w:type="paragraph" w:customStyle="1" w:styleId="24">
    <w:name w:val="无间隔1"/>
    <w:next w:val="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4496</Words>
  <Characters>4614</Characters>
  <Lines>32</Lines>
  <Paragraphs>9</Paragraphs>
  <TotalTime>0</TotalTime>
  <ScaleCrop>false</ScaleCrop>
  <LinksUpToDate>false</LinksUpToDate>
  <CharactersWithSpaces>4616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2022-01-04T19:45:00Z</dcterms:created>
  <dc:creator>shuiyunchu</dc:creator>
  <cp:lastModifiedBy>夏旻辰(水路运输管理处（地方海事局）)</cp:lastModifiedBy>
  <cp:lastPrinted>2023-11-07T23:25:00Z</cp:lastPrinted>
  <dcterms:modified xsi:type="dcterms:W3CDTF">2023-11-07T10:21:15Z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340ADECEBF8443BA8EF8A35E09A1BE47</vt:lpwstr>
  </property>
</Properties>
</file>