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02" w:rsidRDefault="00854202" w:rsidP="00854202">
      <w:pPr>
        <w:pStyle w:val="2"/>
        <w:ind w:firstLineChars="0" w:firstLine="0"/>
        <w:jc w:val="center"/>
      </w:pPr>
      <w:bookmarkStart w:id="0" w:name="_GoBack"/>
      <w:bookmarkEnd w:id="0"/>
      <w:r>
        <w:t>北京市</w:t>
      </w:r>
      <w:r>
        <w:rPr>
          <w:rFonts w:hint="eastAsia"/>
        </w:rPr>
        <w:t>城市轨道交通</w:t>
      </w:r>
      <w:r>
        <w:t>信用</w:t>
      </w:r>
      <w:r>
        <w:rPr>
          <w:rFonts w:hint="eastAsia"/>
        </w:rPr>
        <w:t>评价指标</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687"/>
        <w:gridCol w:w="3383"/>
        <w:gridCol w:w="1834"/>
        <w:gridCol w:w="1410"/>
        <w:gridCol w:w="2678"/>
        <w:gridCol w:w="1583"/>
      </w:tblGrid>
      <w:tr w:rsidR="00854202" w:rsidTr="00096677">
        <w:trPr>
          <w:trHeight w:val="20"/>
          <w:tblHeader/>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序号</w:t>
            </w:r>
          </w:p>
        </w:tc>
        <w:tc>
          <w:tcPr>
            <w:tcW w:w="2687"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评价指标</w:t>
            </w:r>
          </w:p>
        </w:tc>
        <w:tc>
          <w:tcPr>
            <w:tcW w:w="33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记分分值</w:t>
            </w:r>
          </w:p>
        </w:tc>
        <w:tc>
          <w:tcPr>
            <w:tcW w:w="1834"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指标信息来源</w:t>
            </w:r>
          </w:p>
        </w:tc>
        <w:tc>
          <w:tcPr>
            <w:tcW w:w="1410"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考核依据</w:t>
            </w:r>
          </w:p>
        </w:tc>
        <w:tc>
          <w:tcPr>
            <w:tcW w:w="2678"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文件依据</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录入审核机构</w:t>
            </w:r>
          </w:p>
        </w:tc>
      </w:tr>
      <w:tr w:rsidR="00854202" w:rsidTr="00096677">
        <w:trPr>
          <w:trHeight w:val="397"/>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第一部分：通用指标（</w:t>
            </w:r>
            <w:r>
              <w:rPr>
                <w:rFonts w:ascii="仿宋_GB2312" w:hAnsi="等线" w:cs="宋体"/>
                <w:b/>
                <w:bCs/>
                <w:kern w:val="0"/>
                <w:sz w:val="21"/>
              </w:rPr>
              <w:t>16项）</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 xml:space="preserve">　</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加分指标，</w:t>
            </w:r>
            <w:r>
              <w:rPr>
                <w:rFonts w:ascii="仿宋_GB2312" w:hAnsi="等线" w:cs="宋体"/>
                <w:kern w:val="0"/>
                <w:sz w:val="21"/>
              </w:rPr>
              <w:t>7个指标（加至50分为止）</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经营状况，</w:t>
            </w:r>
            <w:r>
              <w:rPr>
                <w:rFonts w:ascii="仿宋_GB2312" w:hAnsi="等线" w:cs="宋体"/>
                <w:kern w:val="0"/>
                <w:sz w:val="21"/>
              </w:rPr>
              <w:t>4项指标</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注册年限</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kern w:val="0"/>
                <w:sz w:val="21"/>
              </w:rPr>
              <w:t>3～5年，加2分；5年及以上，加5分；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市场监管部门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注册登记信息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2</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社保缴纳时长</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连续缴纳</w:t>
            </w:r>
            <w:r>
              <w:rPr>
                <w:rFonts w:ascii="仿宋_GB2312" w:hAnsi="等线" w:cs="宋体"/>
                <w:kern w:val="0"/>
                <w:sz w:val="21"/>
              </w:rPr>
              <w:t>3年（每年补缴数不超过6个月）及以上，加5分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人力社保部门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社保缴纳记录</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3</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公积金缴纳时长</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连续缴纳</w:t>
            </w:r>
            <w:r>
              <w:rPr>
                <w:rFonts w:ascii="仿宋_GB2312" w:hAnsi="等线" w:cs="宋体"/>
                <w:kern w:val="0"/>
                <w:sz w:val="21"/>
              </w:rPr>
              <w:t>3年（每年补缴数不超过6个月）及以上，加5分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公积金管理部门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公积金缴纳记录</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4</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税收缴纳时长</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连续缴纳</w:t>
            </w:r>
            <w:r>
              <w:rPr>
                <w:rFonts w:ascii="仿宋_GB2312" w:hAnsi="等线" w:cs="宋体"/>
                <w:kern w:val="0"/>
                <w:sz w:val="21"/>
              </w:rPr>
              <w:t>3年及以上，加5分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税务缴纳记录</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守信激励，</w:t>
            </w:r>
            <w:r>
              <w:rPr>
                <w:rFonts w:ascii="仿宋_GB2312" w:hAnsi="等线" w:cs="宋体"/>
                <w:kern w:val="0"/>
                <w:sz w:val="21"/>
              </w:rPr>
              <w:t>3项指标</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5</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kern w:val="0"/>
                <w:sz w:val="21"/>
              </w:rPr>
              <w:t>A级纳税人</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评价周期内，被评为</w:t>
            </w:r>
            <w:r>
              <w:rPr>
                <w:rFonts w:ascii="仿宋_GB2312" w:hAnsi="等线" w:cs="宋体"/>
                <w:kern w:val="0"/>
                <w:sz w:val="21"/>
              </w:rPr>
              <w:t>A级纳税人的，加10分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税务公告信息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6</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慈善捐赠</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评价周期内，参与慈善捐赠的，加</w:t>
            </w:r>
            <w:r>
              <w:rPr>
                <w:rFonts w:ascii="仿宋_GB2312" w:hAnsi="等线" w:cs="宋体"/>
                <w:kern w:val="0"/>
                <w:sz w:val="21"/>
              </w:rPr>
              <w:lastRenderedPageBreak/>
              <w:t>5分/次；加到10分为止</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lastRenderedPageBreak/>
              <w:t>民政部门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民政登记信</w:t>
            </w:r>
            <w:r>
              <w:rPr>
                <w:rFonts w:ascii="仿宋_GB2312" w:hAnsi="等线" w:cs="宋体" w:hint="eastAsia"/>
                <w:kern w:val="0"/>
                <w:sz w:val="21"/>
              </w:rPr>
              <w:lastRenderedPageBreak/>
              <w:t>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《北京市开展信用分级分</w:t>
            </w:r>
            <w:r>
              <w:rPr>
                <w:rFonts w:ascii="仿宋_GB2312" w:hAnsi="等线" w:cs="宋体" w:hint="eastAsia"/>
                <w:kern w:val="0"/>
                <w:sz w:val="21"/>
              </w:rPr>
              <w:lastRenderedPageBreak/>
              <w:t>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lastRenderedPageBreak/>
              <w:t>大数据局系统</w:t>
            </w:r>
            <w:r>
              <w:rPr>
                <w:rFonts w:ascii="仿宋_GB2312" w:hAnsi="等线" w:cs="宋体" w:hint="eastAsia"/>
                <w:kern w:val="0"/>
                <w:sz w:val="21"/>
              </w:rPr>
              <w:lastRenderedPageBreak/>
              <w:t>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lastRenderedPageBreak/>
              <w:t>7</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知识产权</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评价周期内，有发明专利的，加</w:t>
            </w:r>
            <w:r>
              <w:rPr>
                <w:rFonts w:ascii="仿宋_GB2312" w:hAnsi="等线" w:cs="宋体"/>
                <w:kern w:val="0"/>
                <w:sz w:val="21"/>
              </w:rPr>
              <w:t>5分/</w:t>
            </w:r>
            <w:proofErr w:type="gramStart"/>
            <w:r>
              <w:rPr>
                <w:rFonts w:ascii="仿宋_GB2312" w:hAnsi="等线" w:cs="宋体" w:hint="eastAsia"/>
                <w:kern w:val="0"/>
                <w:sz w:val="21"/>
              </w:rPr>
              <w:t>个</w:t>
            </w:r>
            <w:proofErr w:type="gramEnd"/>
            <w:r>
              <w:rPr>
                <w:rFonts w:ascii="仿宋_GB2312" w:hAnsi="等线" w:cs="宋体" w:hint="eastAsia"/>
                <w:kern w:val="0"/>
                <w:sz w:val="21"/>
              </w:rPr>
              <w:t>；加到</w:t>
            </w:r>
            <w:r>
              <w:rPr>
                <w:rFonts w:ascii="仿宋_GB2312" w:hAnsi="等线" w:cs="宋体"/>
                <w:kern w:val="0"/>
                <w:sz w:val="21"/>
              </w:rPr>
              <w:t>10分为止</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知识产权部门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专利证书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《北京市开展信用分级分类监管工作的实施意见》</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大数据局系统对接或市级行业管理部门录入</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减分指标，</w:t>
            </w:r>
            <w:r>
              <w:rPr>
                <w:rFonts w:ascii="仿宋_GB2312" w:hAnsi="等线" w:cs="宋体"/>
                <w:kern w:val="0"/>
                <w:sz w:val="21"/>
              </w:rPr>
              <w:t>9项指标（减至100分为止）</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454"/>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经营管理，</w:t>
            </w:r>
            <w:r>
              <w:rPr>
                <w:rFonts w:ascii="仿宋_GB2312" w:hAnsi="等线" w:cs="宋体"/>
                <w:kern w:val="0"/>
                <w:sz w:val="21"/>
              </w:rPr>
              <w:t>6项指标</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8</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被列入经营异常名录的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评价周期内，被列入经营异常名录过的，扣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市场监管部门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市场监管公示信息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《企业经营异常名录管理暂行办法》第六条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9</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被认定为非正常户（税务）的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评价周期内，被认定为非正常户（税务）的，扣</w:t>
            </w:r>
            <w:r>
              <w:rPr>
                <w:rFonts w:ascii="仿宋_GB2312" w:hAnsi="等线" w:cs="宋体"/>
                <w:kern w:val="0"/>
                <w:sz w:val="21"/>
              </w:rPr>
              <w:t>100分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税务公告信息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《国家税务总局关于税收征管若干事项的公告》第三条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10</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有逃避纳税义务行为的，但未达到非正常户的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税务缴纳记录</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《中华人民共和国税收征收管理法》第三十八条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11</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未按照规定办理社会保险登记、变更登记或者注销登</w:t>
            </w:r>
            <w:r>
              <w:rPr>
                <w:rFonts w:ascii="仿宋_GB2312" w:hAnsi="等线" w:cs="宋体" w:hint="eastAsia"/>
                <w:kern w:val="0"/>
                <w:sz w:val="21"/>
              </w:rPr>
              <w:lastRenderedPageBreak/>
              <w:t>记，或者未按照规定申报应缴纳的社会保险费数额的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lastRenderedPageBreak/>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人力社保部门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《社会保险费征缴暂行条例》第二十三条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lastRenderedPageBreak/>
              <w:t>12</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违背信用承诺的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50分/次</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经信及其他有关部门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检查笔录及相关证据材料</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《北京市公共信用信息管理办法》第十条、第十一条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13</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在行政办理中，提供虚假材料的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50分/次</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经信及其他有关部门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检查笔录及相关证据材料</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《北京市公共信用信息管理办法》第十条、第十一条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454"/>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人民法院及其他行政部门执行及处罚情况，</w:t>
            </w:r>
            <w:r>
              <w:rPr>
                <w:rFonts w:ascii="仿宋_GB2312" w:hAnsi="等线" w:cs="宋体"/>
                <w:kern w:val="0"/>
                <w:sz w:val="21"/>
              </w:rPr>
              <w:t>3项指标</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14</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被人民法院列为失信被执行人的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人民法院</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法院公告信息</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《最高人民法院关于公布失信被执行人名单信息的若干规定》第一条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法院被执行人信息查询平台系统对接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15</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被其他行政部门实施行政强制执行的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其他行政部门行政强制执行的，扣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经信及其他有关部门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行政强制执行通知书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《北京市公共信用信息管理办法》第十条、第十一条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16</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被其他行政部门实施行政处罚的</w:t>
            </w:r>
          </w:p>
        </w:tc>
        <w:tc>
          <w:tcPr>
            <w:tcW w:w="33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其他行政部门行政处罚的，扣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经信及其他有关部门</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《北京市公共信用信息管理办法》第十条、第十一条</w:t>
            </w:r>
          </w:p>
        </w:tc>
        <w:tc>
          <w:tcPr>
            <w:tcW w:w="1583"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大数据局系统对接</w:t>
            </w:r>
          </w:p>
        </w:tc>
      </w:tr>
      <w:tr w:rsidR="00854202" w:rsidTr="00096677">
        <w:trPr>
          <w:trHeight w:val="51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lastRenderedPageBreak/>
              <w:t>第二部分：轨道交通行业指标（</w:t>
            </w:r>
            <w:r>
              <w:rPr>
                <w:rFonts w:ascii="仿宋_GB2312" w:hAnsi="等线" w:cs="宋体"/>
                <w:b/>
                <w:bCs/>
                <w:kern w:val="0"/>
                <w:sz w:val="21"/>
              </w:rPr>
              <w:t>19项）</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b/>
                <w:bCs/>
                <w:kern w:val="0"/>
                <w:sz w:val="21"/>
              </w:rPr>
            </w:pPr>
            <w:r>
              <w:rPr>
                <w:rFonts w:ascii="仿宋_GB2312" w:hAnsi="等线" w:cs="宋体" w:hint="eastAsia"/>
                <w:b/>
                <w:bCs/>
                <w:kern w:val="0"/>
                <w:sz w:val="21"/>
              </w:rPr>
              <w:t xml:space="preserve">　</w:t>
            </w:r>
          </w:p>
        </w:tc>
      </w:tr>
      <w:tr w:rsidR="00854202" w:rsidTr="00096677">
        <w:trPr>
          <w:trHeight w:val="397"/>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加分指标，</w:t>
            </w:r>
            <w:r>
              <w:rPr>
                <w:rFonts w:ascii="仿宋_GB2312" w:hAnsi="等线" w:cs="宋体"/>
                <w:kern w:val="0"/>
                <w:sz w:val="21"/>
              </w:rPr>
              <w:t>1项指标（加至100分为止）</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获得市级及以上交通运输管理部门表彰奖励</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企业获得国家荣誉称号的，每次加</w:t>
            </w:r>
            <w:r>
              <w:rPr>
                <w:rFonts w:ascii="仿宋_GB2312" w:hAnsi="等线" w:cs="宋体"/>
                <w:kern w:val="0"/>
                <w:sz w:val="21"/>
              </w:rPr>
              <w:t>40分；省部级荣誉称号的，每次加20分；获得地市级荣誉称号的，每次加10分；企业所属员工获得地</w:t>
            </w:r>
            <w:r>
              <w:rPr>
                <w:rFonts w:ascii="仿宋_GB2312" w:hAnsi="等线" w:cs="宋体" w:hint="eastAsia"/>
                <w:kern w:val="0"/>
                <w:sz w:val="21"/>
              </w:rPr>
              <w:t>市级（含）及以上荣誉称号的每次加</w:t>
            </w:r>
            <w:r>
              <w:rPr>
                <w:rFonts w:ascii="仿宋_GB2312" w:hAnsi="等线" w:cs="宋体"/>
                <w:kern w:val="0"/>
                <w:sz w:val="21"/>
              </w:rPr>
              <w:t>5分；加到100分为止</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企业提供，市级行业管理部门审核</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获奖证书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《北京市公共信用信息管理办法》第九条、第二十四条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397"/>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减分指标，</w:t>
            </w:r>
            <w:r>
              <w:rPr>
                <w:rFonts w:ascii="仿宋_GB2312" w:hAnsi="等线" w:cs="宋体"/>
                <w:kern w:val="0"/>
                <w:sz w:val="21"/>
              </w:rPr>
              <w:t>18项指标（减至350分为止）</w:t>
            </w:r>
          </w:p>
        </w:tc>
        <w:tc>
          <w:tcPr>
            <w:tcW w:w="1583"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安全管理，</w:t>
            </w:r>
            <w:r>
              <w:rPr>
                <w:rFonts w:ascii="仿宋_GB2312" w:hAnsi="等线" w:cs="宋体"/>
                <w:kern w:val="0"/>
                <w:sz w:val="21"/>
              </w:rPr>
              <w:t>7项指标</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2</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未制定并落实安全运营规章制度和操作规程</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　第三十条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3</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未建立并落实安全运营风险评估和隐患排查治理制度</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　第三十条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4</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未建立风险数据库和隐患</w:t>
            </w:r>
            <w:r>
              <w:rPr>
                <w:rFonts w:ascii="仿宋_GB2312" w:hAnsi="等线" w:cs="宋体" w:hint="eastAsia"/>
                <w:kern w:val="0"/>
                <w:sz w:val="21"/>
              </w:rPr>
              <w:lastRenderedPageBreak/>
              <w:t>排查手册</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w:t>
            </w:r>
            <w:r>
              <w:rPr>
                <w:rFonts w:ascii="仿宋_GB2312" w:hAnsi="等线" w:cs="宋体" w:hint="eastAsia"/>
                <w:kern w:val="0"/>
                <w:sz w:val="21"/>
              </w:rPr>
              <w:lastRenderedPageBreak/>
              <w:t>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lastRenderedPageBreak/>
              <w:t>交通行政处</w:t>
            </w:r>
            <w:r>
              <w:rPr>
                <w:rFonts w:ascii="仿宋_GB2312" w:hAnsi="等线" w:cs="宋体" w:hint="eastAsia"/>
                <w:kern w:val="0"/>
                <w:sz w:val="21"/>
              </w:rPr>
              <w:lastRenderedPageBreak/>
              <w:t>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《城市轨道交通运营管理</w:t>
            </w:r>
            <w:r>
              <w:rPr>
                <w:rFonts w:ascii="仿宋_GB2312" w:hAnsi="等线" w:cs="宋体" w:hint="eastAsia"/>
                <w:kern w:val="0"/>
                <w:sz w:val="21"/>
              </w:rPr>
              <w:lastRenderedPageBreak/>
              <w:t>规定》（交通部</w:t>
            </w:r>
            <w:r>
              <w:rPr>
                <w:rFonts w:ascii="仿宋_GB2312" w:hAnsi="等线" w:cs="宋体"/>
                <w:kern w:val="0"/>
                <w:sz w:val="21"/>
              </w:rPr>
              <w:t>8号令）第十四条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市级行业管理</w:t>
            </w:r>
            <w:r>
              <w:rPr>
                <w:rFonts w:ascii="仿宋_GB2312" w:hAnsi="等线" w:cs="宋体" w:hint="eastAsia"/>
                <w:kern w:val="0"/>
                <w:sz w:val="21"/>
              </w:rPr>
              <w:lastRenderedPageBreak/>
              <w:t>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lastRenderedPageBreak/>
              <w:t>5</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未按照规定上报城市轨道交通运营相关信息或者运营安全重大故障和事故</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每次扣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8号令）第十八、四十六条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6</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未按规定开展从业人员安全教育</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《北京市轨道交通运营安全条例》第三十一条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7</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未申请综合评审或者经综合评审不符合正式运营条件擅自投入正式运营</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《北京市轨道交通运营安全条例》第十四条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8</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未申请综合评审或者综合评审不符合试运营条件擅自投入试运营</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《北京市轨道交通运营安全条例》第十二条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14061" w:type="dxa"/>
            <w:gridSpan w:val="7"/>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服务质量，3</w:t>
            </w:r>
            <w:r>
              <w:rPr>
                <w:rFonts w:ascii="仿宋_GB2312" w:hAnsi="等线" w:cs="宋体"/>
                <w:kern w:val="0"/>
                <w:sz w:val="21"/>
              </w:rPr>
              <w:t>项指标</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9</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未按要求公示相关信息（运营时间和换乘指示信息服</w:t>
            </w:r>
            <w:r>
              <w:rPr>
                <w:rFonts w:ascii="仿宋_GB2312" w:hAnsi="等线" w:cs="宋体" w:hint="eastAsia"/>
                <w:kern w:val="0"/>
                <w:sz w:val="21"/>
              </w:rPr>
              <w:lastRenderedPageBreak/>
              <w:t>务、设施指引及警告信息服务）</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《北京市轨道交通运营安全条例》第三十三条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lastRenderedPageBreak/>
              <w:t>10</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未向社会公布运营服务质量承诺或者定期报告履行情况</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8号令）第十九条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r>
              <w:rPr>
                <w:rFonts w:ascii="仿宋_GB2312" w:hAnsi="等线" w:cs="宋体" w:hint="eastAsia"/>
                <w:kern w:val="0"/>
                <w:sz w:val="21"/>
              </w:rPr>
              <w:t>1</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未建立投诉受理制度，或者未及时处理乘客投诉并将处理结果告知乘客</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8号令）第二十五条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12478" w:type="dxa"/>
            <w:gridSpan w:val="6"/>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经营管理，4</w:t>
            </w:r>
            <w:r>
              <w:rPr>
                <w:rFonts w:ascii="仿宋_GB2312" w:hAnsi="等线" w:cs="宋体"/>
                <w:kern w:val="0"/>
                <w:sz w:val="21"/>
              </w:rPr>
              <w:t>项指标</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 xml:space="preserve">　</w:t>
            </w:r>
          </w:p>
        </w:tc>
      </w:tr>
      <w:tr w:rsidR="00854202" w:rsidTr="00096677">
        <w:trPr>
          <w:trHeight w:val="1134"/>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r>
              <w:rPr>
                <w:rFonts w:ascii="仿宋_GB2312" w:hAnsi="等线" w:cs="宋体" w:hint="eastAsia"/>
                <w:kern w:val="0"/>
                <w:sz w:val="21"/>
              </w:rPr>
              <w:t>2</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未建立设施设备检查、检测评估、养护维修、更新改造制度和技术管理体系</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8号令）第十五条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1134"/>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r>
              <w:rPr>
                <w:rFonts w:ascii="仿宋_GB2312" w:hAnsi="等线" w:cs="宋体" w:hint="eastAsia"/>
                <w:kern w:val="0"/>
                <w:sz w:val="21"/>
              </w:rPr>
              <w:t>3</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未对设施设备定期检查、检测评估和及时养护维修、更新改造</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8号令）第十五条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1134"/>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lastRenderedPageBreak/>
              <w:t>1</w:t>
            </w:r>
            <w:r>
              <w:rPr>
                <w:rFonts w:ascii="仿宋_GB2312" w:hAnsi="等线" w:cs="宋体" w:hint="eastAsia"/>
                <w:kern w:val="0"/>
                <w:sz w:val="21"/>
              </w:rPr>
              <w:t>4</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列车驾驶员、行车调度员、行车值班员、信号工、通信工等重点岗位从业人员未经考核上岗</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8号令）第十三条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1134"/>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kern w:val="0"/>
                <w:sz w:val="21"/>
              </w:rPr>
              <w:t>1</w:t>
            </w:r>
            <w:r>
              <w:rPr>
                <w:rFonts w:ascii="仿宋_GB2312" w:hAnsi="等线" w:cs="宋体" w:hint="eastAsia"/>
                <w:kern w:val="0"/>
                <w:sz w:val="21"/>
              </w:rPr>
              <w:t>5</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列车驾驶员未按照法律法规的规定取得职业准入资格</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20分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市交通运输综合执法总队</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交通行政处罚决定书</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《城市轨道交通运营管理规定》（交通部</w:t>
            </w:r>
            <w:r>
              <w:rPr>
                <w:rFonts w:ascii="仿宋_GB2312" w:hAnsi="等线" w:cs="宋体"/>
                <w:kern w:val="0"/>
                <w:sz w:val="21"/>
              </w:rPr>
              <w:t>8号令）第十三条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567"/>
        </w:trPr>
        <w:tc>
          <w:tcPr>
            <w:tcW w:w="14061" w:type="dxa"/>
            <w:gridSpan w:val="7"/>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备案事项</w:t>
            </w:r>
            <w:r>
              <w:rPr>
                <w:rFonts w:ascii="仿宋_GB2312" w:hAnsi="等线" w:cs="宋体"/>
                <w:kern w:val="0"/>
                <w:sz w:val="21"/>
              </w:rPr>
              <w:t>,4项指标</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16</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应急预案未备案</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企业提供，市级行业管理部门审核</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交通委出具的相关证明文件</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《北京市轨道交通运营安全条例》第四十五条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17</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安全综合评价报告和专项评价报告未备案</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企业提供，市级行业管理部门审核</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交通委出具的相关证明文件</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《北京市轨道交通运营安全条例》第三十五条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27"/>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t>18</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轨道交通改建、扩建、设施设备重大养护维修、更新改</w:t>
            </w:r>
            <w:r>
              <w:rPr>
                <w:rFonts w:ascii="仿宋_GB2312" w:hAnsi="等线" w:cs="宋体" w:hint="eastAsia"/>
                <w:kern w:val="0"/>
                <w:sz w:val="21"/>
              </w:rPr>
              <w:lastRenderedPageBreak/>
              <w:t>造或者系统调试等作业安全防护方案未备案</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企业提供，市级行业管理部门审核</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交通委出具的相关证明</w:t>
            </w:r>
            <w:r>
              <w:rPr>
                <w:rFonts w:ascii="仿宋_GB2312" w:hAnsi="等线" w:cs="宋体" w:hint="eastAsia"/>
                <w:kern w:val="0"/>
                <w:sz w:val="21"/>
              </w:rPr>
              <w:lastRenderedPageBreak/>
              <w:t>文件</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lastRenderedPageBreak/>
              <w:t>《北京市轨道交通运营安全条例》第三十四条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r w:rsidR="00854202" w:rsidTr="00096677">
        <w:trPr>
          <w:trHeight w:val="20"/>
        </w:trPr>
        <w:tc>
          <w:tcPr>
            <w:tcW w:w="486" w:type="dxa"/>
            <w:shd w:val="clear" w:color="auto" w:fill="auto"/>
            <w:vAlign w:val="center"/>
          </w:tcPr>
          <w:p w:rsidR="00854202" w:rsidRDefault="00854202" w:rsidP="00096677">
            <w:pPr>
              <w:widowControl/>
              <w:spacing w:line="240" w:lineRule="auto"/>
              <w:ind w:firstLineChars="0" w:firstLine="0"/>
              <w:jc w:val="center"/>
              <w:rPr>
                <w:rFonts w:ascii="仿宋_GB2312" w:hAnsi="等线" w:cs="宋体"/>
                <w:kern w:val="0"/>
                <w:sz w:val="21"/>
              </w:rPr>
            </w:pPr>
            <w:r>
              <w:rPr>
                <w:rFonts w:ascii="仿宋_GB2312" w:hAnsi="等线" w:cs="宋体" w:hint="eastAsia"/>
                <w:kern w:val="0"/>
                <w:sz w:val="21"/>
              </w:rPr>
              <w:lastRenderedPageBreak/>
              <w:t>19</w:t>
            </w:r>
          </w:p>
        </w:tc>
        <w:tc>
          <w:tcPr>
            <w:tcW w:w="2687"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广告、商业设施设置方案未备案</w:t>
            </w:r>
          </w:p>
        </w:tc>
        <w:tc>
          <w:tcPr>
            <w:tcW w:w="33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扣</w:t>
            </w:r>
            <w:r>
              <w:rPr>
                <w:rFonts w:ascii="仿宋_GB2312" w:hAnsi="等线" w:cs="宋体"/>
                <w:kern w:val="0"/>
                <w:sz w:val="21"/>
              </w:rPr>
              <w:t>30分</w:t>
            </w:r>
          </w:p>
        </w:tc>
        <w:tc>
          <w:tcPr>
            <w:tcW w:w="1834"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企业提供，市级行业管理部门审核</w:t>
            </w:r>
          </w:p>
        </w:tc>
        <w:tc>
          <w:tcPr>
            <w:tcW w:w="1410" w:type="dxa"/>
            <w:shd w:val="clear" w:color="auto" w:fill="auto"/>
            <w:vAlign w:val="center"/>
          </w:tcPr>
          <w:p w:rsidR="00854202" w:rsidRDefault="00854202" w:rsidP="00096677">
            <w:pPr>
              <w:widowControl/>
              <w:spacing w:line="240" w:lineRule="auto"/>
              <w:ind w:firstLineChars="0" w:firstLine="0"/>
              <w:jc w:val="left"/>
              <w:rPr>
                <w:rFonts w:ascii="仿宋_GB2312" w:hAnsi="等线" w:cs="宋体"/>
                <w:kern w:val="0"/>
                <w:sz w:val="21"/>
              </w:rPr>
            </w:pPr>
            <w:r>
              <w:rPr>
                <w:rFonts w:ascii="仿宋_GB2312" w:hAnsi="等线" w:cs="宋体" w:hint="eastAsia"/>
                <w:kern w:val="0"/>
                <w:sz w:val="21"/>
              </w:rPr>
              <w:t>交通委出具的相关证明文件</w:t>
            </w:r>
          </w:p>
        </w:tc>
        <w:tc>
          <w:tcPr>
            <w:tcW w:w="2678"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《北京市轨道交通运营安全条例》第十七条</w:t>
            </w:r>
          </w:p>
        </w:tc>
        <w:tc>
          <w:tcPr>
            <w:tcW w:w="1583" w:type="dxa"/>
            <w:shd w:val="clear" w:color="auto" w:fill="auto"/>
            <w:vAlign w:val="center"/>
          </w:tcPr>
          <w:p w:rsidR="00854202" w:rsidRDefault="00854202" w:rsidP="00096677">
            <w:pPr>
              <w:widowControl/>
              <w:spacing w:line="240" w:lineRule="auto"/>
              <w:ind w:firstLineChars="0" w:firstLine="0"/>
              <w:rPr>
                <w:rFonts w:ascii="仿宋_GB2312" w:hAnsi="等线" w:cs="宋体"/>
                <w:kern w:val="0"/>
                <w:sz w:val="21"/>
              </w:rPr>
            </w:pPr>
            <w:r>
              <w:rPr>
                <w:rFonts w:ascii="仿宋_GB2312" w:hAnsi="等线" w:cs="宋体" w:hint="eastAsia"/>
                <w:kern w:val="0"/>
                <w:sz w:val="21"/>
              </w:rPr>
              <w:t>市级行业管理部门录入</w:t>
            </w:r>
          </w:p>
        </w:tc>
      </w:tr>
    </w:tbl>
    <w:p w:rsidR="00D464F7" w:rsidRPr="00854202" w:rsidRDefault="00D464F7" w:rsidP="00854202">
      <w:pPr>
        <w:ind w:firstLine="640"/>
      </w:pPr>
    </w:p>
    <w:sectPr w:rsidR="00D464F7" w:rsidRPr="00854202" w:rsidSect="00582CA0">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6C" w:rsidRDefault="00687E6C" w:rsidP="00582CA0">
      <w:pPr>
        <w:spacing w:line="240" w:lineRule="auto"/>
        <w:ind w:firstLine="640"/>
      </w:pPr>
      <w:r>
        <w:separator/>
      </w:r>
    </w:p>
  </w:endnote>
  <w:endnote w:type="continuationSeparator" w:id="0">
    <w:p w:rsidR="00687E6C" w:rsidRDefault="00687E6C" w:rsidP="00582CA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6C" w:rsidRDefault="00687E6C" w:rsidP="00582CA0">
      <w:pPr>
        <w:spacing w:line="240" w:lineRule="auto"/>
        <w:ind w:firstLine="640"/>
      </w:pPr>
      <w:r>
        <w:separator/>
      </w:r>
    </w:p>
  </w:footnote>
  <w:footnote w:type="continuationSeparator" w:id="0">
    <w:p w:rsidR="00687E6C" w:rsidRDefault="00687E6C" w:rsidP="00582CA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rsidP="00503D0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02" w:rsidRDefault="00503D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5E"/>
    <w:rsid w:val="000039AB"/>
    <w:rsid w:val="00006560"/>
    <w:rsid w:val="000071C9"/>
    <w:rsid w:val="00015D99"/>
    <w:rsid w:val="00025A4A"/>
    <w:rsid w:val="00025B4F"/>
    <w:rsid w:val="000376E2"/>
    <w:rsid w:val="00044FF5"/>
    <w:rsid w:val="000468AC"/>
    <w:rsid w:val="0005421D"/>
    <w:rsid w:val="00054240"/>
    <w:rsid w:val="00060034"/>
    <w:rsid w:val="00082CDD"/>
    <w:rsid w:val="0009042B"/>
    <w:rsid w:val="000A1C81"/>
    <w:rsid w:val="000B288E"/>
    <w:rsid w:val="000C002D"/>
    <w:rsid w:val="000D14CB"/>
    <w:rsid w:val="000E1747"/>
    <w:rsid w:val="000E55F9"/>
    <w:rsid w:val="000F15C9"/>
    <w:rsid w:val="000F6D62"/>
    <w:rsid w:val="000F6D80"/>
    <w:rsid w:val="00111F81"/>
    <w:rsid w:val="00115D61"/>
    <w:rsid w:val="00115DD4"/>
    <w:rsid w:val="00122455"/>
    <w:rsid w:val="00125936"/>
    <w:rsid w:val="001274FF"/>
    <w:rsid w:val="00133A5A"/>
    <w:rsid w:val="0013466E"/>
    <w:rsid w:val="00136B03"/>
    <w:rsid w:val="00142FC5"/>
    <w:rsid w:val="00153FDC"/>
    <w:rsid w:val="001971CD"/>
    <w:rsid w:val="001A4368"/>
    <w:rsid w:val="001B23CE"/>
    <w:rsid w:val="001B5803"/>
    <w:rsid w:val="001B7AE6"/>
    <w:rsid w:val="001C6119"/>
    <w:rsid w:val="001D13A7"/>
    <w:rsid w:val="001D51E3"/>
    <w:rsid w:val="001E4D60"/>
    <w:rsid w:val="00200A13"/>
    <w:rsid w:val="002049BD"/>
    <w:rsid w:val="00205EE1"/>
    <w:rsid w:val="002122C0"/>
    <w:rsid w:val="002144B7"/>
    <w:rsid w:val="00215E2B"/>
    <w:rsid w:val="0021788E"/>
    <w:rsid w:val="00223DAC"/>
    <w:rsid w:val="00223FC5"/>
    <w:rsid w:val="002246C0"/>
    <w:rsid w:val="00224D49"/>
    <w:rsid w:val="0023540E"/>
    <w:rsid w:val="00242ECD"/>
    <w:rsid w:val="00246599"/>
    <w:rsid w:val="00250B36"/>
    <w:rsid w:val="002510CA"/>
    <w:rsid w:val="0025152D"/>
    <w:rsid w:val="002518B7"/>
    <w:rsid w:val="00251B9E"/>
    <w:rsid w:val="002573DD"/>
    <w:rsid w:val="00261A64"/>
    <w:rsid w:val="00261DF8"/>
    <w:rsid w:val="00271847"/>
    <w:rsid w:val="002757F3"/>
    <w:rsid w:val="002801F1"/>
    <w:rsid w:val="00293093"/>
    <w:rsid w:val="002966BD"/>
    <w:rsid w:val="002A175A"/>
    <w:rsid w:val="002A4592"/>
    <w:rsid w:val="002B260B"/>
    <w:rsid w:val="002D040F"/>
    <w:rsid w:val="002D1527"/>
    <w:rsid w:val="002D2B70"/>
    <w:rsid w:val="002E09A0"/>
    <w:rsid w:val="002E1815"/>
    <w:rsid w:val="002E2D0E"/>
    <w:rsid w:val="002F56E6"/>
    <w:rsid w:val="00306DFC"/>
    <w:rsid w:val="00307ACC"/>
    <w:rsid w:val="00310ED6"/>
    <w:rsid w:val="00311A38"/>
    <w:rsid w:val="0031437D"/>
    <w:rsid w:val="003205F7"/>
    <w:rsid w:val="00320CD7"/>
    <w:rsid w:val="00330955"/>
    <w:rsid w:val="00331D3B"/>
    <w:rsid w:val="00333EAE"/>
    <w:rsid w:val="003351BE"/>
    <w:rsid w:val="003440EC"/>
    <w:rsid w:val="00345490"/>
    <w:rsid w:val="00351165"/>
    <w:rsid w:val="00351ED9"/>
    <w:rsid w:val="00352F44"/>
    <w:rsid w:val="00354446"/>
    <w:rsid w:val="00360D98"/>
    <w:rsid w:val="003656A0"/>
    <w:rsid w:val="00371004"/>
    <w:rsid w:val="00374C70"/>
    <w:rsid w:val="00376DD8"/>
    <w:rsid w:val="00382C98"/>
    <w:rsid w:val="00385D25"/>
    <w:rsid w:val="00387FC9"/>
    <w:rsid w:val="0039006F"/>
    <w:rsid w:val="003A62BB"/>
    <w:rsid w:val="003B27BA"/>
    <w:rsid w:val="003E329A"/>
    <w:rsid w:val="00404FC1"/>
    <w:rsid w:val="00406A6B"/>
    <w:rsid w:val="00407B1C"/>
    <w:rsid w:val="00411D07"/>
    <w:rsid w:val="00415D3F"/>
    <w:rsid w:val="004249DC"/>
    <w:rsid w:val="0043048F"/>
    <w:rsid w:val="00434777"/>
    <w:rsid w:val="00447068"/>
    <w:rsid w:val="00462C35"/>
    <w:rsid w:val="00465E5F"/>
    <w:rsid w:val="00470850"/>
    <w:rsid w:val="0047502D"/>
    <w:rsid w:val="004769DE"/>
    <w:rsid w:val="00476AC1"/>
    <w:rsid w:val="00484C9E"/>
    <w:rsid w:val="004A0004"/>
    <w:rsid w:val="004A0BE7"/>
    <w:rsid w:val="004A75AB"/>
    <w:rsid w:val="004B1556"/>
    <w:rsid w:val="004B1C18"/>
    <w:rsid w:val="004C2EB3"/>
    <w:rsid w:val="004C3C6A"/>
    <w:rsid w:val="004D2929"/>
    <w:rsid w:val="004D40D5"/>
    <w:rsid w:val="004D5648"/>
    <w:rsid w:val="004E4B9F"/>
    <w:rsid w:val="004F4B5B"/>
    <w:rsid w:val="004F7710"/>
    <w:rsid w:val="00501581"/>
    <w:rsid w:val="00503D02"/>
    <w:rsid w:val="00520239"/>
    <w:rsid w:val="00521044"/>
    <w:rsid w:val="00521C0A"/>
    <w:rsid w:val="00522539"/>
    <w:rsid w:val="00523C3F"/>
    <w:rsid w:val="00534A6E"/>
    <w:rsid w:val="00541DF7"/>
    <w:rsid w:val="00554C69"/>
    <w:rsid w:val="00557820"/>
    <w:rsid w:val="005702DB"/>
    <w:rsid w:val="005773C7"/>
    <w:rsid w:val="00582CA0"/>
    <w:rsid w:val="00583103"/>
    <w:rsid w:val="00593173"/>
    <w:rsid w:val="00597796"/>
    <w:rsid w:val="005A285C"/>
    <w:rsid w:val="005A3144"/>
    <w:rsid w:val="005A3391"/>
    <w:rsid w:val="005A347E"/>
    <w:rsid w:val="005B1462"/>
    <w:rsid w:val="005B2F27"/>
    <w:rsid w:val="005D2163"/>
    <w:rsid w:val="005D76A2"/>
    <w:rsid w:val="005E27A1"/>
    <w:rsid w:val="005E4280"/>
    <w:rsid w:val="005E4852"/>
    <w:rsid w:val="005E48CD"/>
    <w:rsid w:val="005E4DFA"/>
    <w:rsid w:val="005E5F47"/>
    <w:rsid w:val="005E72FB"/>
    <w:rsid w:val="005F54EF"/>
    <w:rsid w:val="005F7771"/>
    <w:rsid w:val="00602C01"/>
    <w:rsid w:val="00611BB3"/>
    <w:rsid w:val="006223B2"/>
    <w:rsid w:val="006246AE"/>
    <w:rsid w:val="00630C24"/>
    <w:rsid w:val="006311A4"/>
    <w:rsid w:val="00637BFA"/>
    <w:rsid w:val="00642043"/>
    <w:rsid w:val="006548A4"/>
    <w:rsid w:val="006548AD"/>
    <w:rsid w:val="006601D5"/>
    <w:rsid w:val="00660A33"/>
    <w:rsid w:val="006612A7"/>
    <w:rsid w:val="006641DA"/>
    <w:rsid w:val="0066507F"/>
    <w:rsid w:val="00670381"/>
    <w:rsid w:val="00670674"/>
    <w:rsid w:val="006715F5"/>
    <w:rsid w:val="00683C13"/>
    <w:rsid w:val="00684593"/>
    <w:rsid w:val="00684A07"/>
    <w:rsid w:val="00685ECB"/>
    <w:rsid w:val="00686B6B"/>
    <w:rsid w:val="00687E6C"/>
    <w:rsid w:val="00694274"/>
    <w:rsid w:val="00694C46"/>
    <w:rsid w:val="006A543B"/>
    <w:rsid w:val="006A686B"/>
    <w:rsid w:val="006B1E65"/>
    <w:rsid w:val="006C08F2"/>
    <w:rsid w:val="006C77C0"/>
    <w:rsid w:val="006D6BC7"/>
    <w:rsid w:val="006F6C06"/>
    <w:rsid w:val="0070224C"/>
    <w:rsid w:val="00713562"/>
    <w:rsid w:val="007247F8"/>
    <w:rsid w:val="00724CAB"/>
    <w:rsid w:val="00740C55"/>
    <w:rsid w:val="007455BE"/>
    <w:rsid w:val="00747819"/>
    <w:rsid w:val="007649E8"/>
    <w:rsid w:val="0076681A"/>
    <w:rsid w:val="0078064E"/>
    <w:rsid w:val="007807CC"/>
    <w:rsid w:val="007842B6"/>
    <w:rsid w:val="007900E4"/>
    <w:rsid w:val="00793ADB"/>
    <w:rsid w:val="00794518"/>
    <w:rsid w:val="007A0FCB"/>
    <w:rsid w:val="007A473D"/>
    <w:rsid w:val="007A5787"/>
    <w:rsid w:val="007D0E88"/>
    <w:rsid w:val="007E027E"/>
    <w:rsid w:val="007E480E"/>
    <w:rsid w:val="007F18B2"/>
    <w:rsid w:val="007F199D"/>
    <w:rsid w:val="007F1F79"/>
    <w:rsid w:val="007F3DB2"/>
    <w:rsid w:val="0080054A"/>
    <w:rsid w:val="00803E3E"/>
    <w:rsid w:val="00825886"/>
    <w:rsid w:val="0082696E"/>
    <w:rsid w:val="00831B70"/>
    <w:rsid w:val="0083603D"/>
    <w:rsid w:val="008407EF"/>
    <w:rsid w:val="00844C65"/>
    <w:rsid w:val="00854202"/>
    <w:rsid w:val="0086194C"/>
    <w:rsid w:val="00861CA6"/>
    <w:rsid w:val="008727E4"/>
    <w:rsid w:val="008815FF"/>
    <w:rsid w:val="00881858"/>
    <w:rsid w:val="00883081"/>
    <w:rsid w:val="00884092"/>
    <w:rsid w:val="00887219"/>
    <w:rsid w:val="00887AF7"/>
    <w:rsid w:val="008923CA"/>
    <w:rsid w:val="008A6E83"/>
    <w:rsid w:val="008C07EC"/>
    <w:rsid w:val="008C1532"/>
    <w:rsid w:val="008C2FC7"/>
    <w:rsid w:val="008C53E8"/>
    <w:rsid w:val="008D3989"/>
    <w:rsid w:val="008E0F1E"/>
    <w:rsid w:val="008E7572"/>
    <w:rsid w:val="008F11E1"/>
    <w:rsid w:val="008F51BA"/>
    <w:rsid w:val="009020EA"/>
    <w:rsid w:val="00903781"/>
    <w:rsid w:val="00903946"/>
    <w:rsid w:val="0090790C"/>
    <w:rsid w:val="00910DD6"/>
    <w:rsid w:val="00911646"/>
    <w:rsid w:val="009135D1"/>
    <w:rsid w:val="009169E1"/>
    <w:rsid w:val="00922067"/>
    <w:rsid w:val="00925114"/>
    <w:rsid w:val="00933A84"/>
    <w:rsid w:val="00941C42"/>
    <w:rsid w:val="00947DCA"/>
    <w:rsid w:val="00953017"/>
    <w:rsid w:val="00953B94"/>
    <w:rsid w:val="009550B2"/>
    <w:rsid w:val="0096010D"/>
    <w:rsid w:val="0096676E"/>
    <w:rsid w:val="00971189"/>
    <w:rsid w:val="009804FB"/>
    <w:rsid w:val="00982555"/>
    <w:rsid w:val="00982D0D"/>
    <w:rsid w:val="00983DF0"/>
    <w:rsid w:val="0098520B"/>
    <w:rsid w:val="0099002B"/>
    <w:rsid w:val="00993606"/>
    <w:rsid w:val="00994A00"/>
    <w:rsid w:val="009A27A5"/>
    <w:rsid w:val="009A677D"/>
    <w:rsid w:val="009B72EE"/>
    <w:rsid w:val="009B79C6"/>
    <w:rsid w:val="009F143E"/>
    <w:rsid w:val="009F3363"/>
    <w:rsid w:val="009F3A83"/>
    <w:rsid w:val="009F47F1"/>
    <w:rsid w:val="009F5A8E"/>
    <w:rsid w:val="009F6EF4"/>
    <w:rsid w:val="00A06AA4"/>
    <w:rsid w:val="00A13E6E"/>
    <w:rsid w:val="00A213E1"/>
    <w:rsid w:val="00A24096"/>
    <w:rsid w:val="00A30883"/>
    <w:rsid w:val="00A317EB"/>
    <w:rsid w:val="00A32437"/>
    <w:rsid w:val="00A412BF"/>
    <w:rsid w:val="00A43763"/>
    <w:rsid w:val="00A437EA"/>
    <w:rsid w:val="00A46F49"/>
    <w:rsid w:val="00A50C87"/>
    <w:rsid w:val="00A527A3"/>
    <w:rsid w:val="00A55653"/>
    <w:rsid w:val="00A56B8B"/>
    <w:rsid w:val="00A63AD4"/>
    <w:rsid w:val="00A63AF7"/>
    <w:rsid w:val="00A67315"/>
    <w:rsid w:val="00A7465F"/>
    <w:rsid w:val="00A75B97"/>
    <w:rsid w:val="00A84EB6"/>
    <w:rsid w:val="00A86E3F"/>
    <w:rsid w:val="00A87CDA"/>
    <w:rsid w:val="00AB4D94"/>
    <w:rsid w:val="00AB5F86"/>
    <w:rsid w:val="00AC0F10"/>
    <w:rsid w:val="00AC50CC"/>
    <w:rsid w:val="00AD279B"/>
    <w:rsid w:val="00AD2DA5"/>
    <w:rsid w:val="00AE68D4"/>
    <w:rsid w:val="00AE6B6F"/>
    <w:rsid w:val="00AE6DF3"/>
    <w:rsid w:val="00AF0166"/>
    <w:rsid w:val="00AF0621"/>
    <w:rsid w:val="00AF34A4"/>
    <w:rsid w:val="00AF490D"/>
    <w:rsid w:val="00B0008B"/>
    <w:rsid w:val="00B027AE"/>
    <w:rsid w:val="00B0588C"/>
    <w:rsid w:val="00B10DAB"/>
    <w:rsid w:val="00B12691"/>
    <w:rsid w:val="00B12C12"/>
    <w:rsid w:val="00B1553D"/>
    <w:rsid w:val="00B163D5"/>
    <w:rsid w:val="00B25621"/>
    <w:rsid w:val="00B25BED"/>
    <w:rsid w:val="00B264A9"/>
    <w:rsid w:val="00B36DC5"/>
    <w:rsid w:val="00B40C06"/>
    <w:rsid w:val="00B43113"/>
    <w:rsid w:val="00B4350A"/>
    <w:rsid w:val="00B50BAF"/>
    <w:rsid w:val="00B5191A"/>
    <w:rsid w:val="00B51CAE"/>
    <w:rsid w:val="00B52039"/>
    <w:rsid w:val="00B53F1E"/>
    <w:rsid w:val="00B62B45"/>
    <w:rsid w:val="00B821B3"/>
    <w:rsid w:val="00B979CB"/>
    <w:rsid w:val="00B97B3F"/>
    <w:rsid w:val="00BB1ED9"/>
    <w:rsid w:val="00BB3C01"/>
    <w:rsid w:val="00BD4995"/>
    <w:rsid w:val="00BF04B3"/>
    <w:rsid w:val="00BF30AD"/>
    <w:rsid w:val="00BF7DF2"/>
    <w:rsid w:val="00C005A9"/>
    <w:rsid w:val="00C12A48"/>
    <w:rsid w:val="00C136F2"/>
    <w:rsid w:val="00C44DD8"/>
    <w:rsid w:val="00C61A51"/>
    <w:rsid w:val="00C6409F"/>
    <w:rsid w:val="00C66268"/>
    <w:rsid w:val="00C67D13"/>
    <w:rsid w:val="00C727D8"/>
    <w:rsid w:val="00C75918"/>
    <w:rsid w:val="00C83878"/>
    <w:rsid w:val="00C8678E"/>
    <w:rsid w:val="00C919E6"/>
    <w:rsid w:val="00C937DC"/>
    <w:rsid w:val="00C96601"/>
    <w:rsid w:val="00CA6560"/>
    <w:rsid w:val="00CB512D"/>
    <w:rsid w:val="00CC01DB"/>
    <w:rsid w:val="00CC5EAB"/>
    <w:rsid w:val="00CD63CA"/>
    <w:rsid w:val="00CD6B31"/>
    <w:rsid w:val="00CD6C53"/>
    <w:rsid w:val="00CE025F"/>
    <w:rsid w:val="00CE02F8"/>
    <w:rsid w:val="00CE20AE"/>
    <w:rsid w:val="00CF4994"/>
    <w:rsid w:val="00CF739F"/>
    <w:rsid w:val="00CF7C1C"/>
    <w:rsid w:val="00D02E4D"/>
    <w:rsid w:val="00D06457"/>
    <w:rsid w:val="00D105E8"/>
    <w:rsid w:val="00D10FE4"/>
    <w:rsid w:val="00D11BA5"/>
    <w:rsid w:val="00D21B3E"/>
    <w:rsid w:val="00D25515"/>
    <w:rsid w:val="00D32061"/>
    <w:rsid w:val="00D33D43"/>
    <w:rsid w:val="00D34F34"/>
    <w:rsid w:val="00D37778"/>
    <w:rsid w:val="00D411B3"/>
    <w:rsid w:val="00D464F7"/>
    <w:rsid w:val="00D46F1D"/>
    <w:rsid w:val="00D733B9"/>
    <w:rsid w:val="00D84ED1"/>
    <w:rsid w:val="00D93D64"/>
    <w:rsid w:val="00DA1520"/>
    <w:rsid w:val="00DB415E"/>
    <w:rsid w:val="00DB582B"/>
    <w:rsid w:val="00DB5E8A"/>
    <w:rsid w:val="00DC293D"/>
    <w:rsid w:val="00DC47C6"/>
    <w:rsid w:val="00DD1661"/>
    <w:rsid w:val="00DD1959"/>
    <w:rsid w:val="00DD62CF"/>
    <w:rsid w:val="00DE39FD"/>
    <w:rsid w:val="00DF543C"/>
    <w:rsid w:val="00DF6797"/>
    <w:rsid w:val="00E0060D"/>
    <w:rsid w:val="00E01FC7"/>
    <w:rsid w:val="00E0476B"/>
    <w:rsid w:val="00E2153F"/>
    <w:rsid w:val="00E239C8"/>
    <w:rsid w:val="00E269B3"/>
    <w:rsid w:val="00E35425"/>
    <w:rsid w:val="00E40195"/>
    <w:rsid w:val="00E40D79"/>
    <w:rsid w:val="00E41A7A"/>
    <w:rsid w:val="00E50C28"/>
    <w:rsid w:val="00E575F0"/>
    <w:rsid w:val="00E608C9"/>
    <w:rsid w:val="00E60D3A"/>
    <w:rsid w:val="00E75011"/>
    <w:rsid w:val="00E82572"/>
    <w:rsid w:val="00E90F0B"/>
    <w:rsid w:val="00E92B5A"/>
    <w:rsid w:val="00E938DE"/>
    <w:rsid w:val="00E957C7"/>
    <w:rsid w:val="00EB4626"/>
    <w:rsid w:val="00EC1076"/>
    <w:rsid w:val="00EC2FA6"/>
    <w:rsid w:val="00EC5193"/>
    <w:rsid w:val="00ED2434"/>
    <w:rsid w:val="00ED4496"/>
    <w:rsid w:val="00ED543A"/>
    <w:rsid w:val="00EE5FF5"/>
    <w:rsid w:val="00EE63F7"/>
    <w:rsid w:val="00EF36E9"/>
    <w:rsid w:val="00EF38D5"/>
    <w:rsid w:val="00F01B0D"/>
    <w:rsid w:val="00F024DD"/>
    <w:rsid w:val="00F02F4B"/>
    <w:rsid w:val="00F0748A"/>
    <w:rsid w:val="00F16C26"/>
    <w:rsid w:val="00F25CC9"/>
    <w:rsid w:val="00F30386"/>
    <w:rsid w:val="00F31A15"/>
    <w:rsid w:val="00F322D1"/>
    <w:rsid w:val="00F351CD"/>
    <w:rsid w:val="00F37045"/>
    <w:rsid w:val="00F46384"/>
    <w:rsid w:val="00F5186F"/>
    <w:rsid w:val="00F51D30"/>
    <w:rsid w:val="00F5231C"/>
    <w:rsid w:val="00F60065"/>
    <w:rsid w:val="00F62B43"/>
    <w:rsid w:val="00F63271"/>
    <w:rsid w:val="00F7263C"/>
    <w:rsid w:val="00F73679"/>
    <w:rsid w:val="00F74037"/>
    <w:rsid w:val="00F8065A"/>
    <w:rsid w:val="00F82ACA"/>
    <w:rsid w:val="00F82FD6"/>
    <w:rsid w:val="00F84DA2"/>
    <w:rsid w:val="00FA316A"/>
    <w:rsid w:val="00FA55DC"/>
    <w:rsid w:val="00FB4BDB"/>
    <w:rsid w:val="00FB688C"/>
    <w:rsid w:val="00FD15F6"/>
    <w:rsid w:val="00FD26F6"/>
    <w:rsid w:val="00FE2827"/>
    <w:rsid w:val="00FE43E5"/>
    <w:rsid w:val="00FE713C"/>
    <w:rsid w:val="00FF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A0"/>
    <w:pPr>
      <w:widowControl w:val="0"/>
      <w:spacing w:line="560" w:lineRule="exact"/>
      <w:ind w:firstLineChars="200" w:firstLine="200"/>
      <w:jc w:val="both"/>
    </w:pPr>
    <w:rPr>
      <w:rFonts w:eastAsia="仿宋_GB2312"/>
      <w:sz w:val="32"/>
      <w:szCs w:val="21"/>
    </w:rPr>
  </w:style>
  <w:style w:type="paragraph" w:styleId="2">
    <w:name w:val="heading 2"/>
    <w:aliases w:val="二级标题"/>
    <w:basedOn w:val="a"/>
    <w:next w:val="a"/>
    <w:link w:val="2Char"/>
    <w:uiPriority w:val="9"/>
    <w:unhideWhenUsed/>
    <w:qFormat/>
    <w:rsid w:val="00582CA0"/>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CA0"/>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Char">
    <w:name w:val="页眉 Char"/>
    <w:basedOn w:val="a0"/>
    <w:link w:val="a3"/>
    <w:uiPriority w:val="99"/>
    <w:rsid w:val="00582CA0"/>
    <w:rPr>
      <w:sz w:val="18"/>
      <w:szCs w:val="18"/>
    </w:rPr>
  </w:style>
  <w:style w:type="paragraph" w:styleId="a4">
    <w:name w:val="footer"/>
    <w:basedOn w:val="a"/>
    <w:link w:val="Char0"/>
    <w:uiPriority w:val="99"/>
    <w:unhideWhenUsed/>
    <w:rsid w:val="00582CA0"/>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Char0">
    <w:name w:val="页脚 Char"/>
    <w:basedOn w:val="a0"/>
    <w:link w:val="a4"/>
    <w:uiPriority w:val="99"/>
    <w:rsid w:val="00582CA0"/>
    <w:rPr>
      <w:sz w:val="18"/>
      <w:szCs w:val="18"/>
    </w:rPr>
  </w:style>
  <w:style w:type="character" w:customStyle="1" w:styleId="2Char">
    <w:name w:val="标题 2 Char"/>
    <w:aliases w:val="二级标题 Char"/>
    <w:basedOn w:val="a0"/>
    <w:link w:val="2"/>
    <w:uiPriority w:val="9"/>
    <w:qFormat/>
    <w:rsid w:val="00582CA0"/>
    <w:rPr>
      <w:rFonts w:asciiTheme="majorHAnsi" w:eastAsia="黑体" w:hAnsiTheme="majorHAnsi" w:cstheme="majorBidi"/>
      <w:bCs/>
      <w:sz w:val="32"/>
      <w:szCs w:val="32"/>
    </w:rPr>
  </w:style>
  <w:style w:type="paragraph" w:styleId="a5">
    <w:name w:val="Balloon Text"/>
    <w:basedOn w:val="a"/>
    <w:link w:val="Char1"/>
    <w:uiPriority w:val="99"/>
    <w:semiHidden/>
    <w:unhideWhenUsed/>
    <w:rsid w:val="00670674"/>
    <w:pPr>
      <w:spacing w:line="240" w:lineRule="auto"/>
    </w:pPr>
    <w:rPr>
      <w:sz w:val="18"/>
      <w:szCs w:val="18"/>
    </w:rPr>
  </w:style>
  <w:style w:type="character" w:customStyle="1" w:styleId="Char1">
    <w:name w:val="批注框文本 Char"/>
    <w:basedOn w:val="a0"/>
    <w:link w:val="a5"/>
    <w:uiPriority w:val="99"/>
    <w:semiHidden/>
    <w:rsid w:val="00670674"/>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A0"/>
    <w:pPr>
      <w:widowControl w:val="0"/>
      <w:spacing w:line="560" w:lineRule="exact"/>
      <w:ind w:firstLineChars="200" w:firstLine="200"/>
      <w:jc w:val="both"/>
    </w:pPr>
    <w:rPr>
      <w:rFonts w:eastAsia="仿宋_GB2312"/>
      <w:sz w:val="32"/>
      <w:szCs w:val="21"/>
    </w:rPr>
  </w:style>
  <w:style w:type="paragraph" w:styleId="2">
    <w:name w:val="heading 2"/>
    <w:aliases w:val="二级标题"/>
    <w:basedOn w:val="a"/>
    <w:next w:val="a"/>
    <w:link w:val="2Char"/>
    <w:uiPriority w:val="9"/>
    <w:unhideWhenUsed/>
    <w:qFormat/>
    <w:rsid w:val="00582CA0"/>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CA0"/>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Char">
    <w:name w:val="页眉 Char"/>
    <w:basedOn w:val="a0"/>
    <w:link w:val="a3"/>
    <w:uiPriority w:val="99"/>
    <w:rsid w:val="00582CA0"/>
    <w:rPr>
      <w:sz w:val="18"/>
      <w:szCs w:val="18"/>
    </w:rPr>
  </w:style>
  <w:style w:type="paragraph" w:styleId="a4">
    <w:name w:val="footer"/>
    <w:basedOn w:val="a"/>
    <w:link w:val="Char0"/>
    <w:uiPriority w:val="99"/>
    <w:unhideWhenUsed/>
    <w:rsid w:val="00582CA0"/>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Char0">
    <w:name w:val="页脚 Char"/>
    <w:basedOn w:val="a0"/>
    <w:link w:val="a4"/>
    <w:uiPriority w:val="99"/>
    <w:rsid w:val="00582CA0"/>
    <w:rPr>
      <w:sz w:val="18"/>
      <w:szCs w:val="18"/>
    </w:rPr>
  </w:style>
  <w:style w:type="character" w:customStyle="1" w:styleId="2Char">
    <w:name w:val="标题 2 Char"/>
    <w:aliases w:val="二级标题 Char"/>
    <w:basedOn w:val="a0"/>
    <w:link w:val="2"/>
    <w:uiPriority w:val="9"/>
    <w:qFormat/>
    <w:rsid w:val="00582CA0"/>
    <w:rPr>
      <w:rFonts w:asciiTheme="majorHAnsi" w:eastAsia="黑体" w:hAnsiTheme="majorHAnsi" w:cstheme="majorBidi"/>
      <w:bCs/>
      <w:sz w:val="32"/>
      <w:szCs w:val="32"/>
    </w:rPr>
  </w:style>
  <w:style w:type="paragraph" w:styleId="a5">
    <w:name w:val="Balloon Text"/>
    <w:basedOn w:val="a"/>
    <w:link w:val="Char1"/>
    <w:uiPriority w:val="99"/>
    <w:semiHidden/>
    <w:unhideWhenUsed/>
    <w:rsid w:val="00670674"/>
    <w:pPr>
      <w:spacing w:line="240" w:lineRule="auto"/>
    </w:pPr>
    <w:rPr>
      <w:sz w:val="18"/>
      <w:szCs w:val="18"/>
    </w:rPr>
  </w:style>
  <w:style w:type="character" w:customStyle="1" w:styleId="Char1">
    <w:name w:val="批注框文本 Char"/>
    <w:basedOn w:val="a0"/>
    <w:link w:val="a5"/>
    <w:uiPriority w:val="99"/>
    <w:semiHidden/>
    <w:rsid w:val="00670674"/>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518</Words>
  <Characters>2953</Characters>
  <Application>Microsoft Office Word</Application>
  <DocSecurity>0</DocSecurity>
  <Lines>24</Lines>
  <Paragraphs>6</Paragraphs>
  <ScaleCrop>false</ScaleCrop>
  <Company>Lenovo</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马川</dc:creator>
  <cp:keywords/>
  <dc:description/>
  <cp:lastModifiedBy>马川</cp:lastModifiedBy>
  <cp:revision>4</cp:revision>
  <cp:lastPrinted>2023-10-19T08:30:00Z</cp:lastPrinted>
  <dcterms:created xsi:type="dcterms:W3CDTF">2023-10-19T07:46:00Z</dcterms:created>
  <dcterms:modified xsi:type="dcterms:W3CDTF">2023-10-20T01:22:00Z</dcterms:modified>
</cp:coreProperties>
</file>