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bookmarkStart w:id="0" w:name="_Hlk113389435"/>
      <w:r>
        <w:rPr>
          <w:rFonts w:hint="eastAsia" w:ascii="方正小标宋简体" w:hAnsi="方正小标宋简体" w:eastAsia="方正小标宋简体" w:cs="方正小标宋简体"/>
          <w:bCs/>
          <w:sz w:val="44"/>
          <w:szCs w:val="44"/>
        </w:rPr>
        <w:t>北京市沥青混合料绿色评价</w:t>
      </w:r>
      <w:bookmarkStart w:id="2" w:name="_GoBack"/>
      <w:bookmarkEnd w:id="2"/>
      <w:r>
        <w:rPr>
          <w:rFonts w:hint="eastAsia" w:ascii="方正小标宋简体" w:hAnsi="方正小标宋简体" w:eastAsia="方正小标宋简体" w:cs="方正小标宋简体"/>
          <w:bCs/>
          <w:sz w:val="44"/>
          <w:szCs w:val="44"/>
        </w:rPr>
        <w:t>技术指南</w:t>
      </w:r>
      <w:bookmarkEnd w:id="0"/>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编制说明</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一、背景及起草过程</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近年来，随着我国城市化进程不断加快，沥青路面材料生产行业迅速发展，沥青混合料使用过程中所产生的污染物排放、能源消耗及废旧沥青混合料循环利用等问题引起了广泛关注。为鼓励推动低污染、低能耗的沥青混合料推广应用，进一步加快北京市绿色交通体系建设，助力改善北京市环境空气质量，保障民众人体健康，贯彻落实《交通运输部办公厅&lt;关于实施绿色公路建设的指导意见&gt;（交办公路〔2016〕93号）》、《关于调整优化节能产品、环境标志产品政府采购执行机制的通知（财库〔2019〕9号）》、《关于进一步加强绿色政府采购有关事项的通知（京财采购〔2018〕2593号）》、《北京市人民政府办公厅关于印发&lt;北京市深入打好污染防治攻坚战2022年行动计划&gt;的通知（京政办发〔2022〕6号）》文件的要求，北京市交通委于2020年10月下达了《北京市沥青混合料绿色评价技术指南》的编制任务，并委托北京市政路桥建材集团有限公司公路交通节能与环保技术及装备交通运输行业研发中心（北京）</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承担该《北京市沥青混合料绿色评价技术指南》的编制工作。</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二、制定</w:t>
      </w:r>
      <w:r>
        <w:rPr>
          <w:rFonts w:ascii="黑体" w:hAnsi="宋体" w:eastAsia="黑体"/>
          <w:sz w:val="28"/>
          <w:szCs w:val="28"/>
        </w:rPr>
        <w:t>标准的</w:t>
      </w:r>
      <w:r>
        <w:rPr>
          <w:rFonts w:hint="eastAsia" w:ascii="黑体" w:hAnsi="宋体" w:eastAsia="黑体"/>
          <w:sz w:val="28"/>
          <w:szCs w:val="28"/>
        </w:rPr>
        <w:t>必要性和意义</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随北京市城市建设快速发展，全市每年用于城市道路建设与养护的沥青混合料用量达到600～800万吨。由于沥青混合料高温生产及施工特点，生产和使用过程不但耗能高，还会排放出大量的沥青烟气及其他有毒有害气体。</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近年来，政府部门不断强化绿色发展理念，加强了对污染物排放的监管力度。2017年，交通运输部《关于全面加强生态环境保护的坚决打好污染防治攻坚战的实施意见》提出，全面推进绿色交通基础设施建设，通过土地节约、材料节约及再生循环利用、生态环境保护等举措，积极推进绿色公路等建设，鼓励各地制定具有当地区域特色的绿色公路评价标准。北京市政府高度重视环境保护治理等相关工作，连续4年下发关于污染防治攻坚战的行动计划，</w:t>
      </w:r>
      <w:r>
        <w:rPr>
          <w:rFonts w:hint="eastAsia" w:ascii="仿宋_GB2312" w:hAnsi="仿宋_GB2312" w:eastAsia="仿宋_GB2312" w:cs="仿宋_GB2312"/>
          <w:kern w:val="2"/>
          <w:sz w:val="28"/>
          <w:szCs w:val="28"/>
          <w:lang w:eastAsia="zh-CN"/>
        </w:rPr>
        <w:t>特别</w:t>
      </w:r>
      <w:r>
        <w:rPr>
          <w:rFonts w:hint="eastAsia" w:ascii="仿宋_GB2312" w:hAnsi="仿宋_GB2312" w:eastAsia="仿宋_GB2312" w:cs="仿宋_GB2312"/>
          <w:kern w:val="2"/>
          <w:sz w:val="28"/>
          <w:szCs w:val="28"/>
        </w:rPr>
        <w:t>是2022年2月北京市人民政府办公厅印发</w:t>
      </w:r>
      <w:r>
        <w:rPr>
          <w:rFonts w:hint="eastAsia" w:ascii="仿宋_GB2312" w:hAnsi="仿宋_GB2312" w:eastAsia="仿宋_GB2312" w:cs="仿宋_GB2312"/>
          <w:kern w:val="2"/>
          <w:sz w:val="28"/>
          <w:szCs w:val="28"/>
          <w:lang w:eastAsia="zh-CN"/>
        </w:rPr>
        <w:t>了</w:t>
      </w:r>
      <w:r>
        <w:rPr>
          <w:rFonts w:hint="eastAsia" w:ascii="仿宋_GB2312" w:hAnsi="仿宋_GB2312" w:eastAsia="仿宋_GB2312" w:cs="仿宋_GB2312"/>
          <w:kern w:val="2"/>
          <w:sz w:val="28"/>
          <w:szCs w:val="28"/>
        </w:rPr>
        <w:t>《关于北京市深入打好污染防治攻坚战2022年行动计划》</w:t>
      </w:r>
      <w:r>
        <w:rPr>
          <w:rFonts w:hint="eastAsia" w:ascii="仿宋_GB2312" w:hAnsi="仿宋_GB2312" w:eastAsia="仿宋_GB2312" w:cs="仿宋_GB2312"/>
          <w:kern w:val="2"/>
          <w:sz w:val="28"/>
          <w:szCs w:val="28"/>
        </w:rPr>
        <w:tab/>
      </w:r>
      <w:r>
        <w:rPr>
          <w:rFonts w:hint="eastAsia" w:ascii="仿宋_GB2312" w:hAnsi="仿宋_GB2312" w:eastAsia="仿宋_GB2312" w:cs="仿宋_GB2312"/>
          <w:kern w:val="2"/>
          <w:sz w:val="28"/>
          <w:szCs w:val="28"/>
        </w:rPr>
        <w:t>的通知（京政办发〔2022〕6号)</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明确提出“加强重点行业VOCs全流程管控”要求，并将“研究制定本市沥青混合料绿色评价技术指南”列为2022年重点任务之一。</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北京市沥青混合料绿色评价技术指南》的实施，将填补北京市绿色公路评价体系中绿色材料评价环节的空白，将使得北京市沥青混合料绿色水平量化有据可依，对沥青混合料绿色等级划定有标准可依，对推动北京市绿色沥青混合料的推广应用，促进沥青路面材料行业深化绿色升级，支撑北京市绿色公路建设具有重要意义。</w:t>
      </w:r>
    </w:p>
    <w:p>
      <w:pPr>
        <w:pStyle w:val="24"/>
        <w:numPr>
          <w:ilvl w:val="0"/>
          <w:numId w:val="2"/>
        </w:numPr>
        <w:spacing w:line="360" w:lineRule="auto"/>
        <w:ind w:firstLineChars="0"/>
        <w:outlineLvl w:val="0"/>
        <w:rPr>
          <w:rFonts w:ascii="黑体" w:hAnsi="宋体" w:eastAsia="黑体"/>
          <w:sz w:val="28"/>
          <w:szCs w:val="28"/>
        </w:rPr>
      </w:pPr>
      <w:r>
        <w:rPr>
          <w:rFonts w:hint="eastAsia" w:ascii="黑体" w:hAnsi="宋体" w:eastAsia="黑体"/>
          <w:sz w:val="28"/>
          <w:szCs w:val="28"/>
        </w:rPr>
        <w:t>主要工作过程</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编织工作于2020年10月正式启动，采用了典型调研收集、实验测试、数据分析和专家咨询相结合的方法。通过调研梳理了北京市近5年沥青混合料市场的需求情况，分类统计了常用沥青混合料类型和市场需求情况；研究建立了沥青混合料绿色评价指标体系和方法以及污染物室内检测方法。同时选取了典型沥青混合料样品，试验采集了大量能耗、污染物、路用性能数据并进行测算，编制形成了《北京市沥青混合料绿色评价技术指南》初稿，组织行业权威专家进行了研讨、论证和评估，同步征求了行业单位意见。</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具体工作过程如下：</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2020年10月，受北京市交通委员会委托后，北京市政路桥建材集团有限公司公路交通节能与环保技术及装备交通运输行业研发中心（北京）召集精干研究人员，成立编制工作组，启动了编制工作。</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2020年10月～2021年1月，开展相关资料调研工作，先后调研了北京市道路工程质量监督站、区公路局、北京市政路桥养护集团和沥青混合料生产企业等多家单位，涉及建设、监管、施工和生产企业。收集了近年来北京市沥青混合料市场需求、常用沥青混合料使用量等相关资料；分析了国家及本市相关法律法规和政策，调查了国内外绿色沥青混合料新技术、新工艺的应用情况以及产品最新动态等。</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数据采集及分析工作选取了20余种年使用量在1万吨以上的沥青混合料类型，开展了污染物排放浓度检测，建立了沥青混合料能源消耗测算模型。通过采用统计学方法，对收集的污染物排放、能源消耗、路用性能检测数据等基础数据进行正态分布分析，确定不同合格率下阀值，作为确定评价指标项的限值确定依据。</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2021年5月，在数据清晰、限值明确的基础上，编制组按照行业标准文件要求开始《北京市沥青混合料绿色评价技术指南》和编制说编写工作，初步形成了《北京市沥青混合料绿色评价技术指南（草稿）》。</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2021年5月～2022年8月，多次组织道路节能减排、工程建设、质量监管、大气环保、设备检验鉴定等方面业内相关单位、专家召开研讨会进行充分讨论，对《北京市沥青混合料绿色评价技术指南（草稿）》进行了研讨，并按照专家意见对《北京市沥青混合料绿色评价技术指南》内容进行修改，初步形成了《北京市沥青混合料绿色评价技术指南（征求意见稿）》。</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四</w:t>
      </w:r>
      <w:r>
        <w:rPr>
          <w:rFonts w:ascii="黑体" w:hAnsi="宋体" w:eastAsia="黑体"/>
          <w:sz w:val="28"/>
          <w:szCs w:val="28"/>
        </w:rPr>
        <w:t>、</w:t>
      </w:r>
      <w:r>
        <w:rPr>
          <w:rFonts w:hint="eastAsia" w:ascii="黑体" w:hAnsi="宋体" w:eastAsia="黑体"/>
          <w:sz w:val="28"/>
          <w:szCs w:val="28"/>
        </w:rPr>
        <w:t>制定</w:t>
      </w:r>
      <w:r>
        <w:rPr>
          <w:rFonts w:ascii="黑体" w:hAnsi="宋体" w:eastAsia="黑体"/>
          <w:sz w:val="28"/>
          <w:szCs w:val="28"/>
        </w:rPr>
        <w:t>标准的</w:t>
      </w:r>
      <w:r>
        <w:rPr>
          <w:rFonts w:hint="eastAsia" w:ascii="黑体" w:hAnsi="宋体" w:eastAsia="黑体"/>
          <w:sz w:val="28"/>
          <w:szCs w:val="28"/>
        </w:rPr>
        <w:t>原则，</w:t>
      </w:r>
      <w:r>
        <w:rPr>
          <w:rFonts w:ascii="黑体" w:hAnsi="宋体" w:eastAsia="黑体"/>
          <w:sz w:val="28"/>
          <w:szCs w:val="28"/>
        </w:rPr>
        <w:t>与现行法律、法规、标准的关系</w:t>
      </w:r>
    </w:p>
    <w:p>
      <w:pPr>
        <w:spacing w:line="360" w:lineRule="auto"/>
        <w:ind w:firstLine="562" w:firstLineChars="200"/>
        <w:rPr>
          <w:rFonts w:cs="宋体"/>
          <w:b/>
          <w:sz w:val="28"/>
          <w:szCs w:val="28"/>
        </w:rPr>
      </w:pPr>
      <w:r>
        <w:rPr>
          <w:rFonts w:cs="宋体"/>
          <w:b/>
          <w:sz w:val="28"/>
          <w:szCs w:val="28"/>
        </w:rPr>
        <w:t xml:space="preserve">4.1 </w:t>
      </w:r>
      <w:r>
        <w:rPr>
          <w:rFonts w:hint="eastAsia" w:cs="宋体"/>
          <w:b/>
          <w:sz w:val="28"/>
          <w:szCs w:val="28"/>
        </w:rPr>
        <w:t>编制依据</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（1）《中华人民共和国节约能源法》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（2）《中华人民共和国清洁生产促进法》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（3）《北京市实施&lt;中华人民共和国节约能源法&gt;办法》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（4）《重点用能单位节能管理办法》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（5）《节能监察办法》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（6）GB/T 1.1-2020《标准化工作导则 第1部分：标准化文件的结构和起草规则》</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（7）GB/T 2589 《综合能源计算通则》</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（8）HJ/T 38 《固定汚染源排气中非甲烷总烃的测定气相色谱法》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（9）HJ/T 45 《固定汚染源排气中沥青烟的测定重量法》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（10）HJ/T 646 《环境空气和废气气相和颗粒物中多环芳烃的测定气相色谱-质谱法》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（11）GB/T 3102.4 《热学的量和单位》</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（12）JTG E20 《公路工程沥青及沥青混合料试验规程》</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（13）JTG F40 《公路沥青路面施工技术规范》</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（14）JTG F41 《公路沥青路面再生技术规范》</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（15）DB11/T 1373 《沥青路面抗车辙技术规范》</w:t>
      </w:r>
    </w:p>
    <w:p>
      <w:pPr>
        <w:spacing w:line="360" w:lineRule="auto"/>
        <w:ind w:firstLine="562" w:firstLineChars="200"/>
        <w:rPr>
          <w:rFonts w:cs="宋体"/>
          <w:b/>
          <w:sz w:val="28"/>
          <w:szCs w:val="28"/>
        </w:rPr>
      </w:pPr>
      <w:r>
        <w:rPr>
          <w:rFonts w:cs="宋体"/>
          <w:b/>
          <w:sz w:val="28"/>
          <w:szCs w:val="28"/>
        </w:rPr>
        <w:t xml:space="preserve">4.2 </w:t>
      </w:r>
      <w:r>
        <w:rPr>
          <w:rFonts w:hint="eastAsia" w:cs="宋体"/>
          <w:b/>
          <w:sz w:val="28"/>
          <w:szCs w:val="28"/>
        </w:rPr>
        <w:t>制定</w:t>
      </w:r>
      <w:r>
        <w:rPr>
          <w:rFonts w:cs="宋体"/>
          <w:b/>
          <w:sz w:val="28"/>
          <w:szCs w:val="28"/>
        </w:rPr>
        <w:t>标准的原则</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本技术要求编制以指标完整、重点突出、实用性强、易操作4项作为主要编制原则。</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（1）指标完整是指技术要求体系覆盖沥青混合料材料循环利用、污染物排放、能耗计算、材料特征指标四方面开展评价，内容需完整全面；</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（2）重点突出是指技术要求应重点满足国家、行业和北京市环保要求，特别突出北京市对建材行业大气污染物排放、节能降耗等方面的管控需求；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（3）实用性强则指技术要求的编制应来源于工程建设与大气污染物治理的实践，符合工程建设及大气污染物治理的实际要求；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（4）易操作指技术要求应在已颁布实施、经过检验的相关技术规范基础上总结提炼而成。</w:t>
      </w:r>
    </w:p>
    <w:p>
      <w:pPr>
        <w:spacing w:line="360" w:lineRule="auto"/>
        <w:ind w:firstLine="562" w:firstLineChars="200"/>
        <w:rPr>
          <w:rFonts w:cs="宋体"/>
          <w:b/>
          <w:sz w:val="28"/>
          <w:szCs w:val="28"/>
        </w:rPr>
      </w:pPr>
      <w:r>
        <w:rPr>
          <w:rFonts w:hint="eastAsia" w:cs="宋体"/>
          <w:b/>
          <w:sz w:val="28"/>
          <w:szCs w:val="28"/>
        </w:rPr>
        <w:t>4</w:t>
      </w:r>
      <w:r>
        <w:rPr>
          <w:rFonts w:cs="宋体"/>
          <w:b/>
          <w:sz w:val="28"/>
          <w:szCs w:val="28"/>
        </w:rPr>
        <w:t xml:space="preserve">.3 </w:t>
      </w:r>
      <w:r>
        <w:rPr>
          <w:rFonts w:hint="eastAsia" w:cs="宋体"/>
          <w:b/>
          <w:sz w:val="28"/>
          <w:szCs w:val="28"/>
        </w:rPr>
        <w:t>与</w:t>
      </w:r>
      <w:r>
        <w:rPr>
          <w:rFonts w:cs="宋体"/>
          <w:b/>
          <w:sz w:val="28"/>
          <w:szCs w:val="28"/>
        </w:rPr>
        <w:t>现行法律、法规、标准的关系</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（1）本技术要求与国际、国内同类标准相比较，无不符合或矛盾。</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（2）本技术要求是在总结北京市现有技术规范性文件实施经验基础上总结、提炼而成，有充分的实验基础。</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（3）本技术要求遵守中华人民共和国现行的法律、法规。</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（4）本技术要求在编写、讨论过程中没有未解决的重大分歧。</w:t>
      </w:r>
    </w:p>
    <w:p>
      <w:pPr>
        <w:pStyle w:val="24"/>
        <w:spacing w:line="360" w:lineRule="auto"/>
        <w:ind w:firstLine="0" w:firstLineChars="0"/>
        <w:outlineLvl w:val="0"/>
        <w:rPr>
          <w:rFonts w:ascii="黑体" w:hAnsi="宋体" w:eastAsia="黑体"/>
          <w:color w:val="000000"/>
          <w:sz w:val="28"/>
          <w:szCs w:val="28"/>
        </w:rPr>
      </w:pPr>
      <w:r>
        <w:rPr>
          <w:rFonts w:hint="eastAsia" w:ascii="黑体" w:hAnsi="宋体" w:eastAsia="黑体"/>
          <w:color w:val="000000"/>
          <w:sz w:val="28"/>
          <w:szCs w:val="28"/>
        </w:rPr>
        <w:t>五、标准主要内容与</w:t>
      </w:r>
      <w:r>
        <w:rPr>
          <w:rFonts w:ascii="黑体" w:hAnsi="宋体" w:eastAsia="黑体"/>
          <w:color w:val="000000"/>
          <w:sz w:val="28"/>
          <w:szCs w:val="28"/>
        </w:rPr>
        <w:t>实验验证</w:t>
      </w:r>
    </w:p>
    <w:p>
      <w:pPr>
        <w:pStyle w:val="2"/>
        <w:rPr>
          <w:rFonts w:cs="宋体"/>
          <w:b w:val="0"/>
          <w:sz w:val="28"/>
          <w:szCs w:val="28"/>
        </w:rPr>
      </w:pPr>
      <w:r>
        <w:rPr>
          <w:rFonts w:cs="宋体"/>
          <w:sz w:val="28"/>
          <w:szCs w:val="28"/>
        </w:rPr>
        <w:t xml:space="preserve">5.1 </w:t>
      </w:r>
      <w:r>
        <w:rPr>
          <w:rFonts w:hint="eastAsia" w:cs="宋体"/>
          <w:sz w:val="28"/>
          <w:szCs w:val="28"/>
        </w:rPr>
        <w:t>主要</w:t>
      </w:r>
      <w:r>
        <w:rPr>
          <w:rFonts w:cs="宋体"/>
          <w:sz w:val="28"/>
          <w:szCs w:val="28"/>
        </w:rPr>
        <w:t>内容</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《北京市沥青混合料绿色评价技术指南》对沥青混合料的绿色评价与等级划分提出了具体要求。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5.1.1 基本规定</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（1）《北京市沥青混合料绿色评价技术指南》制定的目的是指导北京地区沥青混合料绿色水平提升。</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沥青混合料绿色评价方法和等级划分适用于沥青混合料生产企业对所生产的沥青混合料开展绿色评价，了解材料绿色水平，也适用于行业管理部门进行行业管理，了解掌握北京市沥青混合料节能减排整体水平。</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（3）《北京市沥青混合料绿色评价技术指南》编制基础是以北京市沥青混合料的基础情况编制而成，适用于对北京地区，以外地区应根据实际情况酌情使用。</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（4）《北京市沥青混合料绿色评价技术指南》所列评价方法和等级划分符合国家、行业和地方现行有关法规和标准的规定。</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北京市沥青混合料绿色评价技术指南》提出了绿色沥青混合料评价定义：沥青混合料绿色评价是指在保障沥青混合料质量的前提下，统筹循环利用、污染物排放、能耗、材料特征等指标之间的关系，对材料绿色水平的量化评价。</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5.1.2 材料循环利用</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（1）《北京市沥青混合料绿色评价技术指南》 该部分明确了材料循环利用评价的基本内容、评价指标和测算方法。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（2）沥青混合料作为路用材料，其沥青、集料等原材料组成可以用废旧资源进行替代，实现废旧资源循环再利用，减少资源浪费。</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（3）根据再生类沥青混合料技术水平、生产工艺、沥青路面材料生产行业再生利用情况，选取了集料替代、沥青替代、废旧沥青路面材料（RAP）利用三方面表征材料循环利用的程度。</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（4）沥青路面材料生产企业在开展再生沥青混合料生产过程中，应对硬件设备进行适应性改造，以便于再生材料生产工艺要求。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（5）《北京市沥青混合料绿色评价技术指南》提出了集料替代率、沥青替代率、废旧沥青路面材料（RAP）利用率的计算公式，使用过程中应注意区分计算分母。</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（7）在测评沥青混合料循环利用程度时，分别计算材料的集料替代率、沥青替代率、废旧沥青路面材料（RAP）利用率，对照附录A确定相应的指标值，与权重系数相乘，得出对应的指标项分值。</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5.1.3 污染物排放</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（1）《北京市沥青混合料绿色评价技术指南》 该部分明确了沥青混合料污染物排放评价的基本内容、检测方法、评价指标和测算方法。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沥青混合料污染物排放评价指标选取原则为：①可比性：所选取的指标应具有较好的区分度，便于区分不同类型沥青混合料的排放水平；②危害性：对人体危害较大的大气污染物，予以重点考虑；③先进性：贴合北京市大气污染物排放治理的最新需求。基于以上原则，选取了有组织排放的沥青烟、苯并（a）芘、非甲烷总烃三个大气污染物的排放浓度值作为量化指标。</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为减少沥青混合料污染物排放过程中外部因素影响，保证数据稳定性，提出了一种以电热鼓风干燥箱设备为反应釜的沥青混合料室内污染物排放检测方法。具体检测方法详见《北京市沥青混合料绿色评价技术指南》6.2条。</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（4）电热鼓风干燥箱设备需要进行小范围的改造，具体改造要求详见《北京市沥青混合料绿色评价技术指南》附录B。</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5.1.4 能耗计算</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（1）《北京市沥青混合料绿色评价技术指南》 该部分明确了沥青混合料能耗评价的基本内容、能耗理论计算方法、评价指标和测算方法。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（2）沥青混合料能耗指标是理论计算的能耗作为能耗评价指标</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（3）《北京市沥青混合料绿色评价技术指南》该部分提出了沥青混合料能耗理论计算公式，并明确了参数阀值。</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为便于更直接对比沥青混合料自身能耗水平的差异，在对沥青混合料能耗计算分析过程中，未考虑沥青混合料生产场站对沥青混合料生产能耗的影响，如场站能耗管理水平、设备基本条件、燃烧效率等因素，仅考虑沥青混合料级配、含水率、生产温度要求等因素的影响。</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5.1.5 材料特征指标</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（1）《北京市沥青混合料绿色评价技术指南》 该部分明确了沥青混合料材料特征指标的基本内容、评价指标和测算方法。</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（2）设置材料特征指标的原则考虑为：质量好就是最好的节能减排。</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（3）沥青混合料材料特征指标以材料疲劳性能指标、路用性能指标进行评价。</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（4）材料疲劳性能指标以沥青混合料四点疲劳寿命试验表征。</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路用性能指标以车辙试验动稳定度、低温弯曲试验破坏应变、浸水马歇尔试验残留稳定度、冻融劈裂试验残留强度比等4个子项与规范标准限值的比值进行测算，分别表征沥青混合料高温性能、低温性能、耐久性能。</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5.1.6 附录A 沥青混合料绿色评价指标体系</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（1）《北京市沥青混合料绿色评价技术指南》 该部分明确了沥青混合料绿色评价指标体系和等级划分要求。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（2）沥青混合料绿色评价指标体系分为控制项、评分项和加分项。评分项总分为100 分，加分项为5 分。</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（3）沥青混合料绿色评价指标体系中各项限值按照权威咨询、数理统计方法计算确定。</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（4）加分项是在评分体系之外，综合考虑政策发展需要，额外增加的分值，用于鼓励符合国家、行业和北京市政策要求的沥青混合料类型的推广应用。</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5.1.7 附录B 沥青混合料污染物排放室内采集设备要求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（1）《北京市沥青混合料绿色评价技术指南》 该部分明确了沥青混合料污染物排放室内采集设备的技术要求。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（2）室内采集设备主体为电热鼓风干燥箱，通过小范围改造达到污染物排放采集要求。</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 电热鼓风干燥箱外形尺寸高1320mm、宽850mm、深750mm，内部空间尺寸内高750mm、宽600mm，深500mm。</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（4）电热鼓风干燥箱改造内容主要包括：①在电热鼓风干燥箱顶部开孔，通过法兰连接，设置直径应为80mm采集孔，在排气孔上方设置垂直烟囱，高度为20cm（如图1所示）。</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（5）在电热鼓风干燥箱侧后方开孔，安装空气流量计，连接中空软管，接入气泵，空气流量计可对泵入空气流速进行控制（如图1所示）。</w:t>
      </w:r>
    </w:p>
    <w:p>
      <w:pPr>
        <w:pStyle w:val="20"/>
        <w:spacing w:line="360" w:lineRule="auto"/>
        <w:rPr>
          <w:rFonts w:ascii="Times New Roman" w:cs="宋体"/>
          <w:kern w:val="2"/>
          <w:sz w:val="28"/>
          <w:szCs w:val="28"/>
        </w:rPr>
      </w:pPr>
      <w:r>
        <w:drawing>
          <wp:inline distT="0" distB="0" distL="0" distR="0">
            <wp:extent cx="4410710" cy="2400300"/>
            <wp:effectExtent l="0" t="0" r="889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4411075" cy="2400300"/>
                    </a:xfrm>
                    <a:prstGeom prst="rect">
                      <a:avLst/>
                    </a:prstGeom>
                    <a:noFill/>
                    <a:ln>
                      <a:noFill/>
                    </a:ln>
                  </pic:spPr>
                </pic:pic>
              </a:graphicData>
            </a:graphic>
          </wp:inline>
        </w:drawing>
      </w:r>
    </w:p>
    <w:p>
      <w:pPr>
        <w:spacing w:line="360" w:lineRule="auto"/>
        <w:jc w:val="center"/>
        <w:rPr>
          <w:rFonts w:ascii="宋体" w:hAnsi="宋体"/>
          <w:b/>
          <w:bCs/>
          <w:szCs w:val="16"/>
        </w:rPr>
      </w:pPr>
      <w:r>
        <w:rPr>
          <w:rFonts w:hint="eastAsia" w:ascii="宋体" w:hAnsi="宋体"/>
          <w:b/>
          <w:bCs/>
          <w:szCs w:val="16"/>
        </w:rPr>
        <w:t>图1</w:t>
      </w:r>
      <w:r>
        <w:rPr>
          <w:rFonts w:ascii="宋体" w:hAnsi="宋体"/>
          <w:b/>
          <w:bCs/>
          <w:szCs w:val="16"/>
        </w:rPr>
        <w:t xml:space="preserve"> </w:t>
      </w:r>
      <w:r>
        <w:rPr>
          <w:rFonts w:hint="eastAsia" w:ascii="宋体" w:hAnsi="宋体"/>
          <w:b/>
          <w:bCs/>
          <w:szCs w:val="16"/>
        </w:rPr>
        <w:t>电热鼓风干燥箱改造适宜图</w:t>
      </w:r>
    </w:p>
    <w:p>
      <w:pPr>
        <w:spacing w:line="360" w:lineRule="auto"/>
        <w:jc w:val="center"/>
      </w:pPr>
      <w:r>
        <w:drawing>
          <wp:inline distT="0" distB="0" distL="0" distR="0">
            <wp:extent cx="3609975" cy="2487295"/>
            <wp:effectExtent l="0" t="0" r="0" b="825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3616577" cy="2492216"/>
                    </a:xfrm>
                    <a:prstGeom prst="rect">
                      <a:avLst/>
                    </a:prstGeom>
                    <a:noFill/>
                    <a:ln>
                      <a:noFill/>
                    </a:ln>
                  </pic:spPr>
                </pic:pic>
              </a:graphicData>
            </a:graphic>
          </wp:inline>
        </w:drawing>
      </w:r>
    </w:p>
    <w:p>
      <w:pPr>
        <w:spacing w:line="360" w:lineRule="auto"/>
        <w:jc w:val="center"/>
        <w:rPr>
          <w:rFonts w:ascii="宋体" w:hAnsi="宋体"/>
          <w:b/>
          <w:bCs/>
          <w:szCs w:val="16"/>
        </w:rPr>
      </w:pPr>
      <w:r>
        <w:rPr>
          <w:rFonts w:hint="eastAsia" w:ascii="宋体" w:hAnsi="宋体"/>
          <w:b/>
          <w:bCs/>
          <w:szCs w:val="16"/>
        </w:rPr>
        <w:t>图2</w:t>
      </w:r>
      <w:r>
        <w:rPr>
          <w:rFonts w:ascii="宋体" w:hAnsi="宋体"/>
          <w:b/>
          <w:bCs/>
          <w:szCs w:val="16"/>
        </w:rPr>
        <w:t xml:space="preserve"> </w:t>
      </w:r>
      <w:r>
        <w:rPr>
          <w:rFonts w:hint="eastAsia" w:ascii="宋体" w:hAnsi="宋体"/>
          <w:b/>
          <w:bCs/>
          <w:szCs w:val="16"/>
        </w:rPr>
        <w:t>托盘样式</w:t>
      </w:r>
    </w:p>
    <w:p>
      <w:pPr>
        <w:pStyle w:val="20"/>
        <w:spacing w:line="360" w:lineRule="auto"/>
        <w:rPr>
          <w:rFonts w:hAnsi="宋体"/>
          <w:kern w:val="2"/>
          <w:szCs w:val="16"/>
        </w:rPr>
      </w:pPr>
      <w:r>
        <w:rPr>
          <w:rFonts w:hint="eastAsia" w:hAnsi="宋体"/>
          <w:kern w:val="2"/>
          <w:szCs w:val="16"/>
        </w:rPr>
        <w:t>1-电热鼓风干燥箱主体；2-置物架；3-温度调节管；4-温度控制面板；5-外置气泵；6-空气流量计；7-集中排气孔；</w:t>
      </w:r>
      <w:r>
        <w:rPr>
          <w:rFonts w:hint="eastAsia"/>
          <w:szCs w:val="16"/>
        </w:rPr>
        <w:t>8-托盘。</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（5）设备计量认证可推荐对电热鼓风干燥箱的温度、空气流量计的准度等参数进行计量认证。</w:t>
      </w:r>
    </w:p>
    <w:p>
      <w:pPr>
        <w:pStyle w:val="2"/>
        <w:rPr>
          <w:rFonts w:cs="宋体"/>
          <w:b w:val="0"/>
          <w:sz w:val="28"/>
          <w:szCs w:val="28"/>
        </w:rPr>
      </w:pPr>
      <w:r>
        <w:rPr>
          <w:rFonts w:hint="eastAsia" w:cs="宋体"/>
          <w:sz w:val="28"/>
          <w:szCs w:val="28"/>
        </w:rPr>
        <w:t>5</w:t>
      </w:r>
      <w:r>
        <w:rPr>
          <w:rFonts w:cs="宋体"/>
          <w:sz w:val="28"/>
          <w:szCs w:val="28"/>
        </w:rPr>
        <w:t xml:space="preserve">.2 </w:t>
      </w:r>
      <w:r>
        <w:rPr>
          <w:rFonts w:hint="eastAsia" w:cs="宋体"/>
          <w:sz w:val="28"/>
          <w:szCs w:val="28"/>
        </w:rPr>
        <w:t>实验</w:t>
      </w:r>
      <w:r>
        <w:rPr>
          <w:rFonts w:cs="宋体"/>
          <w:sz w:val="28"/>
          <w:szCs w:val="28"/>
        </w:rPr>
        <w:t>验证</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5.2.1 指标权重确定</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每一个评估指标在沥青混合料绿色评价指标体系中是否重要由指标体系的权重值来体现出来。权重值的不同又会引起不同的评价结果，所以如果把评估指标的权重选用的不太合适，会直接造成指标评估结果的非正常、评估过程的逻辑差异和评估结果的错误引导等问题。因此，在确定指标比重分配的时候，很有必要把这个权重值安排的既科学又不失常理。基于以上原因，选定层次分析法和德菲尔法相融合贯通的权重认定方法，确定沥青混合料绿色评价指标体系的权重。</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按照德菲尔法要求，选取了交通行业管理部门、道路工程质量监督部门、研究机构、建设单位、施工单位、材料生产单位、环保研究机构等单位9位专家，发放9份《绿色沥青路面材料权重调查表》，填写沥青混合料绿色评价指标体系中一级指标和二级指标的权重。</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收集9份调查问卷，有效问卷9份。按照层次分析法计算程序，确地了沥青混合料绿色评价指标体系中一级指标的权重。</w:t>
      </w:r>
    </w:p>
    <w:p>
      <w:pPr>
        <w:snapToGrid w:val="0"/>
        <w:jc w:val="center"/>
        <w:rPr>
          <w:sz w:val="18"/>
          <w:szCs w:val="18"/>
        </w:rPr>
      </w:pPr>
      <w:bookmarkStart w:id="1" w:name="_Hlk69377488"/>
      <w:r>
        <w:rPr>
          <w:sz w:val="18"/>
          <w:szCs w:val="18"/>
        </w:rPr>
        <w:t>表1 沥青混合料评分项与权重</w:t>
      </w:r>
    </w:p>
    <w:tbl>
      <w:tblPr>
        <w:tblStyle w:val="1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68"/>
        <w:gridCol w:w="2002"/>
        <w:gridCol w:w="803"/>
        <w:gridCol w:w="4142"/>
        <w:gridCol w:w="8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序号</w:t>
            </w:r>
          </w:p>
        </w:tc>
        <w:tc>
          <w:tcPr>
            <w:tcW w:w="1195"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一级指标</w:t>
            </w:r>
          </w:p>
        </w:tc>
        <w:tc>
          <w:tcPr>
            <w:tcW w:w="479"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权重</w:t>
            </w: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二级指标</w:t>
            </w:r>
          </w:p>
        </w:tc>
        <w:tc>
          <w:tcPr>
            <w:tcW w:w="51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1</w:t>
            </w:r>
          </w:p>
        </w:tc>
        <w:tc>
          <w:tcPr>
            <w:tcW w:w="1195" w:type="pct"/>
            <w:vMerge w:val="restar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材料循环利用</w:t>
            </w:r>
          </w:p>
        </w:tc>
        <w:tc>
          <w:tcPr>
            <w:tcW w:w="479" w:type="pct"/>
            <w:vMerge w:val="restar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0.16</w:t>
            </w: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集料替代率</w:t>
            </w:r>
          </w:p>
        </w:tc>
        <w:tc>
          <w:tcPr>
            <w:tcW w:w="51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2</w:t>
            </w:r>
          </w:p>
        </w:tc>
        <w:tc>
          <w:tcPr>
            <w:tcW w:w="1195" w:type="pct"/>
            <w:vMerge w:val="continue"/>
            <w:shd w:val="clear" w:color="auto" w:fill="auto"/>
            <w:vAlign w:val="center"/>
          </w:tcPr>
          <w:p>
            <w:pPr>
              <w:adjustRightInd w:val="0"/>
              <w:snapToGrid w:val="0"/>
              <w:ind w:firstLine="360" w:firstLineChars="200"/>
              <w:jc w:val="center"/>
              <w:rPr>
                <w:sz w:val="18"/>
                <w:szCs w:val="18"/>
              </w:rPr>
            </w:pPr>
          </w:p>
        </w:tc>
        <w:tc>
          <w:tcPr>
            <w:tcW w:w="479" w:type="pct"/>
            <w:vMerge w:val="continue"/>
            <w:shd w:val="clear" w:color="auto" w:fill="auto"/>
            <w:vAlign w:val="center"/>
          </w:tcPr>
          <w:p>
            <w:pPr>
              <w:adjustRightInd w:val="0"/>
              <w:snapToGrid w:val="0"/>
              <w:ind w:firstLine="360" w:firstLineChars="200"/>
              <w:jc w:val="center"/>
              <w:rPr>
                <w:sz w:val="18"/>
                <w:szCs w:val="18"/>
              </w:rPr>
            </w:pP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沥青替代率</w:t>
            </w:r>
          </w:p>
        </w:tc>
        <w:tc>
          <w:tcPr>
            <w:tcW w:w="51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3</w:t>
            </w:r>
          </w:p>
        </w:tc>
        <w:tc>
          <w:tcPr>
            <w:tcW w:w="1195" w:type="pct"/>
            <w:vMerge w:val="continue"/>
            <w:shd w:val="clear" w:color="auto" w:fill="auto"/>
            <w:vAlign w:val="center"/>
          </w:tcPr>
          <w:p>
            <w:pPr>
              <w:adjustRightInd w:val="0"/>
              <w:snapToGrid w:val="0"/>
              <w:ind w:firstLine="360" w:firstLineChars="200"/>
              <w:jc w:val="center"/>
              <w:rPr>
                <w:sz w:val="18"/>
                <w:szCs w:val="18"/>
              </w:rPr>
            </w:pPr>
          </w:p>
        </w:tc>
        <w:tc>
          <w:tcPr>
            <w:tcW w:w="479" w:type="pct"/>
            <w:vMerge w:val="continue"/>
            <w:shd w:val="clear" w:color="auto" w:fill="auto"/>
            <w:vAlign w:val="center"/>
          </w:tcPr>
          <w:p>
            <w:pPr>
              <w:adjustRightInd w:val="0"/>
              <w:snapToGrid w:val="0"/>
              <w:ind w:firstLine="360" w:firstLineChars="200"/>
              <w:jc w:val="center"/>
              <w:rPr>
                <w:sz w:val="18"/>
                <w:szCs w:val="18"/>
              </w:rPr>
            </w:pP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RAP利用率</w:t>
            </w:r>
          </w:p>
        </w:tc>
        <w:tc>
          <w:tcPr>
            <w:tcW w:w="51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4</w:t>
            </w:r>
          </w:p>
        </w:tc>
        <w:tc>
          <w:tcPr>
            <w:tcW w:w="1195" w:type="pct"/>
            <w:vMerge w:val="restar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污染物排放指标</w:t>
            </w:r>
          </w:p>
        </w:tc>
        <w:tc>
          <w:tcPr>
            <w:tcW w:w="479" w:type="pct"/>
            <w:vMerge w:val="restar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0.32</w:t>
            </w: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沥青烟浓度</w:t>
            </w:r>
          </w:p>
        </w:tc>
        <w:tc>
          <w:tcPr>
            <w:tcW w:w="51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5</w:t>
            </w:r>
          </w:p>
        </w:tc>
        <w:tc>
          <w:tcPr>
            <w:tcW w:w="1195" w:type="pct"/>
            <w:vMerge w:val="continue"/>
            <w:shd w:val="clear" w:color="auto" w:fill="auto"/>
            <w:vAlign w:val="center"/>
          </w:tcPr>
          <w:p>
            <w:pPr>
              <w:adjustRightInd w:val="0"/>
              <w:snapToGrid w:val="0"/>
              <w:ind w:firstLine="360" w:firstLineChars="200"/>
              <w:jc w:val="center"/>
              <w:rPr>
                <w:sz w:val="18"/>
                <w:szCs w:val="18"/>
              </w:rPr>
            </w:pPr>
          </w:p>
        </w:tc>
        <w:tc>
          <w:tcPr>
            <w:tcW w:w="479" w:type="pct"/>
            <w:vMerge w:val="continue"/>
            <w:shd w:val="clear" w:color="auto" w:fill="auto"/>
            <w:vAlign w:val="center"/>
          </w:tcPr>
          <w:p>
            <w:pPr>
              <w:adjustRightInd w:val="0"/>
              <w:snapToGrid w:val="0"/>
              <w:ind w:firstLine="360" w:firstLineChars="200"/>
              <w:jc w:val="center"/>
              <w:rPr>
                <w:sz w:val="18"/>
                <w:szCs w:val="18"/>
              </w:rPr>
            </w:pP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苯并（a）芘浓度</w:t>
            </w:r>
          </w:p>
        </w:tc>
        <w:tc>
          <w:tcPr>
            <w:tcW w:w="51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6</w:t>
            </w:r>
          </w:p>
        </w:tc>
        <w:tc>
          <w:tcPr>
            <w:tcW w:w="1195" w:type="pct"/>
            <w:vMerge w:val="continue"/>
            <w:shd w:val="clear" w:color="auto" w:fill="auto"/>
            <w:vAlign w:val="center"/>
          </w:tcPr>
          <w:p>
            <w:pPr>
              <w:adjustRightInd w:val="0"/>
              <w:snapToGrid w:val="0"/>
              <w:ind w:firstLine="360" w:firstLineChars="200"/>
              <w:jc w:val="center"/>
              <w:rPr>
                <w:sz w:val="18"/>
                <w:szCs w:val="18"/>
              </w:rPr>
            </w:pPr>
          </w:p>
        </w:tc>
        <w:tc>
          <w:tcPr>
            <w:tcW w:w="479" w:type="pct"/>
            <w:vMerge w:val="continue"/>
            <w:shd w:val="clear" w:color="auto" w:fill="auto"/>
            <w:vAlign w:val="center"/>
          </w:tcPr>
          <w:p>
            <w:pPr>
              <w:adjustRightInd w:val="0"/>
              <w:snapToGrid w:val="0"/>
              <w:ind w:firstLine="360" w:firstLineChars="200"/>
              <w:jc w:val="center"/>
              <w:rPr>
                <w:sz w:val="18"/>
                <w:szCs w:val="18"/>
              </w:rPr>
            </w:pPr>
          </w:p>
        </w:tc>
        <w:tc>
          <w:tcPr>
            <w:tcW w:w="2472"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非甲烷总烃浓度</w:t>
            </w:r>
          </w:p>
        </w:tc>
        <w:tc>
          <w:tcPr>
            <w:tcW w:w="51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bCs/>
                <w:sz w:val="18"/>
                <w:szCs w:val="18"/>
              </w:rPr>
              <w:t>7</w:t>
            </w:r>
          </w:p>
        </w:tc>
        <w:tc>
          <w:tcPr>
            <w:tcW w:w="1195"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能耗指标</w:t>
            </w:r>
          </w:p>
        </w:tc>
        <w:tc>
          <w:tcPr>
            <w:tcW w:w="479"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0.27</w:t>
            </w: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理论计算能耗</w:t>
            </w:r>
          </w:p>
        </w:tc>
        <w:tc>
          <w:tcPr>
            <w:tcW w:w="515" w:type="pct"/>
            <w:shd w:val="clear" w:color="auto" w:fill="auto"/>
            <w:tcMar>
              <w:top w:w="15" w:type="dxa"/>
              <w:left w:w="33" w:type="dxa"/>
              <w:bottom w:w="0" w:type="dxa"/>
              <w:right w:w="33" w:type="dxa"/>
            </w:tcMar>
            <w:vAlign w:val="center"/>
          </w:tcPr>
          <w:p>
            <w:pPr>
              <w:adjustRightInd w:val="0"/>
              <w:snapToGrid w:val="0"/>
              <w:spacing w:line="360" w:lineRule="auto"/>
              <w:jc w:val="center"/>
              <w:rPr>
                <w:sz w:val="18"/>
                <w:szCs w:val="18"/>
              </w:rPr>
            </w:pPr>
            <w:r>
              <w:rPr>
                <w:sz w:val="18"/>
                <w:szCs w:val="18"/>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8</w:t>
            </w:r>
          </w:p>
        </w:tc>
        <w:tc>
          <w:tcPr>
            <w:tcW w:w="1195" w:type="pct"/>
            <w:vMerge w:val="restar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产品特征指标</w:t>
            </w:r>
          </w:p>
        </w:tc>
        <w:tc>
          <w:tcPr>
            <w:tcW w:w="479" w:type="pct"/>
            <w:vMerge w:val="restar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0.25</w:t>
            </w: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疲劳寿命比</w:t>
            </w:r>
          </w:p>
        </w:tc>
        <w:tc>
          <w:tcPr>
            <w:tcW w:w="515" w:type="pct"/>
            <w:shd w:val="clear" w:color="auto" w:fill="auto"/>
            <w:tcMar>
              <w:top w:w="15" w:type="dxa"/>
              <w:left w:w="33" w:type="dxa"/>
              <w:bottom w:w="0" w:type="dxa"/>
              <w:right w:w="33" w:type="dxa"/>
            </w:tcMar>
            <w:vAlign w:val="center"/>
          </w:tcPr>
          <w:p>
            <w:pPr>
              <w:adjustRightInd w:val="0"/>
              <w:snapToGrid w:val="0"/>
              <w:spacing w:line="360" w:lineRule="auto"/>
              <w:jc w:val="center"/>
              <w:rPr>
                <w:sz w:val="18"/>
                <w:szCs w:val="18"/>
              </w:rPr>
            </w:pPr>
            <w:r>
              <w:rPr>
                <w:sz w:val="18"/>
                <w:szCs w:val="18"/>
              </w:rPr>
              <w:t>0.60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339" w:type="pct"/>
            <w:shd w:val="clear" w:color="auto" w:fill="auto"/>
            <w:tcMar>
              <w:top w:w="15" w:type="dxa"/>
              <w:left w:w="33" w:type="dxa"/>
              <w:bottom w:w="0" w:type="dxa"/>
              <w:right w:w="33" w:type="dxa"/>
            </w:tcMar>
            <w:vAlign w:val="center"/>
          </w:tcPr>
          <w:p>
            <w:pPr>
              <w:adjustRightInd w:val="0"/>
              <w:snapToGrid w:val="0"/>
              <w:jc w:val="center"/>
              <w:rPr>
                <w:sz w:val="18"/>
                <w:szCs w:val="18"/>
              </w:rPr>
            </w:pPr>
            <w:r>
              <w:rPr>
                <w:sz w:val="18"/>
                <w:szCs w:val="18"/>
              </w:rPr>
              <w:t>9</w:t>
            </w:r>
          </w:p>
        </w:tc>
        <w:tc>
          <w:tcPr>
            <w:tcW w:w="1195" w:type="pct"/>
            <w:vMerge w:val="continue"/>
            <w:shd w:val="clear" w:color="auto" w:fill="auto"/>
            <w:vAlign w:val="center"/>
          </w:tcPr>
          <w:p>
            <w:pPr>
              <w:adjustRightInd w:val="0"/>
              <w:snapToGrid w:val="0"/>
              <w:ind w:firstLine="360" w:firstLineChars="200"/>
              <w:jc w:val="center"/>
              <w:rPr>
                <w:sz w:val="18"/>
                <w:szCs w:val="18"/>
              </w:rPr>
            </w:pPr>
          </w:p>
        </w:tc>
        <w:tc>
          <w:tcPr>
            <w:tcW w:w="479" w:type="pct"/>
            <w:vMerge w:val="continue"/>
            <w:shd w:val="clear" w:color="auto" w:fill="auto"/>
            <w:vAlign w:val="center"/>
          </w:tcPr>
          <w:p>
            <w:pPr>
              <w:adjustRightInd w:val="0"/>
              <w:snapToGrid w:val="0"/>
              <w:ind w:firstLine="360" w:firstLineChars="200"/>
              <w:jc w:val="center"/>
              <w:rPr>
                <w:sz w:val="18"/>
                <w:szCs w:val="18"/>
              </w:rPr>
            </w:pPr>
          </w:p>
        </w:tc>
        <w:tc>
          <w:tcPr>
            <w:tcW w:w="2472" w:type="pct"/>
            <w:shd w:val="clear" w:color="auto" w:fill="auto"/>
            <w:tcMar>
              <w:top w:w="15" w:type="dxa"/>
              <w:left w:w="33" w:type="dxa"/>
              <w:bottom w:w="0" w:type="dxa"/>
              <w:right w:w="33" w:type="dxa"/>
            </w:tcMar>
            <w:vAlign w:val="center"/>
          </w:tcPr>
          <w:p>
            <w:pPr>
              <w:adjustRightInd w:val="0"/>
              <w:snapToGrid w:val="0"/>
              <w:ind w:firstLine="360" w:firstLineChars="200"/>
              <w:jc w:val="center"/>
              <w:rPr>
                <w:sz w:val="18"/>
                <w:szCs w:val="18"/>
              </w:rPr>
            </w:pPr>
            <w:r>
              <w:rPr>
                <w:sz w:val="18"/>
                <w:szCs w:val="18"/>
              </w:rPr>
              <w:t>路用性能比</w:t>
            </w:r>
          </w:p>
        </w:tc>
        <w:tc>
          <w:tcPr>
            <w:tcW w:w="515" w:type="pct"/>
            <w:shd w:val="clear" w:color="auto" w:fill="auto"/>
            <w:tcMar>
              <w:top w:w="15" w:type="dxa"/>
              <w:left w:w="33" w:type="dxa"/>
              <w:bottom w:w="0" w:type="dxa"/>
              <w:right w:w="33" w:type="dxa"/>
            </w:tcMar>
            <w:vAlign w:val="center"/>
          </w:tcPr>
          <w:p>
            <w:pPr>
              <w:adjustRightInd w:val="0"/>
              <w:snapToGrid w:val="0"/>
              <w:spacing w:line="360" w:lineRule="auto"/>
              <w:jc w:val="center"/>
              <w:rPr>
                <w:sz w:val="18"/>
                <w:szCs w:val="18"/>
              </w:rPr>
            </w:pPr>
            <w:r>
              <w:rPr>
                <w:sz w:val="18"/>
                <w:szCs w:val="18"/>
              </w:rPr>
              <w:t>0.40</w:t>
            </w:r>
          </w:p>
        </w:tc>
      </w:tr>
      <w:bookmarkEnd w:id="1"/>
    </w:tbl>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5.2.2 指标项限值确定</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通过室内试验、理论计算、数据采集等方式采集了大量的沥青混合料污染物排放检测数据、能耗数据以及路用性能数据。按照统计学方法，对数据进行正态分布计算。根据正态分布参数，结合标准正态分布函数值，分别计算了90%、80%、70%、60%、50%、40%、30%、20%合格率下沥青混合料污染物排放、能耗、路用性能的合格率值，作为确定各指标项限值的参考依据。</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此外，通过与行业管理部门、材料生产企业、权威专家进行多轮的充分研讨，结合国家、行业和北京市政策要求，综合确定了各指标项限值。</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六、重大意见分歧的处理</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无。</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七、</w:t>
      </w:r>
      <w:r>
        <w:rPr>
          <w:rFonts w:ascii="黑体" w:hAnsi="宋体" w:eastAsia="黑体"/>
          <w:sz w:val="28"/>
          <w:szCs w:val="28"/>
        </w:rPr>
        <w:t>采</w:t>
      </w:r>
      <w:r>
        <w:rPr>
          <w:rFonts w:hint="eastAsia" w:ascii="黑体" w:hAnsi="宋体" w:eastAsia="黑体"/>
          <w:sz w:val="28"/>
          <w:szCs w:val="28"/>
        </w:rPr>
        <w:t>标</w:t>
      </w:r>
      <w:r>
        <w:rPr>
          <w:rFonts w:ascii="黑体" w:hAnsi="宋体" w:eastAsia="黑体"/>
          <w:sz w:val="28"/>
          <w:szCs w:val="28"/>
        </w:rPr>
        <w:t>程度</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无。</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八、作为强制性标准或推荐性标准的建议</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本技术要求为应用规范性标准，属于推荐性标准，建议如下：</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北京市沥青混合料绿色评价技术指南》的实施，将填补北京市绿色公路评价体系中绿色材料评价环节的空白，将使得北京市沥青混合料绿色水平量化有据可依，对沥青混合料绿色等级划定有标准可依，对推动北京市绿色沥青混合料的推广应用，促进沥青路面材料行业深化绿色升级，支撑北京市绿色公路建设具有重要意义。因此，建议《北京市沥青混合料绿色评价技术指南》颁布后，交通基础设施建设领域的建设单位、设计单位、施工单位、材料生产单位应高度重视，在材料选择、材料应用方面偏重于绿色材料的应用，并在执行过程中注意总结、整理经验，为不断推动北京市沥青混合料材料绿色化、低碳化、节能化发展奠定基础。</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九、措施建议</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2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建议在北京交通基础设施建设领域加强宣传，引导相关设计、建设、施工、生产等单位选择绿色环保材料。</w:t>
      </w:r>
    </w:p>
    <w:p>
      <w:pPr>
        <w:pStyle w:val="24"/>
        <w:spacing w:line="360" w:lineRule="auto"/>
        <w:ind w:firstLine="0" w:firstLineChars="0"/>
        <w:outlineLvl w:val="0"/>
        <w:rPr>
          <w:rFonts w:ascii="黑体" w:hAnsi="宋体" w:eastAsia="黑体"/>
          <w:sz w:val="28"/>
          <w:szCs w:val="28"/>
        </w:rPr>
      </w:pPr>
      <w:r>
        <w:rPr>
          <w:rFonts w:hint="eastAsia" w:ascii="黑体" w:hAnsi="宋体" w:eastAsia="黑体"/>
          <w:sz w:val="28"/>
          <w:szCs w:val="28"/>
        </w:rPr>
        <w:t>十、</w:t>
      </w:r>
      <w:r>
        <w:rPr>
          <w:rFonts w:ascii="黑体" w:hAnsi="宋体" w:eastAsia="黑体"/>
          <w:sz w:val="28"/>
          <w:szCs w:val="28"/>
        </w:rPr>
        <w:t>其他应</w:t>
      </w:r>
      <w:r>
        <w:rPr>
          <w:rFonts w:hint="eastAsia" w:ascii="黑体" w:hAnsi="宋体" w:eastAsia="黑体"/>
          <w:sz w:val="28"/>
          <w:szCs w:val="28"/>
        </w:rPr>
        <w:t>说明</w:t>
      </w:r>
      <w:r>
        <w:rPr>
          <w:rFonts w:ascii="黑体" w:hAnsi="宋体" w:eastAsia="黑体"/>
          <w:sz w:val="28"/>
          <w:szCs w:val="28"/>
        </w:rPr>
        <w:t>的事项</w:t>
      </w:r>
    </w:p>
    <w:p>
      <w:pPr>
        <w:pStyle w:val="20"/>
        <w:keepNext w:val="0"/>
        <w:keepLines w:val="0"/>
        <w:pageBreakBefore w:val="0"/>
        <w:widowControl/>
        <w:tabs>
          <w:tab w:val="right" w:leader="dot" w:pos="8222"/>
          <w:tab w:val="clear" w:pos="9298"/>
        </w:tabs>
        <w:kinsoku/>
        <w:wordWrap/>
        <w:overflowPunct/>
        <w:topLinePunct w:val="0"/>
        <w:autoSpaceDE w:val="0"/>
        <w:autoSpaceDN w:val="0"/>
        <w:bidi w:val="0"/>
        <w:adjustRightInd/>
        <w:snapToGrid/>
        <w:spacing w:line="560" w:lineRule="exact"/>
        <w:ind w:firstLine="56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无。</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6</w:t>
    </w:r>
    <w:r>
      <w:rPr>
        <w:rStyle w:val="17"/>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楷体_GB2312" w:eastAsia="楷体_GB2312"/>
      </w:rPr>
    </w:pPr>
    <w:r>
      <w:rPr>
        <w:rFonts w:hint="eastAsia" w:ascii="楷体_GB2312" w:eastAsia="楷体_GB2312"/>
      </w:rPr>
      <w:t>《北京市沥青混合料绿色评价技术指南》编制说明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pStyle w:val="26"/>
      <w:suff w:val="nothing"/>
      <w:lvlText w:val="%1——"/>
      <w:lvlJc w:val="left"/>
      <w:pPr>
        <w:ind w:left="833" w:hanging="408"/>
      </w:pPr>
      <w:rPr>
        <w:rFonts w:hint="eastAsia"/>
      </w:rPr>
    </w:lvl>
    <w:lvl w:ilvl="1" w:tentative="0">
      <w:start w:val="1"/>
      <w:numFmt w:val="bullet"/>
      <w:pStyle w:val="25"/>
      <w:lvlText w:val=""/>
      <w:lvlJc w:val="left"/>
      <w:pPr>
        <w:tabs>
          <w:tab w:val="left" w:pos="760"/>
        </w:tabs>
        <w:ind w:left="1264" w:hanging="413"/>
      </w:pPr>
      <w:rPr>
        <w:rFonts w:hint="default" w:ascii="Symbol" w:hAnsi="Symbol"/>
        <w:color w:val="auto"/>
      </w:rPr>
    </w:lvl>
    <w:lvl w:ilvl="2" w:tentative="0">
      <w:start w:val="1"/>
      <w:numFmt w:val="bullet"/>
      <w:pStyle w:val="2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66BB71B4"/>
    <w:multiLevelType w:val="multilevel"/>
    <w:tmpl w:val="66BB71B4"/>
    <w:lvl w:ilvl="0" w:tentative="0">
      <w:start w:val="3"/>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true"/>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9B"/>
    <w:rsid w:val="00000406"/>
    <w:rsid w:val="00003541"/>
    <w:rsid w:val="00003DBE"/>
    <w:rsid w:val="00004204"/>
    <w:rsid w:val="0001645A"/>
    <w:rsid w:val="00024A35"/>
    <w:rsid w:val="00026D63"/>
    <w:rsid w:val="0002764B"/>
    <w:rsid w:val="00030289"/>
    <w:rsid w:val="00034D63"/>
    <w:rsid w:val="000353B7"/>
    <w:rsid w:val="000465D1"/>
    <w:rsid w:val="00050B12"/>
    <w:rsid w:val="00062F95"/>
    <w:rsid w:val="00064224"/>
    <w:rsid w:val="00072157"/>
    <w:rsid w:val="00073241"/>
    <w:rsid w:val="00075972"/>
    <w:rsid w:val="000774B9"/>
    <w:rsid w:val="0008046A"/>
    <w:rsid w:val="000929BE"/>
    <w:rsid w:val="00093C84"/>
    <w:rsid w:val="00095702"/>
    <w:rsid w:val="0009609F"/>
    <w:rsid w:val="000A3DD4"/>
    <w:rsid w:val="000A6CC0"/>
    <w:rsid w:val="000B374D"/>
    <w:rsid w:val="000C1132"/>
    <w:rsid w:val="000C44F9"/>
    <w:rsid w:val="000C538D"/>
    <w:rsid w:val="000C6A0A"/>
    <w:rsid w:val="000C720F"/>
    <w:rsid w:val="000C7261"/>
    <w:rsid w:val="000D4757"/>
    <w:rsid w:val="000D4CAD"/>
    <w:rsid w:val="000D69BB"/>
    <w:rsid w:val="000E5B83"/>
    <w:rsid w:val="000F07DE"/>
    <w:rsid w:val="000F284A"/>
    <w:rsid w:val="000F312B"/>
    <w:rsid w:val="000F4F7D"/>
    <w:rsid w:val="0010089E"/>
    <w:rsid w:val="00100F57"/>
    <w:rsid w:val="00102DBF"/>
    <w:rsid w:val="00103CAC"/>
    <w:rsid w:val="0010649A"/>
    <w:rsid w:val="001068D0"/>
    <w:rsid w:val="001128AB"/>
    <w:rsid w:val="00116A8D"/>
    <w:rsid w:val="00122601"/>
    <w:rsid w:val="001239FC"/>
    <w:rsid w:val="00124A82"/>
    <w:rsid w:val="00127DA9"/>
    <w:rsid w:val="00132F34"/>
    <w:rsid w:val="0013477C"/>
    <w:rsid w:val="00135886"/>
    <w:rsid w:val="001360DB"/>
    <w:rsid w:val="00140334"/>
    <w:rsid w:val="0015400B"/>
    <w:rsid w:val="00156C2E"/>
    <w:rsid w:val="00156C74"/>
    <w:rsid w:val="001631F9"/>
    <w:rsid w:val="0016513E"/>
    <w:rsid w:val="00182520"/>
    <w:rsid w:val="00185205"/>
    <w:rsid w:val="001853AE"/>
    <w:rsid w:val="00187E80"/>
    <w:rsid w:val="001920B9"/>
    <w:rsid w:val="00193F1F"/>
    <w:rsid w:val="00197555"/>
    <w:rsid w:val="001A3BA8"/>
    <w:rsid w:val="001B1184"/>
    <w:rsid w:val="001B2472"/>
    <w:rsid w:val="001B2E54"/>
    <w:rsid w:val="001C62D7"/>
    <w:rsid w:val="001D35D7"/>
    <w:rsid w:val="001D5622"/>
    <w:rsid w:val="001D6565"/>
    <w:rsid w:val="001E4294"/>
    <w:rsid w:val="001E7974"/>
    <w:rsid w:val="001E7C3C"/>
    <w:rsid w:val="001F2BC7"/>
    <w:rsid w:val="001F369F"/>
    <w:rsid w:val="00206788"/>
    <w:rsid w:val="00206A07"/>
    <w:rsid w:val="00211946"/>
    <w:rsid w:val="002273FB"/>
    <w:rsid w:val="00230D6A"/>
    <w:rsid w:val="002366E0"/>
    <w:rsid w:val="00241A0C"/>
    <w:rsid w:val="00242D06"/>
    <w:rsid w:val="0026347E"/>
    <w:rsid w:val="002757CF"/>
    <w:rsid w:val="00276CEA"/>
    <w:rsid w:val="002815E8"/>
    <w:rsid w:val="002832CF"/>
    <w:rsid w:val="00292880"/>
    <w:rsid w:val="00293869"/>
    <w:rsid w:val="0029655D"/>
    <w:rsid w:val="002A6BA7"/>
    <w:rsid w:val="002B3B8B"/>
    <w:rsid w:val="002B49DE"/>
    <w:rsid w:val="002C435D"/>
    <w:rsid w:val="002C4F8F"/>
    <w:rsid w:val="002D0034"/>
    <w:rsid w:val="002D13E9"/>
    <w:rsid w:val="002D4AED"/>
    <w:rsid w:val="002D508B"/>
    <w:rsid w:val="002D5646"/>
    <w:rsid w:val="002E24AB"/>
    <w:rsid w:val="002F1827"/>
    <w:rsid w:val="002F56FE"/>
    <w:rsid w:val="0030157E"/>
    <w:rsid w:val="0030760E"/>
    <w:rsid w:val="00313C6A"/>
    <w:rsid w:val="00316D2B"/>
    <w:rsid w:val="00320291"/>
    <w:rsid w:val="00330ED7"/>
    <w:rsid w:val="00331406"/>
    <w:rsid w:val="003326EA"/>
    <w:rsid w:val="00333399"/>
    <w:rsid w:val="00335E18"/>
    <w:rsid w:val="0033740B"/>
    <w:rsid w:val="003565C7"/>
    <w:rsid w:val="003568B3"/>
    <w:rsid w:val="00357E92"/>
    <w:rsid w:val="00360445"/>
    <w:rsid w:val="003604A3"/>
    <w:rsid w:val="00361197"/>
    <w:rsid w:val="00363655"/>
    <w:rsid w:val="00366409"/>
    <w:rsid w:val="003712BD"/>
    <w:rsid w:val="003804D4"/>
    <w:rsid w:val="00381472"/>
    <w:rsid w:val="003831A3"/>
    <w:rsid w:val="00384444"/>
    <w:rsid w:val="003A0BDC"/>
    <w:rsid w:val="003A5036"/>
    <w:rsid w:val="003A6705"/>
    <w:rsid w:val="003A67B2"/>
    <w:rsid w:val="003B5519"/>
    <w:rsid w:val="003B7191"/>
    <w:rsid w:val="003C082D"/>
    <w:rsid w:val="003E08C8"/>
    <w:rsid w:val="003E664D"/>
    <w:rsid w:val="003F02B1"/>
    <w:rsid w:val="003F58D8"/>
    <w:rsid w:val="00402C23"/>
    <w:rsid w:val="00411992"/>
    <w:rsid w:val="00420B78"/>
    <w:rsid w:val="004228BC"/>
    <w:rsid w:val="0042773E"/>
    <w:rsid w:val="00431ED3"/>
    <w:rsid w:val="0044020A"/>
    <w:rsid w:val="0044166C"/>
    <w:rsid w:val="00442816"/>
    <w:rsid w:val="0045167A"/>
    <w:rsid w:val="00452410"/>
    <w:rsid w:val="00453E71"/>
    <w:rsid w:val="004544AF"/>
    <w:rsid w:val="00462ADB"/>
    <w:rsid w:val="00467B85"/>
    <w:rsid w:val="004753AC"/>
    <w:rsid w:val="0049266F"/>
    <w:rsid w:val="00495559"/>
    <w:rsid w:val="00497246"/>
    <w:rsid w:val="004A0D7B"/>
    <w:rsid w:val="004A1FDD"/>
    <w:rsid w:val="004A4202"/>
    <w:rsid w:val="004A7725"/>
    <w:rsid w:val="004B0CCA"/>
    <w:rsid w:val="004B343C"/>
    <w:rsid w:val="004B4E88"/>
    <w:rsid w:val="004C0B25"/>
    <w:rsid w:val="004C21F3"/>
    <w:rsid w:val="004C5EF3"/>
    <w:rsid w:val="004C6A93"/>
    <w:rsid w:val="004C7EE6"/>
    <w:rsid w:val="004D02E4"/>
    <w:rsid w:val="004D1999"/>
    <w:rsid w:val="004D37D9"/>
    <w:rsid w:val="004D3DD7"/>
    <w:rsid w:val="004D3FE5"/>
    <w:rsid w:val="004E5F38"/>
    <w:rsid w:val="00513018"/>
    <w:rsid w:val="00521671"/>
    <w:rsid w:val="0053170A"/>
    <w:rsid w:val="00533578"/>
    <w:rsid w:val="005361C4"/>
    <w:rsid w:val="00536B55"/>
    <w:rsid w:val="00537DE2"/>
    <w:rsid w:val="00543569"/>
    <w:rsid w:val="00547CDA"/>
    <w:rsid w:val="005544DD"/>
    <w:rsid w:val="005548EF"/>
    <w:rsid w:val="00554EE6"/>
    <w:rsid w:val="00555D56"/>
    <w:rsid w:val="00560904"/>
    <w:rsid w:val="00562375"/>
    <w:rsid w:val="00563E98"/>
    <w:rsid w:val="00564127"/>
    <w:rsid w:val="0058599D"/>
    <w:rsid w:val="00590CE5"/>
    <w:rsid w:val="005936CB"/>
    <w:rsid w:val="00593CDE"/>
    <w:rsid w:val="0059511F"/>
    <w:rsid w:val="005A04D1"/>
    <w:rsid w:val="005A5876"/>
    <w:rsid w:val="005A7C55"/>
    <w:rsid w:val="005B1F24"/>
    <w:rsid w:val="005B7CAB"/>
    <w:rsid w:val="005C1DC9"/>
    <w:rsid w:val="005C5CB5"/>
    <w:rsid w:val="005D36B9"/>
    <w:rsid w:val="005D5FDF"/>
    <w:rsid w:val="005E27AA"/>
    <w:rsid w:val="005E3E26"/>
    <w:rsid w:val="005E6773"/>
    <w:rsid w:val="005F14CB"/>
    <w:rsid w:val="00602F3D"/>
    <w:rsid w:val="00615C12"/>
    <w:rsid w:val="006213B9"/>
    <w:rsid w:val="0062389E"/>
    <w:rsid w:val="0062457E"/>
    <w:rsid w:val="0062612B"/>
    <w:rsid w:val="00644978"/>
    <w:rsid w:val="00646907"/>
    <w:rsid w:val="0065080C"/>
    <w:rsid w:val="006536F1"/>
    <w:rsid w:val="00655994"/>
    <w:rsid w:val="00656636"/>
    <w:rsid w:val="006644E9"/>
    <w:rsid w:val="00666725"/>
    <w:rsid w:val="0067519D"/>
    <w:rsid w:val="00675F7E"/>
    <w:rsid w:val="00676A17"/>
    <w:rsid w:val="00682D86"/>
    <w:rsid w:val="00683F22"/>
    <w:rsid w:val="00685BE7"/>
    <w:rsid w:val="0068658D"/>
    <w:rsid w:val="00690E98"/>
    <w:rsid w:val="00691EC7"/>
    <w:rsid w:val="006972BF"/>
    <w:rsid w:val="006A3039"/>
    <w:rsid w:val="006A4D37"/>
    <w:rsid w:val="006A54AD"/>
    <w:rsid w:val="006A6144"/>
    <w:rsid w:val="006A6294"/>
    <w:rsid w:val="006B56C9"/>
    <w:rsid w:val="006B71C4"/>
    <w:rsid w:val="006B7801"/>
    <w:rsid w:val="006B7E34"/>
    <w:rsid w:val="006E2667"/>
    <w:rsid w:val="006E2EEE"/>
    <w:rsid w:val="006F19A5"/>
    <w:rsid w:val="006F1A1E"/>
    <w:rsid w:val="006F6E33"/>
    <w:rsid w:val="0070109D"/>
    <w:rsid w:val="007150DC"/>
    <w:rsid w:val="00720590"/>
    <w:rsid w:val="00723F10"/>
    <w:rsid w:val="007240FD"/>
    <w:rsid w:val="00727211"/>
    <w:rsid w:val="007342DD"/>
    <w:rsid w:val="007369FA"/>
    <w:rsid w:val="007438D7"/>
    <w:rsid w:val="00744C21"/>
    <w:rsid w:val="00750689"/>
    <w:rsid w:val="00751277"/>
    <w:rsid w:val="007529DA"/>
    <w:rsid w:val="00752F2E"/>
    <w:rsid w:val="00753046"/>
    <w:rsid w:val="00773842"/>
    <w:rsid w:val="00774C7B"/>
    <w:rsid w:val="007756A5"/>
    <w:rsid w:val="0077585B"/>
    <w:rsid w:val="00782AF2"/>
    <w:rsid w:val="00790C09"/>
    <w:rsid w:val="007B1AA4"/>
    <w:rsid w:val="007B7259"/>
    <w:rsid w:val="007C07C5"/>
    <w:rsid w:val="007C0CEB"/>
    <w:rsid w:val="007C2D87"/>
    <w:rsid w:val="007D3046"/>
    <w:rsid w:val="007D37DF"/>
    <w:rsid w:val="007D5899"/>
    <w:rsid w:val="007E0D83"/>
    <w:rsid w:val="007E139B"/>
    <w:rsid w:val="007E2B35"/>
    <w:rsid w:val="007E3C6C"/>
    <w:rsid w:val="007E5859"/>
    <w:rsid w:val="007F047F"/>
    <w:rsid w:val="007F26A4"/>
    <w:rsid w:val="007F42F2"/>
    <w:rsid w:val="007F6E83"/>
    <w:rsid w:val="00800528"/>
    <w:rsid w:val="00805D79"/>
    <w:rsid w:val="008114CE"/>
    <w:rsid w:val="00821F11"/>
    <w:rsid w:val="00825EA0"/>
    <w:rsid w:val="00826B0F"/>
    <w:rsid w:val="00826E6E"/>
    <w:rsid w:val="0083230B"/>
    <w:rsid w:val="00835D0E"/>
    <w:rsid w:val="0083681F"/>
    <w:rsid w:val="00837BC3"/>
    <w:rsid w:val="00837DC6"/>
    <w:rsid w:val="0084309B"/>
    <w:rsid w:val="008442A4"/>
    <w:rsid w:val="00847969"/>
    <w:rsid w:val="00851537"/>
    <w:rsid w:val="0085443C"/>
    <w:rsid w:val="008572A6"/>
    <w:rsid w:val="00857CE8"/>
    <w:rsid w:val="00862633"/>
    <w:rsid w:val="008627AB"/>
    <w:rsid w:val="00877169"/>
    <w:rsid w:val="0087750A"/>
    <w:rsid w:val="00880761"/>
    <w:rsid w:val="00895B6B"/>
    <w:rsid w:val="008A015B"/>
    <w:rsid w:val="008A2BA8"/>
    <w:rsid w:val="008A6D33"/>
    <w:rsid w:val="008B0694"/>
    <w:rsid w:val="008B7E5F"/>
    <w:rsid w:val="008C2FFE"/>
    <w:rsid w:val="008C3306"/>
    <w:rsid w:val="008D2B2E"/>
    <w:rsid w:val="008D4432"/>
    <w:rsid w:val="008D4D74"/>
    <w:rsid w:val="008D7C62"/>
    <w:rsid w:val="008E04BA"/>
    <w:rsid w:val="008E0832"/>
    <w:rsid w:val="008E4C4F"/>
    <w:rsid w:val="008E63B1"/>
    <w:rsid w:val="008E6E17"/>
    <w:rsid w:val="008F3CBF"/>
    <w:rsid w:val="0090031F"/>
    <w:rsid w:val="0090685C"/>
    <w:rsid w:val="009123AC"/>
    <w:rsid w:val="00914542"/>
    <w:rsid w:val="00920ED6"/>
    <w:rsid w:val="0092415F"/>
    <w:rsid w:val="00925327"/>
    <w:rsid w:val="00933D69"/>
    <w:rsid w:val="00940D75"/>
    <w:rsid w:val="009464A8"/>
    <w:rsid w:val="0095061A"/>
    <w:rsid w:val="00952D2A"/>
    <w:rsid w:val="00957A88"/>
    <w:rsid w:val="00963266"/>
    <w:rsid w:val="00963CEC"/>
    <w:rsid w:val="0096503B"/>
    <w:rsid w:val="00972922"/>
    <w:rsid w:val="00972A43"/>
    <w:rsid w:val="00973924"/>
    <w:rsid w:val="00977C6A"/>
    <w:rsid w:val="00994FE2"/>
    <w:rsid w:val="009966FA"/>
    <w:rsid w:val="00997CF5"/>
    <w:rsid w:val="009A086D"/>
    <w:rsid w:val="009A1C99"/>
    <w:rsid w:val="009A3396"/>
    <w:rsid w:val="009A4657"/>
    <w:rsid w:val="009A7C1B"/>
    <w:rsid w:val="009B1AD4"/>
    <w:rsid w:val="009B4874"/>
    <w:rsid w:val="009B4D63"/>
    <w:rsid w:val="009B56DD"/>
    <w:rsid w:val="009B5758"/>
    <w:rsid w:val="009D638B"/>
    <w:rsid w:val="009D6D39"/>
    <w:rsid w:val="009D7193"/>
    <w:rsid w:val="009E66EF"/>
    <w:rsid w:val="00A0372F"/>
    <w:rsid w:val="00A16D71"/>
    <w:rsid w:val="00A24131"/>
    <w:rsid w:val="00A34C35"/>
    <w:rsid w:val="00A459DF"/>
    <w:rsid w:val="00A55783"/>
    <w:rsid w:val="00A62380"/>
    <w:rsid w:val="00A623D3"/>
    <w:rsid w:val="00A64ED3"/>
    <w:rsid w:val="00A670F4"/>
    <w:rsid w:val="00A67510"/>
    <w:rsid w:val="00A816C5"/>
    <w:rsid w:val="00A81E7C"/>
    <w:rsid w:val="00A947A9"/>
    <w:rsid w:val="00A94FBC"/>
    <w:rsid w:val="00AA1785"/>
    <w:rsid w:val="00AB3C9D"/>
    <w:rsid w:val="00AC09BB"/>
    <w:rsid w:val="00AC1620"/>
    <w:rsid w:val="00AC2480"/>
    <w:rsid w:val="00AC3AC3"/>
    <w:rsid w:val="00AD5370"/>
    <w:rsid w:val="00AE34A5"/>
    <w:rsid w:val="00AE63EC"/>
    <w:rsid w:val="00AE78F1"/>
    <w:rsid w:val="00AF0144"/>
    <w:rsid w:val="00AF273D"/>
    <w:rsid w:val="00AF5D92"/>
    <w:rsid w:val="00B01170"/>
    <w:rsid w:val="00B06481"/>
    <w:rsid w:val="00B21065"/>
    <w:rsid w:val="00B22BEA"/>
    <w:rsid w:val="00B2710C"/>
    <w:rsid w:val="00B419E1"/>
    <w:rsid w:val="00B41E67"/>
    <w:rsid w:val="00B4292A"/>
    <w:rsid w:val="00B43BDF"/>
    <w:rsid w:val="00B50508"/>
    <w:rsid w:val="00B54542"/>
    <w:rsid w:val="00B56F91"/>
    <w:rsid w:val="00B57C7C"/>
    <w:rsid w:val="00B62E12"/>
    <w:rsid w:val="00B67907"/>
    <w:rsid w:val="00B67969"/>
    <w:rsid w:val="00B7214C"/>
    <w:rsid w:val="00B72AF5"/>
    <w:rsid w:val="00B80EC7"/>
    <w:rsid w:val="00B81E28"/>
    <w:rsid w:val="00B8706D"/>
    <w:rsid w:val="00B879FA"/>
    <w:rsid w:val="00B91171"/>
    <w:rsid w:val="00B91D2A"/>
    <w:rsid w:val="00B93A1F"/>
    <w:rsid w:val="00B95904"/>
    <w:rsid w:val="00B96462"/>
    <w:rsid w:val="00BA22C8"/>
    <w:rsid w:val="00BA67B5"/>
    <w:rsid w:val="00BB1E1D"/>
    <w:rsid w:val="00BB575B"/>
    <w:rsid w:val="00BC18D7"/>
    <w:rsid w:val="00BC4ACD"/>
    <w:rsid w:val="00BC600B"/>
    <w:rsid w:val="00BD1CF4"/>
    <w:rsid w:val="00BD7FCC"/>
    <w:rsid w:val="00BE01EB"/>
    <w:rsid w:val="00BE0CB6"/>
    <w:rsid w:val="00BE0E7D"/>
    <w:rsid w:val="00BE174F"/>
    <w:rsid w:val="00BF040F"/>
    <w:rsid w:val="00BF224D"/>
    <w:rsid w:val="00BF2275"/>
    <w:rsid w:val="00BF4CB3"/>
    <w:rsid w:val="00BF5295"/>
    <w:rsid w:val="00C01D3D"/>
    <w:rsid w:val="00C02F4A"/>
    <w:rsid w:val="00C10456"/>
    <w:rsid w:val="00C11E3E"/>
    <w:rsid w:val="00C1204B"/>
    <w:rsid w:val="00C1743B"/>
    <w:rsid w:val="00C22D40"/>
    <w:rsid w:val="00C231A2"/>
    <w:rsid w:val="00C23316"/>
    <w:rsid w:val="00C23918"/>
    <w:rsid w:val="00C24223"/>
    <w:rsid w:val="00C374D0"/>
    <w:rsid w:val="00C3763A"/>
    <w:rsid w:val="00C42294"/>
    <w:rsid w:val="00C50BBA"/>
    <w:rsid w:val="00C51E9B"/>
    <w:rsid w:val="00C5390A"/>
    <w:rsid w:val="00C60864"/>
    <w:rsid w:val="00C677F2"/>
    <w:rsid w:val="00C71171"/>
    <w:rsid w:val="00C72799"/>
    <w:rsid w:val="00C85B48"/>
    <w:rsid w:val="00C94FDE"/>
    <w:rsid w:val="00CA1F51"/>
    <w:rsid w:val="00CA2410"/>
    <w:rsid w:val="00CA4A1C"/>
    <w:rsid w:val="00CB5267"/>
    <w:rsid w:val="00CC1917"/>
    <w:rsid w:val="00CC64CF"/>
    <w:rsid w:val="00CE35B4"/>
    <w:rsid w:val="00CE6FFB"/>
    <w:rsid w:val="00D11F87"/>
    <w:rsid w:val="00D14FF3"/>
    <w:rsid w:val="00D21B95"/>
    <w:rsid w:val="00D2639C"/>
    <w:rsid w:val="00D27303"/>
    <w:rsid w:val="00D3289C"/>
    <w:rsid w:val="00D33938"/>
    <w:rsid w:val="00D34FB7"/>
    <w:rsid w:val="00D420D9"/>
    <w:rsid w:val="00D50A53"/>
    <w:rsid w:val="00D64B5C"/>
    <w:rsid w:val="00D709A0"/>
    <w:rsid w:val="00D71491"/>
    <w:rsid w:val="00D7155B"/>
    <w:rsid w:val="00D74B3A"/>
    <w:rsid w:val="00D761C8"/>
    <w:rsid w:val="00D84BE3"/>
    <w:rsid w:val="00D9374F"/>
    <w:rsid w:val="00DA2F18"/>
    <w:rsid w:val="00DA6A86"/>
    <w:rsid w:val="00DA78AC"/>
    <w:rsid w:val="00DB2E24"/>
    <w:rsid w:val="00DB7CE8"/>
    <w:rsid w:val="00DC19F9"/>
    <w:rsid w:val="00DC2ABF"/>
    <w:rsid w:val="00DC5954"/>
    <w:rsid w:val="00DC73C5"/>
    <w:rsid w:val="00DD5847"/>
    <w:rsid w:val="00DD75AF"/>
    <w:rsid w:val="00DE4B3D"/>
    <w:rsid w:val="00DE54EC"/>
    <w:rsid w:val="00DF57AA"/>
    <w:rsid w:val="00DF5A49"/>
    <w:rsid w:val="00E04359"/>
    <w:rsid w:val="00E04FC2"/>
    <w:rsid w:val="00E05F51"/>
    <w:rsid w:val="00E079D9"/>
    <w:rsid w:val="00E16E27"/>
    <w:rsid w:val="00E21818"/>
    <w:rsid w:val="00E21FB7"/>
    <w:rsid w:val="00E26707"/>
    <w:rsid w:val="00E27E5E"/>
    <w:rsid w:val="00E30308"/>
    <w:rsid w:val="00E33D63"/>
    <w:rsid w:val="00E34794"/>
    <w:rsid w:val="00E42CBF"/>
    <w:rsid w:val="00E4504D"/>
    <w:rsid w:val="00E57D9A"/>
    <w:rsid w:val="00E650D5"/>
    <w:rsid w:val="00E768D4"/>
    <w:rsid w:val="00E76F6E"/>
    <w:rsid w:val="00E80007"/>
    <w:rsid w:val="00E94676"/>
    <w:rsid w:val="00E9576E"/>
    <w:rsid w:val="00E97BFC"/>
    <w:rsid w:val="00EA3791"/>
    <w:rsid w:val="00EA7749"/>
    <w:rsid w:val="00EB52F1"/>
    <w:rsid w:val="00EC1CC4"/>
    <w:rsid w:val="00EC39A2"/>
    <w:rsid w:val="00EC4435"/>
    <w:rsid w:val="00EC7148"/>
    <w:rsid w:val="00ED3322"/>
    <w:rsid w:val="00EE07C3"/>
    <w:rsid w:val="00EE3033"/>
    <w:rsid w:val="00EE4A47"/>
    <w:rsid w:val="00EE5D40"/>
    <w:rsid w:val="00EE5D60"/>
    <w:rsid w:val="00EF4680"/>
    <w:rsid w:val="00EF6815"/>
    <w:rsid w:val="00EF7A5D"/>
    <w:rsid w:val="00F00F92"/>
    <w:rsid w:val="00F043DA"/>
    <w:rsid w:val="00F11AA2"/>
    <w:rsid w:val="00F358EF"/>
    <w:rsid w:val="00F35C54"/>
    <w:rsid w:val="00F43E80"/>
    <w:rsid w:val="00F52151"/>
    <w:rsid w:val="00F5616D"/>
    <w:rsid w:val="00F63575"/>
    <w:rsid w:val="00F71E65"/>
    <w:rsid w:val="00F746A8"/>
    <w:rsid w:val="00F86B7E"/>
    <w:rsid w:val="00F87CEF"/>
    <w:rsid w:val="00F924F1"/>
    <w:rsid w:val="00F95C72"/>
    <w:rsid w:val="00FA3E75"/>
    <w:rsid w:val="00FB67E0"/>
    <w:rsid w:val="00FC31B9"/>
    <w:rsid w:val="00FD1E75"/>
    <w:rsid w:val="00FE5E8B"/>
    <w:rsid w:val="02176522"/>
    <w:rsid w:val="035942A9"/>
    <w:rsid w:val="100A1754"/>
    <w:rsid w:val="12D657A3"/>
    <w:rsid w:val="145D6A7B"/>
    <w:rsid w:val="15AF3DE2"/>
    <w:rsid w:val="197DC15A"/>
    <w:rsid w:val="2BE733A4"/>
    <w:rsid w:val="3624627D"/>
    <w:rsid w:val="3BFC4DF0"/>
    <w:rsid w:val="500C2B98"/>
    <w:rsid w:val="5818560B"/>
    <w:rsid w:val="5B073E5D"/>
    <w:rsid w:val="5EFCABE6"/>
    <w:rsid w:val="646011C5"/>
    <w:rsid w:val="6AFA2D16"/>
    <w:rsid w:val="6B9D57F3"/>
    <w:rsid w:val="6EE3BD9F"/>
    <w:rsid w:val="776DBC2C"/>
    <w:rsid w:val="7FBFDFAD"/>
    <w:rsid w:val="AF5C6E8B"/>
    <w:rsid w:val="BBBFEC7D"/>
    <w:rsid w:val="DF65ACC9"/>
    <w:rsid w:val="EFD2A718"/>
    <w:rsid w:val="F4A571B2"/>
    <w:rsid w:val="F7F7507F"/>
    <w:rsid w:val="FCBFA82E"/>
    <w:rsid w:val="FD59EB13"/>
    <w:rsid w:val="FD730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3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link w:val="29"/>
    <w:qFormat/>
    <w:uiPriority w:val="0"/>
    <w:pPr>
      <w:spacing w:after="120"/>
    </w:pPr>
  </w:style>
  <w:style w:type="paragraph" w:styleId="6">
    <w:name w:val="Plain Text"/>
    <w:basedOn w:val="1"/>
    <w:link w:val="27"/>
    <w:qFormat/>
    <w:uiPriority w:val="0"/>
    <w:rPr>
      <w:rFonts w:ascii="宋体" w:hAnsi="Courier New"/>
      <w:szCs w:val="21"/>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360" w:lineRule="auto"/>
      <w:ind w:firstLine="515" w:firstLineChars="236"/>
    </w:pPr>
    <w:rPr>
      <w:kern w:val="0"/>
      <w:sz w:val="24"/>
      <w:szCs w:val="24"/>
    </w:rPr>
  </w:style>
  <w:style w:type="paragraph" w:styleId="11">
    <w:name w:val="Normal (Web)"/>
    <w:basedOn w:val="1"/>
    <w:qFormat/>
    <w:uiPriority w:val="99"/>
    <w:rPr>
      <w:sz w:val="24"/>
      <w:szCs w:val="24"/>
    </w:rPr>
  </w:style>
  <w:style w:type="paragraph" w:styleId="12">
    <w:name w:val="annotation subject"/>
    <w:basedOn w:val="4"/>
    <w:next w:val="4"/>
    <w:semiHidden/>
    <w:qFormat/>
    <w:uiPriority w:val="0"/>
    <w:rPr>
      <w:b/>
      <w:bCs/>
    </w:rPr>
  </w:style>
  <w:style w:type="paragraph" w:styleId="13">
    <w:name w:val="Body Text First Indent"/>
    <w:basedOn w:val="5"/>
    <w:link w:val="28"/>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annotation reference"/>
    <w:semiHidden/>
    <w:qFormat/>
    <w:uiPriority w:val="0"/>
    <w:rPr>
      <w:sz w:val="21"/>
      <w:szCs w:val="21"/>
    </w:rPr>
  </w:style>
  <w:style w:type="paragraph" w:customStyle="1" w:styleId="19">
    <w:name w:val="正文样式"/>
    <w:basedOn w:val="20"/>
    <w:link w:val="31"/>
    <w:qFormat/>
    <w:uiPriority w:val="0"/>
    <w:pPr>
      <w:tabs>
        <w:tab w:val="center" w:pos="4201"/>
        <w:tab w:val="right" w:leader="dot" w:pos="9298"/>
      </w:tabs>
    </w:pPr>
    <w:rPr>
      <w:kern w:val="2"/>
      <w:szCs w:val="22"/>
    </w:rPr>
  </w:style>
  <w:style w:type="paragraph" w:customStyle="1" w:styleId="20">
    <w:name w:val="段"/>
    <w:link w:val="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首行缩进:  2 字符"/>
    <w:basedOn w:val="1"/>
    <w:qFormat/>
    <w:uiPriority w:val="0"/>
    <w:pPr>
      <w:spacing w:line="360" w:lineRule="auto"/>
      <w:ind w:firstLine="480" w:firstLineChars="200"/>
    </w:pPr>
    <w:rPr>
      <w:rFonts w:cs="宋体"/>
      <w:sz w:val="24"/>
    </w:rPr>
  </w:style>
  <w:style w:type="paragraph" w:customStyle="1" w:styleId="22">
    <w:name w:val="列项◆（三级）"/>
    <w:basedOn w:val="1"/>
    <w:qFormat/>
    <w:uiPriority w:val="0"/>
    <w:pPr>
      <w:numPr>
        <w:ilvl w:val="2"/>
        <w:numId w:val="1"/>
      </w:numPr>
    </w:pPr>
    <w:rPr>
      <w:rFonts w:ascii="宋体"/>
      <w:szCs w:val="21"/>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本文正文文档"/>
    <w:basedOn w:val="1"/>
    <w:link w:val="30"/>
    <w:qFormat/>
    <w:uiPriority w:val="0"/>
    <w:pPr>
      <w:spacing w:before="156" w:beforeLines="50"/>
      <w:ind w:firstLine="480" w:firstLineChars="200"/>
    </w:pPr>
    <w:rPr>
      <w:rFonts w:cs="宋体"/>
      <w:sz w:val="24"/>
    </w:rPr>
  </w:style>
  <w:style w:type="paragraph" w:customStyle="1" w:styleId="25">
    <w:name w:val="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26">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character" w:customStyle="1" w:styleId="27">
    <w:name w:val="纯文本 字符"/>
    <w:link w:val="6"/>
    <w:qFormat/>
    <w:uiPriority w:val="0"/>
    <w:rPr>
      <w:rFonts w:ascii="宋体" w:hAnsi="Courier New" w:cs="Courier New"/>
      <w:kern w:val="2"/>
      <w:sz w:val="21"/>
      <w:szCs w:val="21"/>
    </w:rPr>
  </w:style>
  <w:style w:type="character" w:customStyle="1" w:styleId="28">
    <w:name w:val="正文文本首行缩进 字符"/>
    <w:basedOn w:val="29"/>
    <w:link w:val="13"/>
    <w:qFormat/>
    <w:uiPriority w:val="0"/>
    <w:rPr>
      <w:kern w:val="2"/>
      <w:sz w:val="21"/>
    </w:rPr>
  </w:style>
  <w:style w:type="character" w:customStyle="1" w:styleId="29">
    <w:name w:val="正文文本 字符"/>
    <w:link w:val="5"/>
    <w:qFormat/>
    <w:uiPriority w:val="0"/>
    <w:rPr>
      <w:kern w:val="2"/>
      <w:sz w:val="21"/>
    </w:rPr>
  </w:style>
  <w:style w:type="character" w:customStyle="1" w:styleId="30">
    <w:name w:val="本文正文文档 Char"/>
    <w:link w:val="24"/>
    <w:qFormat/>
    <w:uiPriority w:val="0"/>
    <w:rPr>
      <w:rFonts w:eastAsia="宋体" w:cs="宋体"/>
      <w:kern w:val="2"/>
      <w:sz w:val="24"/>
      <w:lang w:val="en-US" w:eastAsia="zh-CN" w:bidi="ar-SA"/>
    </w:rPr>
  </w:style>
  <w:style w:type="character" w:customStyle="1" w:styleId="31">
    <w:name w:val="正文样式 Char"/>
    <w:link w:val="19"/>
    <w:qFormat/>
    <w:uiPriority w:val="0"/>
    <w:rPr>
      <w:rFonts w:ascii="宋体"/>
      <w:kern w:val="2"/>
      <w:sz w:val="21"/>
      <w:szCs w:val="22"/>
      <w:lang w:bidi="ar-SA"/>
    </w:rPr>
  </w:style>
  <w:style w:type="character" w:customStyle="1" w:styleId="32">
    <w:name w:val="段 Char"/>
    <w:link w:val="20"/>
    <w:qFormat/>
    <w:uiPriority w:val="0"/>
    <w:rPr>
      <w:rFonts w:ascii="宋体"/>
      <w:sz w:val="21"/>
      <w:lang w:bidi="ar-SA"/>
    </w:rPr>
  </w:style>
  <w:style w:type="character" w:customStyle="1" w:styleId="33">
    <w:name w:val="GF表格正文"/>
    <w:qFormat/>
    <w:uiPriority w:val="0"/>
    <w:rPr>
      <w:sz w:val="18"/>
    </w:rPr>
  </w:style>
  <w:style w:type="character" w:customStyle="1" w:styleId="34">
    <w:name w:val="标题 2 字符"/>
    <w:basedOn w:val="16"/>
    <w:link w:val="2"/>
    <w:semiHidden/>
    <w:qFormat/>
    <w:uiPriority w:val="0"/>
    <w:rPr>
      <w:rFonts w:asciiTheme="majorHAnsi" w:hAnsiTheme="majorHAnsi" w:eastAsiaTheme="majorEastAsia" w:cstheme="majorBidi"/>
      <w:b/>
      <w:bCs/>
      <w:kern w:val="2"/>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1000</Words>
  <Characters>5701</Characters>
  <Lines>47</Lines>
  <Paragraphs>13</Paragraphs>
  <TotalTime>3</TotalTime>
  <ScaleCrop>false</ScaleCrop>
  <LinksUpToDate>false</LinksUpToDate>
  <CharactersWithSpaces>6688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2019-03-21T13:54:00Z</dcterms:created>
  <dc:creator>lx</dc:creator>
  <cp:lastModifiedBy>bmct-aktd</cp:lastModifiedBy>
  <cp:lastPrinted>2019-03-28T14:06:00Z</cp:lastPrinted>
  <dcterms:modified xsi:type="dcterms:W3CDTF">2022-09-09T11:07:39Z</dcterms:modified>
  <dc:title>附件4</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