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4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27"/>
        <w:gridCol w:w="2971"/>
        <w:gridCol w:w="1701"/>
        <w:gridCol w:w="1559"/>
        <w:gridCol w:w="2552"/>
        <w:gridCol w:w="212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tblHeader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评价指标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记分分值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指标信息来源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考核依据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法律依据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  <w:t>录入审核机构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446" w:type="dxa"/>
            <w:gridSpan w:val="8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加分指标</w:t>
            </w: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（加至100分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为止</w:t>
            </w:r>
            <w:bookmarkStart w:id="0" w:name="_GoBack"/>
            <w:bookmarkEnd w:id="0"/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5446" w:type="dxa"/>
            <w:gridSpan w:val="8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服务质量，</w:t>
            </w: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3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项指标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为郊区提供有效车辆服务情况</w:t>
            </w:r>
          </w:p>
        </w:tc>
        <w:tc>
          <w:tcPr>
            <w:tcW w:w="2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单个郊区的车辆有效投放比例=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实际投放车辆数÷应投放车辆数。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单个郊区加分=（车辆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有效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投放比例-95%）÷5%×5，有效投放比例低于95%的，该郊区不加分。总加分=各郊区加分之和。最高加30分。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对扫码核查中发现在郊区违投车辆的企业，不加分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郊区行业管理部门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租赁自行车运行分析月报、郊区行业管理部门报备信息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《北京市非机动车管理条例》第二十条第一款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对接至市级互联网租赁自行车监管与服务平台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各郊区实际投放车辆数以租赁自行车运行分析月报的车辆数为准；应投放车辆数以郊区行业管理部门报备数量为准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车辆报备率达到规定要求标准</w:t>
            </w:r>
          </w:p>
        </w:tc>
        <w:tc>
          <w:tcPr>
            <w:tcW w:w="2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车辆报备率达到100%的，加50分；车辆报备率大于等于95%小于100%的，加分=（车辆报备率-95%）÷5%×50；车辆报备率低于95%的，不加分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市级行业管理部门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租赁自行车运行分析月报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《北京市非机动车管理条例》第二十条第一款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对接至市级互联网租赁自行车监管与服务平台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车辆报备率计算方法参照《北京市互联网租赁自行车服务质量信用考核办法》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季度服务质量考核评价等级情况</w:t>
            </w:r>
          </w:p>
        </w:tc>
        <w:tc>
          <w:tcPr>
            <w:tcW w:w="2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连续4个季度A级，加100分；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连续3个季度A级，加75分；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连续2个季度A级，加50分；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单个季度A级，加25分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市级行业管理部门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季度、年度考评等级评定报告及行业运营公告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《北京市非机动车管理条例》第十九条第三款、《北京市互联网租赁自行车服务质量信用考核办法》第十五条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对接至市级互联网租赁自行车监管与服务平台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54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表彰奖励，</w:t>
            </w: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项指标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获得政府部门表彰奖励情况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国家级表彰，加50分/次；</w:t>
            </w:r>
          </w:p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市级管理部门、区政府表彰，加30分/次；</w:t>
            </w:r>
          </w:p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区级管理部门表彰，加10分/次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企业提供，市级行业管理部门审核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国家、市、区级颁发的获奖证书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《北京市互联网租赁自行车服务质量信用考核办法》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市级行业管理部门录入</w:t>
            </w:r>
          </w:p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对接至市级互联网租赁自行车监管与服务平台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包括企业科技创新与研发、重大活动/重点节假日/重点区域交通保障等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5446" w:type="dxa"/>
            <w:gridSpan w:val="8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减分指标（减至350分为止）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5446" w:type="dxa"/>
            <w:gridSpan w:val="8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安全生产，</w:t>
            </w: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3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项指标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未按规定报送季度和年度用户资金收取、存管、使用及利息收入情况报告的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未按照规定格式、内容报送或瞒报、漏报的，扣350分。</w:t>
            </w:r>
          </w:p>
          <w:p>
            <w:pPr>
              <w:widowControl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按照规定格式、内容报送但延迟报送的，扣10分/天。其中，（1）10天（含）以上仍未报送的，扣100分/次；（2）超期15天仍未报送的，扣350分/次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市级行业管理部门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企业报备信息</w:t>
            </w:r>
          </w:p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检查记录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《北京市非机动车管理条例》第二十条第七款、</w:t>
            </w: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《交通运输新业态用户资金管理办法（试行）》第十九条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市级行业管理部门录入</w:t>
            </w:r>
          </w:p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对接至市级互联网租赁自行车监管与服务平台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按照</w:t>
            </w: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《交通运输新业态用户资金管理办法（试行）》，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每季度首月15日前向市级交通行政管理部门报送上季度报告，每年4月30日前报送上年度报告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未落实网络安全等级保护、数据安全管理、个人信息保护等制度，违法违规收集使用个人信息的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发生网络安全突发事件，一般事件扣100分/次；较大事件扣200分/次；重大事件及特别重大事件扣350分/次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市网络信息安全管理部门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市公安局网安总队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检查记录、改正通知书和处罚记录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《北京市非机动车管理条例》第二十条第八款、《国家网络安全事件应急预案》第一条第四款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市级行业管理部门录入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对接至市级互联网租赁自行车监管与服务平台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网络安全突发事件的分级参照《国家网络安全事件应急预案》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投放车辆的整车及主要部件的安全性能不符合国家标准的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因车辆质量问题造成人员受伤的，扣100分/次；造成人员死亡的，扣350分/次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各级公安交管部门、具备资质的伤亡事故认定机构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交通事故责任认定书、伤亡事故责任司法认定书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《北京市非机动车管理条例》第二十条第二款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市级行业管理部门录入</w:t>
            </w:r>
          </w:p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对接至市级互联网租赁自行车监管与服务平台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54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服务质量，</w:t>
            </w: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3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项指标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重点轨道站点车辆调度响应情况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A级站点每出现一次未正确响应车辆调度的，扣3分；B级站点每出现一次未正确响应车辆调度的，扣2分；C级站点每出现一次未正确响应车辆调度的，扣1分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市级行业管理部门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月度服务质量考核结果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《北京市非机动车管理条例》第十九条第二款、第二十条第六款、《北京市互联网租赁自行车服务质量信用考核办法》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对接至市级互联网租赁自行车监管与服务平台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正确响应指时效和效果两方面，由派单方根据车辆调度小程序中的反馈结果和反馈时间进行判定。其中，到达现场的时间一般不超过15分钟，处置完成时间一般不超过30分钟。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站点分级见附表1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未达到季度服务质量信用考核C等级的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单个季度D级，扣100分；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连续2个季度D级，扣200分</w:t>
            </w: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;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连续3个季度D级，扣350分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市级行业管理部门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季度、年度考评等级评定报告及行业运营公告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《北京市非机动车管理条例》第十九条第三款、《北京市互联网租赁自行车服务质量信用考核办法》第十五条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对接至市级互联网租赁自行车监管与服务平台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未及时办结社会投诉举报的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12345受理的投诉回访时市民表示未解决的，每件扣5分；其他投诉未按照北京市交通行业举报投诉平台规定期限办结的，每件扣5分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市、区行业管理部门、市交通行业举报投诉平台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投诉办结、解决统计结果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《北京市非机动车管理条例》第二十条第四款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市、区行业管理部门录入，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对接至市级互联网租赁自行车监管与服务平台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办结期限以北京市交通行业举报投诉平台规定为准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54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行政执法，</w:t>
            </w: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9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项指标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未建立健全押金、预付金管理制度，未将押金存放在本市开立的银行资金专用账户，承租人申请退还押金时，未及时退还的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被约谈且责令限期改正的，扣10分/次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市、区行业管理部门、交通综合执法部门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责令改正通知书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《北京市非机动车管理条例》第三十一条、第二十条第七款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市、区交通综合执法部门录入交通运输执法案件卷宗，对接至市级互联网租赁自行车监管与服务平台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拒不改正，被处以行政处罚的，扣30分/次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市、区交通综合执法部门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行政处罚决定书</w:t>
            </w: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市、区交通综合执法部门录入交通执法系统，对接至市级互联网租赁自行车监管与服务平台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未建立承租人信用管理制度，未将承租人违法信息纳入信用管理，并采取必要的信用管理措施的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被约谈且责令限期改正的，扣10分/次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市、区行业管理部门、交通综合执法部门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责令改正通知书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《北京市非机动车管理条例》第三十一条、第二十条第五款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市、区交通综合执法部门录入交通运输执法案件卷宗，对接至市级互联网租赁自行车监管与服务平台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拒不改正，被处以行政处罚的，扣30分/次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市、区交通综合执法部门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行政处罚决定书</w:t>
            </w: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市、区交通综合执法部门录入交通执法系统，对接至市级互联网租赁自行车监管与服务平台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投放车辆整车及其主要部件的安全性能不符合国家标准，不具备唯一性编码的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被约谈且责令限期改正的，扣10分/次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市、区行业管理部门、交通综合执法部门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责令改正通知书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《北京市非机动车管理条例》第三十一条、第二十条第二款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市、区交通综合执法部门录入交通运输执法案件卷宗，对接至市级互联网租赁自行车监管与服务平台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拒不改正，被处以行政处罚的，扣30分/次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市、区交通综合执法部门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行政处罚决定书</w:t>
            </w: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市、区交通综合执法部门录入交通执法系统，对接至市级互联网租赁自行车监管与服务平台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未遵守网络安全法律法规要求，落实网络安全等级保护、数据安全管理、个人信息保护等制度的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被约谈且责令限期改正的，扣10分/次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市、区行业管理部门、交通综合执法部门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责令改正通知书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《北京市非机动车管理条例》第三十一条、第二十条第八款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市、区交通综合执法部门录入交通运输执法案件卷宗，对接至市级互联网租赁自行车监管与服务平台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拒不改正，被处以行政处罚的，扣30分/次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市、区交通综合执法部门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行政处罚决定书</w:t>
            </w: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市、区交通综合执法部门录入交通执法系统，对接至市级互联网租赁自行车监管与服务平台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未按照交通行政管理部门的要求投放车辆，未将相关信息实时、完整、准确接入本市互联网租赁自行车行业监管和服务平台，未协助公安机关交通管理部门核实确定违法行为人的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被约谈且责令限期改正的，扣10分/次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市、区行业管理部门、交通综合执法部门、重点站区管理部门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责令改正通知书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《北京市非机动车管理条例》第三十一条、第二十条第一款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市、区交通综合执法部门录入交通运输执法案件卷宗，对接至市级互联网租赁自行车监管与服务平台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相关信息即自行车动态总量、重点投放区域动态总量、承租人信用惩戒信息、自行车停放位置信息，以及其他涉及公共利益的信息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拒不改正，被处以行政处罚的，扣30分/次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市、区交通综合执法部门、重点站区管理部门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行政处罚决定书</w:t>
            </w: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市、区交通综合执法部门录入交通执法系统，对接至市级互联网租赁自行车监管与服务平台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未运用现代信息技术手段规范承租人依法停放车辆。客户端未显示承租人安全提示、自行车允许停放、禁止停放区域，以及有关惩戒措施的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被约谈且责令限期改正的，扣10分/次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市、区行业管理部门、交通综合执法部门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责令改正通知书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《北京市非机动车管理条例》第三十一条、第二十条第三款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市、区交通综合执法部门录入交通运输执法案件卷宗，对接至市级互联网租赁自行车监管与服务平台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拒不改正，被处以行政处罚的，扣30分/次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市、区交通综合执法部门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行政处罚决定书</w:t>
            </w: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市、区交通综合执法部门录入交通执法系统，对接至市级互联网租赁自行车监管与服务平台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未配置必要的管理维护人员，负责车辆调度、停放秩序管理和损坏、废弃车辆回收，未及时清理占用道路、绿地等公共场所的车辆的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被约谈且责令限期改正的，扣10分/次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市、区行业管理部门、交通综合执法部门、重点站区管理部门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责令改正通知书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《北京市非机动车管理条例》第三十一条、第二十条第六款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市、区交通综合执法部门录入交通运输执法案件卷宗，对接至市级互联网租赁自行车监管与服务平台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拒不改正，被处以行政处罚的，扣30分/次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市、区交通综合执法部门、重点站区管理部门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行政处罚决定书</w:t>
            </w: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市、区交通综合执法部门录入交通执法系统，对接至市级互联网租赁自行车监管与服务平台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未建立投诉处理机制，未及时受理、处理车辆性能、停放秩序等方面的社会投诉举报的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被约谈且责令限期改正的，扣10分/次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市、区行业管理部门、交通综合执法部门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责令改正通知书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《北京市非机动车管理条例》第三十一条、第二十条第四款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市、区交通综合执法部门录入交通运输执法案件卷宗，对接至市级互联网租赁自行车监管与服务平台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拒不改正，被处以行政处罚的，扣30分/次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市、区交通综合执法部门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行政处罚决定书</w:t>
            </w: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市、区交通综合执法部门录入交通执法系统，对接至市级互联网租赁自行车监管与服务平台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未及时采取措施规范车辆停放，影响到行人和其它车辆正常通行的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情节严重，且不及时采取措施，被处以行政处罚的，扣30分/次。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公安机关交通管理部门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行政处罚决定书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《北京市非机动车管理条例》第三十三条、第二十四条第二款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公安机关交通管理部门录入公安交通执法系统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54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行业自律，1项指标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未对用户实施信用管理的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未对用户实施信用管理的，扣350分;</w:t>
            </w:r>
          </w:p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已加入对用户信用实施联合管理机制但未实施的，扣100分/次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  <w:t>行业协会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企业报备信息（企业客户端用户协议）+行业协会证明文书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《北京市非机动车管理条例》第四条、第二十条第五款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行业协会录入</w:t>
            </w:r>
          </w:p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对接至市级互联网租赁自行车监管与服务平台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附表1：重点轨道</w:t>
      </w:r>
      <w:r>
        <w:rPr>
          <w:rFonts w:hint="eastAsia"/>
          <w:b/>
          <w:bCs/>
          <w:sz w:val="32"/>
          <w:szCs w:val="36"/>
          <w:lang w:eastAsia="zh-CN"/>
        </w:rPr>
        <w:t>车</w:t>
      </w:r>
      <w:r>
        <w:rPr>
          <w:rFonts w:hint="eastAsia"/>
          <w:b/>
          <w:bCs/>
          <w:sz w:val="32"/>
          <w:szCs w:val="36"/>
        </w:rPr>
        <w:t>站分级表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3669"/>
        <w:gridCol w:w="3670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830" w:type="dxa"/>
            <w:tcBorders>
              <w:tl2br w:val="single" w:color="auto" w:sz="4" w:space="0"/>
            </w:tcBorders>
            <w:vAlign w:val="bottom"/>
          </w:tcPr>
          <w:p>
            <w:pPr>
              <w:jc w:val="right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等级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行政区</w:t>
            </w:r>
          </w:p>
        </w:tc>
        <w:tc>
          <w:tcPr>
            <w:tcW w:w="36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A级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B级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30" w:type="dxa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东城区</w:t>
            </w:r>
          </w:p>
        </w:tc>
        <w:tc>
          <w:tcPr>
            <w:tcW w:w="3669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崇文门、东单、东四</w:t>
            </w:r>
          </w:p>
        </w:tc>
        <w:tc>
          <w:tcPr>
            <w:tcW w:w="367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磁器口</w:t>
            </w:r>
          </w:p>
        </w:tc>
        <w:tc>
          <w:tcPr>
            <w:tcW w:w="3169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北京站、东直门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西城区</w:t>
            </w:r>
          </w:p>
        </w:tc>
        <w:tc>
          <w:tcPr>
            <w:tcW w:w="3669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西四、达官营、南礼士路、西直门、陶然亭、阜成门、积水潭、宣武门</w:t>
            </w:r>
          </w:p>
        </w:tc>
        <w:tc>
          <w:tcPr>
            <w:tcW w:w="367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169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朝阳区</w:t>
            </w:r>
          </w:p>
        </w:tc>
        <w:tc>
          <w:tcPr>
            <w:tcW w:w="3669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将台、立水桥南、金台路</w:t>
            </w:r>
          </w:p>
        </w:tc>
        <w:tc>
          <w:tcPr>
            <w:tcW w:w="367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百子湾、东大桥、褡裢坡、北苑、团结湖、四惠东、平乐园</w:t>
            </w:r>
          </w:p>
        </w:tc>
        <w:tc>
          <w:tcPr>
            <w:tcW w:w="3169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南楼梓庄、朝阳门、九龙山、青年路、孙河、三元桥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海淀区</w:t>
            </w:r>
          </w:p>
        </w:tc>
        <w:tc>
          <w:tcPr>
            <w:tcW w:w="3669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苏州街、西二旗、五道口、六道口</w:t>
            </w:r>
          </w:p>
        </w:tc>
        <w:tc>
          <w:tcPr>
            <w:tcW w:w="367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海淀黄庄、魏公村、牡丹园、大钟寺</w:t>
            </w:r>
          </w:p>
        </w:tc>
        <w:tc>
          <w:tcPr>
            <w:tcW w:w="3169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五棵松、育新、长春桥、白石桥南、国家图书馆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丰台区</w:t>
            </w:r>
          </w:p>
        </w:tc>
        <w:tc>
          <w:tcPr>
            <w:tcW w:w="3669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方庄</w:t>
            </w:r>
          </w:p>
        </w:tc>
        <w:tc>
          <w:tcPr>
            <w:tcW w:w="367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刘家窑、宋家庄</w:t>
            </w:r>
          </w:p>
        </w:tc>
        <w:tc>
          <w:tcPr>
            <w:tcW w:w="3169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首经贸、和义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石景山区</w:t>
            </w:r>
          </w:p>
        </w:tc>
        <w:tc>
          <w:tcPr>
            <w:tcW w:w="3669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67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八角游乐园、八宝山</w:t>
            </w:r>
          </w:p>
        </w:tc>
        <w:tc>
          <w:tcPr>
            <w:tcW w:w="3169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苹果园、金安桥</w:t>
            </w:r>
          </w:p>
        </w:tc>
      </w:tr>
    </w:tbl>
    <w:p>
      <w:pPr>
        <w:ind w:firstLine="540" w:firstLineChars="3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ascii="仿宋_GB2312" w:eastAsia="仿宋_GB2312"/>
          <w:sz w:val="18"/>
          <w:szCs w:val="18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说明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lang w:eastAsia="zh-CN"/>
        </w:rPr>
        <w:t>重点</w:t>
      </w:r>
      <w:r>
        <w:rPr>
          <w:rFonts w:hint="eastAsia" w:ascii="仿宋_GB2312" w:eastAsia="仿宋_GB2312"/>
          <w:sz w:val="28"/>
          <w:szCs w:val="28"/>
        </w:rPr>
        <w:t>轨道</w:t>
      </w:r>
      <w:r>
        <w:rPr>
          <w:rFonts w:hint="eastAsia" w:ascii="仿宋_GB2312" w:eastAsia="仿宋_GB2312"/>
          <w:sz w:val="28"/>
          <w:szCs w:val="28"/>
          <w:lang w:eastAsia="zh-CN"/>
        </w:rPr>
        <w:t>车</w:t>
      </w:r>
      <w:r>
        <w:rPr>
          <w:rFonts w:hint="eastAsia" w:ascii="仿宋_GB2312" w:eastAsia="仿宋_GB2312"/>
          <w:sz w:val="28"/>
          <w:szCs w:val="28"/>
        </w:rPr>
        <w:t>站</w:t>
      </w:r>
      <w:r>
        <w:rPr>
          <w:rFonts w:hint="eastAsia" w:ascii="仿宋_GB2312" w:eastAsia="仿宋_GB2312"/>
          <w:sz w:val="28"/>
          <w:szCs w:val="28"/>
          <w:lang w:eastAsia="zh-CN"/>
        </w:rPr>
        <w:t>分级主要依据互联网租赁自行车监管与服务平台监测车辆停放总量，以及市民针对轨道车站车辆停放秩序投诉量等因素综合评定所得。第一批暂取车辆停放总量大且停放秩序较乱的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52个轨道车站进行分级评价，之后每年更新一次。</w:t>
      </w:r>
    </w:p>
    <w:p>
      <w:pPr>
        <w:rPr>
          <w:sz w:val="32"/>
          <w:szCs w:val="36"/>
        </w:rPr>
      </w:pPr>
    </w:p>
    <w:sectPr>
      <w:headerReference r:id="rId3" w:type="default"/>
      <w:footerReference r:id="rId4" w:type="default"/>
      <w:pgSz w:w="16838" w:h="11906" w:orient="landscape"/>
      <w:pgMar w:top="1474" w:right="1440" w:bottom="1418" w:left="1440" w:header="794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744940"/>
    </w:sdtPr>
    <w:sdtContent>
      <w:sdt>
        <w:sdtPr>
          <w:id w:val="171357283"/>
        </w:sdtPr>
        <w:sdtContent>
          <w:p>
            <w:pPr>
              <w:pStyle w:val="4"/>
              <w:jc w:val="right"/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fldChar w:fldCharType="begin"/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instrText xml:space="preserve">PAGE</w:instrTex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fldChar w:fldCharType="separate"/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fldChar w:fldCharType="end"/>
            </w:r>
            <w:r>
              <w:rPr>
                <w:rFonts w:asciiTheme="minorEastAsia" w:hAnsiTheme="minorEastAsia"/>
                <w:sz w:val="24"/>
                <w:szCs w:val="24"/>
                <w:lang w:val="zh-CN"/>
              </w:rPr>
              <w:t xml:space="preserve"> / 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fldChar w:fldCharType="begin"/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instrText xml:space="preserve">NUMPAGES</w:instrTex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fldChar w:fldCharType="separate"/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sz w:val="44"/>
        <w:szCs w:val="44"/>
      </w:rPr>
    </w:pPr>
    <w:r>
      <w:rPr>
        <w:rFonts w:hint="eastAsia" w:ascii="方正小标宋简体" w:hAnsi="宋体" w:eastAsia="方正小标宋简体" w:cs="宋体"/>
        <w:color w:val="000000"/>
        <w:kern w:val="0"/>
        <w:sz w:val="44"/>
        <w:szCs w:val="44"/>
      </w:rPr>
      <w:t>北京市交通运输（互联网租赁自行车部分）信用评价标准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2C"/>
    <w:rsid w:val="0000476B"/>
    <w:rsid w:val="00040644"/>
    <w:rsid w:val="000417C6"/>
    <w:rsid w:val="00042107"/>
    <w:rsid w:val="00043F57"/>
    <w:rsid w:val="00044E67"/>
    <w:rsid w:val="000504D4"/>
    <w:rsid w:val="00051187"/>
    <w:rsid w:val="00052135"/>
    <w:rsid w:val="00053023"/>
    <w:rsid w:val="000556FE"/>
    <w:rsid w:val="0005608F"/>
    <w:rsid w:val="000745CB"/>
    <w:rsid w:val="00080310"/>
    <w:rsid w:val="00084E0C"/>
    <w:rsid w:val="00090845"/>
    <w:rsid w:val="0009309A"/>
    <w:rsid w:val="000A72DC"/>
    <w:rsid w:val="000B4CEC"/>
    <w:rsid w:val="000B5F9F"/>
    <w:rsid w:val="000C0F22"/>
    <w:rsid w:val="000C2A5F"/>
    <w:rsid w:val="000F2C6D"/>
    <w:rsid w:val="000F38BA"/>
    <w:rsid w:val="000F636D"/>
    <w:rsid w:val="000F6843"/>
    <w:rsid w:val="001008DC"/>
    <w:rsid w:val="00106141"/>
    <w:rsid w:val="00123543"/>
    <w:rsid w:val="001352EB"/>
    <w:rsid w:val="001527ED"/>
    <w:rsid w:val="001617AD"/>
    <w:rsid w:val="00166C17"/>
    <w:rsid w:val="00184859"/>
    <w:rsid w:val="00187B58"/>
    <w:rsid w:val="001908F6"/>
    <w:rsid w:val="001A3A2C"/>
    <w:rsid w:val="001A7A80"/>
    <w:rsid w:val="001B50AA"/>
    <w:rsid w:val="001B7E60"/>
    <w:rsid w:val="001C0593"/>
    <w:rsid w:val="001C1E0E"/>
    <w:rsid w:val="001D0684"/>
    <w:rsid w:val="001D31AF"/>
    <w:rsid w:val="001D5863"/>
    <w:rsid w:val="001E082C"/>
    <w:rsid w:val="001F2BAC"/>
    <w:rsid w:val="001F6AD7"/>
    <w:rsid w:val="001F6CB6"/>
    <w:rsid w:val="001F7B9F"/>
    <w:rsid w:val="00226EFC"/>
    <w:rsid w:val="00231CE6"/>
    <w:rsid w:val="00237428"/>
    <w:rsid w:val="002443AD"/>
    <w:rsid w:val="002459D5"/>
    <w:rsid w:val="00253036"/>
    <w:rsid w:val="002541DF"/>
    <w:rsid w:val="002638E4"/>
    <w:rsid w:val="00284B06"/>
    <w:rsid w:val="002B37BC"/>
    <w:rsid w:val="002B3BC6"/>
    <w:rsid w:val="002C1A9F"/>
    <w:rsid w:val="00310252"/>
    <w:rsid w:val="003244DC"/>
    <w:rsid w:val="00332A45"/>
    <w:rsid w:val="0034596B"/>
    <w:rsid w:val="003524FC"/>
    <w:rsid w:val="00354496"/>
    <w:rsid w:val="00382F1B"/>
    <w:rsid w:val="00387806"/>
    <w:rsid w:val="003920DB"/>
    <w:rsid w:val="003A2CF6"/>
    <w:rsid w:val="003B4C1A"/>
    <w:rsid w:val="003C0DFE"/>
    <w:rsid w:val="003C12D2"/>
    <w:rsid w:val="003D27B7"/>
    <w:rsid w:val="003D3A58"/>
    <w:rsid w:val="003E79AA"/>
    <w:rsid w:val="00402F08"/>
    <w:rsid w:val="004446F6"/>
    <w:rsid w:val="004478E7"/>
    <w:rsid w:val="00456C39"/>
    <w:rsid w:val="00465819"/>
    <w:rsid w:val="004726C7"/>
    <w:rsid w:val="0048797B"/>
    <w:rsid w:val="00490DFE"/>
    <w:rsid w:val="00491613"/>
    <w:rsid w:val="004927F0"/>
    <w:rsid w:val="004960E2"/>
    <w:rsid w:val="0049679D"/>
    <w:rsid w:val="004B1CA8"/>
    <w:rsid w:val="004C10DB"/>
    <w:rsid w:val="004C74E3"/>
    <w:rsid w:val="004E1961"/>
    <w:rsid w:val="004E1A62"/>
    <w:rsid w:val="004E2EDA"/>
    <w:rsid w:val="004E75AB"/>
    <w:rsid w:val="004E7ECE"/>
    <w:rsid w:val="00503B40"/>
    <w:rsid w:val="0050420C"/>
    <w:rsid w:val="00510585"/>
    <w:rsid w:val="00512E94"/>
    <w:rsid w:val="00516BF1"/>
    <w:rsid w:val="00523DE7"/>
    <w:rsid w:val="0053740C"/>
    <w:rsid w:val="00540DDA"/>
    <w:rsid w:val="00542189"/>
    <w:rsid w:val="0055432C"/>
    <w:rsid w:val="00557305"/>
    <w:rsid w:val="00564E77"/>
    <w:rsid w:val="0057101F"/>
    <w:rsid w:val="005A1D22"/>
    <w:rsid w:val="005C192C"/>
    <w:rsid w:val="005D7B4A"/>
    <w:rsid w:val="005D7D38"/>
    <w:rsid w:val="005E610D"/>
    <w:rsid w:val="005F33D7"/>
    <w:rsid w:val="00600556"/>
    <w:rsid w:val="00600CD2"/>
    <w:rsid w:val="00606C16"/>
    <w:rsid w:val="006167DE"/>
    <w:rsid w:val="00617F94"/>
    <w:rsid w:val="00627957"/>
    <w:rsid w:val="006315C9"/>
    <w:rsid w:val="00635631"/>
    <w:rsid w:val="00643C9A"/>
    <w:rsid w:val="006565D0"/>
    <w:rsid w:val="006744FE"/>
    <w:rsid w:val="006822F6"/>
    <w:rsid w:val="00685798"/>
    <w:rsid w:val="0068621B"/>
    <w:rsid w:val="006906DD"/>
    <w:rsid w:val="00692BEF"/>
    <w:rsid w:val="00694958"/>
    <w:rsid w:val="006A360D"/>
    <w:rsid w:val="006B2D15"/>
    <w:rsid w:val="006B4638"/>
    <w:rsid w:val="006E3F32"/>
    <w:rsid w:val="006F32DC"/>
    <w:rsid w:val="006F331E"/>
    <w:rsid w:val="006F6C06"/>
    <w:rsid w:val="007110B8"/>
    <w:rsid w:val="00711BA6"/>
    <w:rsid w:val="00713191"/>
    <w:rsid w:val="00731B93"/>
    <w:rsid w:val="00735A55"/>
    <w:rsid w:val="00744961"/>
    <w:rsid w:val="0074729D"/>
    <w:rsid w:val="007543CF"/>
    <w:rsid w:val="007675AC"/>
    <w:rsid w:val="00774B3B"/>
    <w:rsid w:val="007950D0"/>
    <w:rsid w:val="0079787E"/>
    <w:rsid w:val="007A1117"/>
    <w:rsid w:val="007B4CE9"/>
    <w:rsid w:val="007B62F0"/>
    <w:rsid w:val="007C03E8"/>
    <w:rsid w:val="007C55D2"/>
    <w:rsid w:val="007E790B"/>
    <w:rsid w:val="007F2BE2"/>
    <w:rsid w:val="007F7913"/>
    <w:rsid w:val="00822C8D"/>
    <w:rsid w:val="00824807"/>
    <w:rsid w:val="008322F5"/>
    <w:rsid w:val="0083447A"/>
    <w:rsid w:val="00842BF9"/>
    <w:rsid w:val="00851CE3"/>
    <w:rsid w:val="00857BA6"/>
    <w:rsid w:val="00870267"/>
    <w:rsid w:val="008735D8"/>
    <w:rsid w:val="00873671"/>
    <w:rsid w:val="008754C0"/>
    <w:rsid w:val="00887D55"/>
    <w:rsid w:val="0089452F"/>
    <w:rsid w:val="008A2A7D"/>
    <w:rsid w:val="008B0450"/>
    <w:rsid w:val="008B66D8"/>
    <w:rsid w:val="008C2BBF"/>
    <w:rsid w:val="008C69BB"/>
    <w:rsid w:val="008D0F3C"/>
    <w:rsid w:val="008E0CC0"/>
    <w:rsid w:val="008E53FE"/>
    <w:rsid w:val="008E7D49"/>
    <w:rsid w:val="008F3239"/>
    <w:rsid w:val="00906B14"/>
    <w:rsid w:val="009170FF"/>
    <w:rsid w:val="00920637"/>
    <w:rsid w:val="009456A3"/>
    <w:rsid w:val="00953389"/>
    <w:rsid w:val="0095577D"/>
    <w:rsid w:val="009642C6"/>
    <w:rsid w:val="0096485C"/>
    <w:rsid w:val="0097207B"/>
    <w:rsid w:val="009823ED"/>
    <w:rsid w:val="00984140"/>
    <w:rsid w:val="00990E0C"/>
    <w:rsid w:val="00992D47"/>
    <w:rsid w:val="00993487"/>
    <w:rsid w:val="009C3D92"/>
    <w:rsid w:val="009D021D"/>
    <w:rsid w:val="009E19F6"/>
    <w:rsid w:val="009E4441"/>
    <w:rsid w:val="00A04896"/>
    <w:rsid w:val="00A11CFC"/>
    <w:rsid w:val="00A150B7"/>
    <w:rsid w:val="00A226DD"/>
    <w:rsid w:val="00A31618"/>
    <w:rsid w:val="00A46C11"/>
    <w:rsid w:val="00A53D0E"/>
    <w:rsid w:val="00A565D0"/>
    <w:rsid w:val="00A6166D"/>
    <w:rsid w:val="00A66981"/>
    <w:rsid w:val="00A66CFF"/>
    <w:rsid w:val="00A75AA1"/>
    <w:rsid w:val="00A97EBA"/>
    <w:rsid w:val="00AA4E8F"/>
    <w:rsid w:val="00AA5CC1"/>
    <w:rsid w:val="00AA5FCC"/>
    <w:rsid w:val="00AA76EB"/>
    <w:rsid w:val="00AB19AB"/>
    <w:rsid w:val="00AB36A4"/>
    <w:rsid w:val="00AC014C"/>
    <w:rsid w:val="00AD1AA0"/>
    <w:rsid w:val="00AE061E"/>
    <w:rsid w:val="00AE1C31"/>
    <w:rsid w:val="00AF2FBD"/>
    <w:rsid w:val="00AF3660"/>
    <w:rsid w:val="00AF36D0"/>
    <w:rsid w:val="00AF64C1"/>
    <w:rsid w:val="00B00331"/>
    <w:rsid w:val="00B01672"/>
    <w:rsid w:val="00B03F89"/>
    <w:rsid w:val="00B05D9E"/>
    <w:rsid w:val="00B100E5"/>
    <w:rsid w:val="00B12669"/>
    <w:rsid w:val="00B14A82"/>
    <w:rsid w:val="00B20951"/>
    <w:rsid w:val="00B35BA2"/>
    <w:rsid w:val="00B36E57"/>
    <w:rsid w:val="00B37BAA"/>
    <w:rsid w:val="00B479B2"/>
    <w:rsid w:val="00B50245"/>
    <w:rsid w:val="00B545C7"/>
    <w:rsid w:val="00B5662C"/>
    <w:rsid w:val="00B66A4F"/>
    <w:rsid w:val="00B7271B"/>
    <w:rsid w:val="00B762A8"/>
    <w:rsid w:val="00B8054A"/>
    <w:rsid w:val="00B97583"/>
    <w:rsid w:val="00BA23E1"/>
    <w:rsid w:val="00BB24FA"/>
    <w:rsid w:val="00BB4ED0"/>
    <w:rsid w:val="00BC69EC"/>
    <w:rsid w:val="00BC742E"/>
    <w:rsid w:val="00C036AE"/>
    <w:rsid w:val="00C11034"/>
    <w:rsid w:val="00C23C2E"/>
    <w:rsid w:val="00C510A8"/>
    <w:rsid w:val="00C646AA"/>
    <w:rsid w:val="00C66094"/>
    <w:rsid w:val="00C85896"/>
    <w:rsid w:val="00C8786A"/>
    <w:rsid w:val="00C9402A"/>
    <w:rsid w:val="00C976DF"/>
    <w:rsid w:val="00CA1143"/>
    <w:rsid w:val="00CB2987"/>
    <w:rsid w:val="00CC25A8"/>
    <w:rsid w:val="00CC41CA"/>
    <w:rsid w:val="00CC5B07"/>
    <w:rsid w:val="00CD36F0"/>
    <w:rsid w:val="00CD3C4F"/>
    <w:rsid w:val="00CE4B9E"/>
    <w:rsid w:val="00CE7FB8"/>
    <w:rsid w:val="00CF269E"/>
    <w:rsid w:val="00CF277A"/>
    <w:rsid w:val="00D0264F"/>
    <w:rsid w:val="00D0498A"/>
    <w:rsid w:val="00D12FFB"/>
    <w:rsid w:val="00D306A8"/>
    <w:rsid w:val="00D4248D"/>
    <w:rsid w:val="00D5254B"/>
    <w:rsid w:val="00D6070E"/>
    <w:rsid w:val="00D678B4"/>
    <w:rsid w:val="00D703BD"/>
    <w:rsid w:val="00D82F56"/>
    <w:rsid w:val="00D8323F"/>
    <w:rsid w:val="00D933D5"/>
    <w:rsid w:val="00DA0354"/>
    <w:rsid w:val="00DB143E"/>
    <w:rsid w:val="00DD2BAE"/>
    <w:rsid w:val="00DD4F05"/>
    <w:rsid w:val="00DE3537"/>
    <w:rsid w:val="00DE3607"/>
    <w:rsid w:val="00DE39AF"/>
    <w:rsid w:val="00DE5B8C"/>
    <w:rsid w:val="00DF5D6F"/>
    <w:rsid w:val="00DF770B"/>
    <w:rsid w:val="00E1130E"/>
    <w:rsid w:val="00E14965"/>
    <w:rsid w:val="00E14F96"/>
    <w:rsid w:val="00E161FB"/>
    <w:rsid w:val="00E225A8"/>
    <w:rsid w:val="00E24111"/>
    <w:rsid w:val="00E26F0C"/>
    <w:rsid w:val="00E31C50"/>
    <w:rsid w:val="00E444F3"/>
    <w:rsid w:val="00E461AB"/>
    <w:rsid w:val="00E51B82"/>
    <w:rsid w:val="00E5595C"/>
    <w:rsid w:val="00E62F2E"/>
    <w:rsid w:val="00E6304E"/>
    <w:rsid w:val="00E637F9"/>
    <w:rsid w:val="00E957C1"/>
    <w:rsid w:val="00E97206"/>
    <w:rsid w:val="00EA71A8"/>
    <w:rsid w:val="00EB6260"/>
    <w:rsid w:val="00EC4F11"/>
    <w:rsid w:val="00ED71BD"/>
    <w:rsid w:val="00EE1420"/>
    <w:rsid w:val="00F11CE3"/>
    <w:rsid w:val="00F13F99"/>
    <w:rsid w:val="00F14EE2"/>
    <w:rsid w:val="00F15403"/>
    <w:rsid w:val="00F3458A"/>
    <w:rsid w:val="00F400A7"/>
    <w:rsid w:val="00F61A0A"/>
    <w:rsid w:val="00F6227B"/>
    <w:rsid w:val="00F66614"/>
    <w:rsid w:val="00F66D87"/>
    <w:rsid w:val="00F704E1"/>
    <w:rsid w:val="00F936E1"/>
    <w:rsid w:val="00FA5E9F"/>
    <w:rsid w:val="00FC1015"/>
    <w:rsid w:val="00FC5253"/>
    <w:rsid w:val="00FD0888"/>
    <w:rsid w:val="00FD6F4B"/>
    <w:rsid w:val="00FE66F1"/>
    <w:rsid w:val="1AC65D6F"/>
    <w:rsid w:val="1B503106"/>
    <w:rsid w:val="253978B1"/>
    <w:rsid w:val="25A37850"/>
    <w:rsid w:val="3DE784A8"/>
    <w:rsid w:val="3F7F0B59"/>
    <w:rsid w:val="488D40F3"/>
    <w:rsid w:val="4AD6139D"/>
    <w:rsid w:val="4F67124C"/>
    <w:rsid w:val="5A9409E7"/>
    <w:rsid w:val="5B2BCDFF"/>
    <w:rsid w:val="5DFD244D"/>
    <w:rsid w:val="65992506"/>
    <w:rsid w:val="6F7EA313"/>
    <w:rsid w:val="6F97A446"/>
    <w:rsid w:val="6FE9C437"/>
    <w:rsid w:val="783E36CB"/>
    <w:rsid w:val="793EC3AB"/>
    <w:rsid w:val="7DAFF8FE"/>
    <w:rsid w:val="7DDE5FF7"/>
    <w:rsid w:val="7EB796AD"/>
    <w:rsid w:val="7EDB433D"/>
    <w:rsid w:val="7FB742C8"/>
    <w:rsid w:val="7FEF068A"/>
    <w:rsid w:val="7FFEE8FE"/>
    <w:rsid w:val="A7DF447A"/>
    <w:rsid w:val="CEFF9558"/>
    <w:rsid w:val="CFBF2BE1"/>
    <w:rsid w:val="CFEA7B7B"/>
    <w:rsid w:val="DFFFE52B"/>
    <w:rsid w:val="E6D8E27E"/>
    <w:rsid w:val="F350FC33"/>
    <w:rsid w:val="FBA66453"/>
    <w:rsid w:val="FFDE7D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9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CCFCC1-1827-4DEF-AA14-9550210F71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756</Words>
  <Characters>4311</Characters>
  <Lines>35</Lines>
  <Paragraphs>10</Paragraphs>
  <TotalTime>32</TotalTime>
  <ScaleCrop>false</ScaleCrop>
  <LinksUpToDate>false</LinksUpToDate>
  <CharactersWithSpaces>5057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2021-12-15T01:50:00Z</dcterms:created>
  <dc:creator>USER</dc:creator>
  <cp:lastModifiedBy>日月星海</cp:lastModifiedBy>
  <cp:lastPrinted>2021-12-16T01:01:00Z</cp:lastPrinted>
  <dcterms:modified xsi:type="dcterms:W3CDTF">2021-12-16T02:59:19Z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E0345D157F7C47E1BA302ACCD6C72B42</vt:lpwstr>
  </property>
</Properties>
</file>