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《互联网租赁自行车系统技术与服务规范》</w:t>
      </w: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北京市地方标准编制说明</w:t>
      </w: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北京市交通综合治理事务中心编制组</w:t>
      </w:r>
    </w:p>
    <w:p>
      <w:pPr>
        <w:spacing w:line="360" w:lineRule="auto"/>
        <w:jc w:val="center"/>
        <w:rPr>
          <w:color w:val="auto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851" w:gutter="0"/>
          <w:pgNumType w:start="0"/>
          <w:cols w:space="720" w:num="1"/>
          <w:docGrid w:linePitch="326" w:charSpace="0"/>
        </w:sectPr>
      </w:pPr>
      <w:r>
        <w:rPr>
          <w:color w:val="auto"/>
          <w:sz w:val="30"/>
          <w:szCs w:val="30"/>
        </w:rPr>
        <w:t>20</w:t>
      </w:r>
      <w:r>
        <w:rPr>
          <w:rFonts w:hint="eastAsia"/>
          <w:color w:val="auto"/>
          <w:sz w:val="30"/>
          <w:szCs w:val="30"/>
        </w:rPr>
        <w:t>21年11月</w:t>
      </w:r>
    </w:p>
    <w:p>
      <w:pPr>
        <w:pStyle w:val="16"/>
        <w:spacing w:before="0" w:after="240" w:line="720" w:lineRule="auto"/>
        <w:jc w:val="center"/>
        <w:rPr>
          <w:rFonts w:ascii="宋体" w:hAnsi="宋体"/>
          <w:color w:val="auto"/>
          <w:sz w:val="32"/>
        </w:rPr>
      </w:pPr>
      <w:r>
        <w:rPr>
          <w:rFonts w:ascii="宋体" w:hAnsi="宋体"/>
          <w:color w:val="auto"/>
          <w:sz w:val="32"/>
          <w:lang w:val="zh-CN"/>
        </w:rPr>
        <w:t>目</w:t>
      </w:r>
      <w:r>
        <w:rPr>
          <w:rFonts w:hint="eastAsia" w:ascii="宋体" w:hAnsi="宋体"/>
          <w:color w:val="auto"/>
          <w:sz w:val="32"/>
          <w:lang w:val="zh-CN"/>
        </w:rPr>
        <w:t xml:space="preserve">  </w:t>
      </w:r>
      <w:r>
        <w:rPr>
          <w:rFonts w:ascii="宋体" w:hAnsi="宋体"/>
          <w:color w:val="auto"/>
          <w:sz w:val="32"/>
          <w:lang w:val="zh-CN"/>
        </w:rPr>
        <w:t>录</w:t>
      </w:r>
    </w:p>
    <w:p>
      <w:pPr>
        <w:pStyle w:val="7"/>
        <w:tabs>
          <w:tab w:val="right" w:leader="dot" w:pos="8306"/>
        </w:tabs>
        <w:spacing w:line="360" w:lineRule="auto"/>
        <w:rPr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color w:val="auto"/>
          <w:sz w:val="24"/>
          <w:szCs w:val="24"/>
        </w:rPr>
        <w:instrText xml:space="preserve"> TOC \o "1-3" \h \z \u </w:instrText>
      </w:r>
      <w:r>
        <w:rPr>
          <w:rFonts w:asciiTheme="minorEastAsia" w:hAnsiTheme="minorEastAsia" w:eastAsiaTheme="minorEastAsia"/>
          <w:color w:val="auto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  <w:lang w:val="zh-CN"/>
        </w:rPr>
        <w:instrText xml:space="preserve"> HYPERLINK \l _Toc26813 </w:instrText>
      </w:r>
      <w:r>
        <w:rPr>
          <w:rFonts w:asciiTheme="minorEastAsia" w:hAnsiTheme="minorEastAsia" w:eastAsiaTheme="minorEastAsia"/>
          <w:sz w:val="24"/>
          <w:szCs w:val="24"/>
          <w:lang w:val="zh-CN"/>
        </w:rPr>
        <w:fldChar w:fldCharType="separate"/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、制定</w:t>
      </w:r>
      <w:r>
        <w:rPr>
          <w:rFonts w:hint="eastAsia" w:ascii="宋体" w:hAnsi="宋体"/>
          <w:sz w:val="24"/>
          <w:szCs w:val="24"/>
          <w:lang w:val="en-US" w:eastAsia="zh-CN"/>
        </w:rPr>
        <w:t>标准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val="en-US" w:eastAsia="zh-CN"/>
        </w:rPr>
        <w:t>背景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_Toc26813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end"/>
      </w:r>
    </w:p>
    <w:p>
      <w:pPr>
        <w:pStyle w:val="7"/>
        <w:tabs>
          <w:tab w:val="right" w:leader="dot" w:pos="8306"/>
        </w:tabs>
        <w:spacing w:line="360" w:lineRule="auto"/>
        <w:rPr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  <w:lang w:val="zh-CN"/>
        </w:rPr>
        <w:instrText xml:space="preserve"> HYPERLINK \l _Toc4340 </w:instrText>
      </w:r>
      <w:r>
        <w:rPr>
          <w:rFonts w:asciiTheme="minorEastAsia" w:hAnsiTheme="minorEastAsia" w:eastAsiaTheme="minorEastAsia"/>
          <w:sz w:val="24"/>
          <w:szCs w:val="24"/>
          <w:lang w:val="zh-CN"/>
        </w:rPr>
        <w:fldChar w:fldCharType="separate"/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、主要条款的说明，主要技术指标、参数、实验验证的论述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_Toc4340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spacing w:line="360" w:lineRule="auto"/>
        <w:rPr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  <w:lang w:val="zh-CN"/>
        </w:rPr>
        <w:instrText xml:space="preserve"> HYPERLINK \l _Toc25609 </w:instrText>
      </w:r>
      <w:r>
        <w:rPr>
          <w:rFonts w:asciiTheme="minorEastAsia" w:hAnsiTheme="minorEastAsia" w:eastAsiaTheme="minorEastAsia"/>
          <w:sz w:val="24"/>
          <w:szCs w:val="24"/>
          <w:lang w:val="zh-CN"/>
        </w:rPr>
        <w:fldChar w:fldCharType="separate"/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明确互联网租赁自行车数据</w:t>
      </w:r>
      <w:r>
        <w:rPr>
          <w:rFonts w:hint="eastAsia" w:ascii="宋体" w:hAnsi="宋体"/>
          <w:sz w:val="24"/>
          <w:szCs w:val="24"/>
          <w:lang w:val="en-US" w:eastAsia="zh-CN"/>
        </w:rPr>
        <w:t>报送</w:t>
      </w:r>
      <w:r>
        <w:rPr>
          <w:rFonts w:hint="eastAsia" w:ascii="宋体" w:hAnsi="宋体"/>
          <w:sz w:val="24"/>
          <w:szCs w:val="24"/>
        </w:rPr>
        <w:t>和共享交换要求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_Toc25609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spacing w:line="360" w:lineRule="auto"/>
        <w:rPr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  <w:lang w:val="zh-CN"/>
        </w:rPr>
        <w:instrText xml:space="preserve"> HYPERLINK \l _Toc3150 </w:instrText>
      </w:r>
      <w:r>
        <w:rPr>
          <w:rFonts w:asciiTheme="minorEastAsia" w:hAnsiTheme="minorEastAsia" w:eastAsiaTheme="minorEastAsia"/>
          <w:sz w:val="24"/>
          <w:szCs w:val="24"/>
          <w:lang w:val="zh-CN"/>
        </w:rPr>
        <w:fldChar w:fldCharType="separate"/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引导行业监管和服务的精细化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_Toc3150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end"/>
      </w:r>
    </w:p>
    <w:p>
      <w:pPr>
        <w:pStyle w:val="8"/>
        <w:tabs>
          <w:tab w:val="right" w:leader="dot" w:pos="8306"/>
        </w:tabs>
        <w:spacing w:line="360" w:lineRule="auto"/>
        <w:rPr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  <w:lang w:val="zh-CN"/>
        </w:rPr>
        <w:instrText xml:space="preserve"> HYPERLINK \l _Toc24802 </w:instrText>
      </w:r>
      <w:r>
        <w:rPr>
          <w:rFonts w:asciiTheme="minorEastAsia" w:hAnsiTheme="minorEastAsia" w:eastAsiaTheme="minorEastAsia"/>
          <w:sz w:val="24"/>
          <w:szCs w:val="24"/>
          <w:lang w:val="zh-CN"/>
        </w:rPr>
        <w:fldChar w:fldCharType="separate"/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规范车辆运维调度和应急管理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PAGEREF _Toc24802 \h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end"/>
      </w:r>
    </w:p>
    <w:p>
      <w:pPr>
        <w:spacing w:line="360" w:lineRule="auto"/>
        <w:rPr>
          <w:rFonts w:ascii="华文中宋" w:hAnsi="华文中宋" w:eastAsia="华文中宋"/>
          <w:color w:val="auto"/>
          <w:sz w:val="44"/>
          <w:szCs w:val="4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  <w:r>
        <w:rPr>
          <w:rFonts w:asciiTheme="minorEastAsia" w:hAnsiTheme="minorEastAsia" w:eastAsiaTheme="minorEastAsia"/>
          <w:color w:val="auto"/>
          <w:sz w:val="24"/>
          <w:szCs w:val="24"/>
          <w:lang w:val="zh-CN"/>
        </w:rPr>
        <w:fldChar w:fldCharType="end"/>
      </w:r>
    </w:p>
    <w:p>
      <w:pPr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《互联网租赁自行车系统技术与服务规范》</w:t>
      </w:r>
    </w:p>
    <w:p>
      <w:pPr>
        <w:jc w:val="center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北京市地方标准编制说明</w:t>
      </w:r>
    </w:p>
    <w:p>
      <w:pPr>
        <w:spacing w:before="240" w:after="240" w:line="240" w:lineRule="auto"/>
        <w:outlineLvl w:val="0"/>
        <w:rPr>
          <w:rFonts w:ascii="宋体" w:hAnsi="宋体"/>
          <w:b/>
          <w:color w:val="auto"/>
          <w:sz w:val="24"/>
          <w:szCs w:val="24"/>
        </w:rPr>
      </w:pPr>
      <w:bookmarkStart w:id="0" w:name="_Toc287365702"/>
      <w:bookmarkStart w:id="1" w:name="_Toc273611420"/>
      <w:bookmarkStart w:id="2" w:name="_Toc267645450"/>
      <w:bookmarkStart w:id="3" w:name="_Toc17803"/>
      <w:bookmarkStart w:id="4" w:name="_Toc267904042"/>
      <w:bookmarkStart w:id="5" w:name="_Toc60133677"/>
      <w:bookmarkStart w:id="6" w:name="_Toc28497"/>
      <w:bookmarkStart w:id="7" w:name="_Toc246884249"/>
      <w:bookmarkStart w:id="8" w:name="_Toc512584231"/>
      <w:bookmarkStart w:id="9" w:name="_Toc276747164"/>
      <w:bookmarkStart w:id="10" w:name="_Toc26813"/>
      <w:bookmarkStart w:id="11" w:name="_Toc19743"/>
      <w:r>
        <w:rPr>
          <w:rFonts w:hint="eastAsia" w:ascii="宋体" w:hAnsi="宋体"/>
          <w:b/>
          <w:color w:val="auto"/>
          <w:sz w:val="32"/>
          <w:lang w:val="en-US" w:eastAsia="zh-CN"/>
        </w:rPr>
        <w:t>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Start w:id="12" w:name="_Toc60133679"/>
      <w:bookmarkStart w:id="13" w:name="_Toc23549"/>
      <w:r>
        <w:rPr>
          <w:rFonts w:hint="eastAsia" w:ascii="宋体" w:hAnsi="宋体"/>
          <w:b/>
          <w:color w:val="auto"/>
          <w:sz w:val="32"/>
        </w:rPr>
        <w:t>、制定</w:t>
      </w:r>
      <w:r>
        <w:rPr>
          <w:rFonts w:hint="eastAsia" w:ascii="宋体" w:hAnsi="宋体"/>
          <w:b/>
          <w:color w:val="auto"/>
          <w:sz w:val="32"/>
          <w:lang w:val="en-US" w:eastAsia="zh-CN"/>
        </w:rPr>
        <w:t>标准</w:t>
      </w:r>
      <w:r>
        <w:rPr>
          <w:rFonts w:hint="eastAsia" w:ascii="宋体" w:hAnsi="宋体"/>
          <w:b/>
          <w:color w:val="auto"/>
          <w:sz w:val="32"/>
        </w:rPr>
        <w:t>的</w:t>
      </w:r>
      <w:bookmarkEnd w:id="12"/>
      <w:bookmarkEnd w:id="13"/>
      <w:r>
        <w:rPr>
          <w:rFonts w:hint="eastAsia" w:ascii="宋体" w:hAnsi="宋体"/>
          <w:b/>
          <w:color w:val="auto"/>
          <w:sz w:val="32"/>
          <w:lang w:val="en-US" w:eastAsia="zh-CN"/>
        </w:rPr>
        <w:t>背景</w:t>
      </w:r>
      <w:bookmarkEnd w:id="10"/>
      <w:bookmarkEnd w:id="11"/>
    </w:p>
    <w:p>
      <w:pPr>
        <w:spacing w:before="156" w:beforeLines="50"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随着社会经济的发展和城市规模的不断扩张，居民交通出行需求量日益增大。自行车作为零排放的绿色出行工具，逐渐回归城市。近年来，</w:t>
      </w:r>
      <w:r>
        <w:rPr>
          <w:rFonts w:ascii="宋体" w:hAnsi="宋体"/>
          <w:color w:val="auto"/>
          <w:sz w:val="24"/>
          <w:szCs w:val="24"/>
        </w:rPr>
        <w:t>北京市提出大力发展公共交通、步行与自行车交通，</w:t>
      </w:r>
      <w:r>
        <w:rPr>
          <w:rFonts w:hint="eastAsia" w:ascii="宋体" w:hAnsi="宋体"/>
          <w:color w:val="auto"/>
          <w:sz w:val="24"/>
          <w:szCs w:val="24"/>
        </w:rPr>
        <w:t>鼓励引导发挥自行车交通在短途出行，与轨道、公交等交通方式接驳换乘方面的优势和作用，</w:t>
      </w:r>
      <w:r>
        <w:rPr>
          <w:rFonts w:ascii="宋体" w:hAnsi="宋体"/>
          <w:color w:val="auto"/>
          <w:sz w:val="24"/>
          <w:szCs w:val="24"/>
        </w:rPr>
        <w:t>以期达到缓解交通拥堵、改善环境质量的目的。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互联网租赁自行车（又称“共享自行车”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，“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共享单车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/>
          <w:color w:val="auto"/>
          <w:sz w:val="24"/>
          <w:szCs w:val="24"/>
        </w:rPr>
        <w:t>）是以互联网技术为依托，由企业投放并运营，通过分时租赁方式向用户提供出行服务的自行车，是城市慢行交通系统的组成部分。互联网租赁自行车的出现顺应了当今低碳城市建设的需要，是未来交通发展的一个重要方面。2016年以OFO、摩拜为代表的互联网租赁自行车随着共享经济的热潮应运而生。互联网租赁自行车是共享经济和互联网+催生的新兴行业，发展初期，各企业为占领市场，快速的在各大城市投放车辆，一时间大街小巷堆积了大量的车辆，2017年北京车辆投放规模一度达到2</w:t>
      </w:r>
      <w:r>
        <w:rPr>
          <w:rFonts w:ascii="宋体" w:hAnsi="宋体"/>
          <w:color w:val="auto"/>
          <w:sz w:val="24"/>
          <w:szCs w:val="24"/>
        </w:rPr>
        <w:t>35</w:t>
      </w:r>
      <w:r>
        <w:rPr>
          <w:rFonts w:hint="eastAsia" w:ascii="宋体" w:hAnsi="宋体"/>
          <w:color w:val="auto"/>
          <w:sz w:val="24"/>
          <w:szCs w:val="24"/>
        </w:rPr>
        <w:t>万辆，运营企业16家，给城市管理带来了影响。随后国家至市级层面出台相关政策文件，叫停车辆投放。2</w:t>
      </w:r>
      <w:r>
        <w:rPr>
          <w:rFonts w:ascii="宋体" w:hAnsi="宋体"/>
          <w:color w:val="auto"/>
          <w:sz w:val="24"/>
          <w:szCs w:val="24"/>
        </w:rPr>
        <w:t>017</w:t>
      </w:r>
      <w:r>
        <w:rPr>
          <w:rFonts w:hint="eastAsia" w:ascii="宋体" w:hAnsi="宋体"/>
          <w:color w:val="auto"/>
          <w:sz w:val="24"/>
          <w:szCs w:val="24"/>
        </w:rPr>
        <w:t>年交通部发布《关于鼓励和规范互联网租赁自行车发展的指导意见》，北京市交通委员会联合11个委办局联合出台《北京市鼓励规范发展共享自行车的指导意见（试行）》。2018年北京市出台《北京市非机动管理条例》，明确互联网租赁自行车经营者义务，并提出交通行政主管部门制定行业发展政策、规范和标准，建立行业监管和服务平台，推行电子标签管理制度，对企业经营活动实行动态管理。在政策的管控和各部门通力合作下，2</w:t>
      </w:r>
      <w:r>
        <w:rPr>
          <w:rFonts w:ascii="宋体" w:hAnsi="宋体"/>
          <w:color w:val="auto"/>
          <w:sz w:val="24"/>
          <w:szCs w:val="24"/>
        </w:rPr>
        <w:t>0</w:t>
      </w:r>
      <w:r>
        <w:rPr>
          <w:rFonts w:hint="eastAsia" w:ascii="宋体" w:hAnsi="宋体"/>
          <w:color w:val="auto"/>
          <w:sz w:val="24"/>
          <w:szCs w:val="24"/>
        </w:rPr>
        <w:t>19年以来，互联网租赁自行车市场进入基本稳定发展时期，主要运营企业有美团、青桔、哈啰3家。截至2</w:t>
      </w:r>
      <w:r>
        <w:rPr>
          <w:rFonts w:ascii="宋体" w:hAnsi="宋体"/>
          <w:color w:val="auto"/>
          <w:sz w:val="24"/>
          <w:szCs w:val="24"/>
        </w:rPr>
        <w:t>02</w:t>
      </w:r>
      <w:r>
        <w:rPr>
          <w:rFonts w:hint="eastAsia" w:ascii="宋体" w:hAnsi="宋体"/>
          <w:color w:val="auto"/>
          <w:sz w:val="24"/>
          <w:szCs w:val="24"/>
        </w:rPr>
        <w:t>1年10月底，北京市投入运营车辆规模维持在93.8万辆左右</w:t>
      </w:r>
      <w:r>
        <w:rPr>
          <w:rFonts w:ascii="宋体" w:hAnsi="宋体"/>
          <w:color w:val="auto"/>
          <w:sz w:val="24"/>
          <w:szCs w:val="24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日均骑行量超过300万人次，绿色出行效果显著。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互联网租赁自行车为广大用户提供便利的同时也带来一系列问题。一是车辆过度投放，车辆停放秩序乱，问题长期存在，部分轨道站点和商业区车辆淤积严重，影响正常交通秩序。二是企业运营责任缺失，运维和调度人员力量不足，调度频次低，调度不科学。企业未利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大数据分析</w:t>
      </w:r>
      <w:r>
        <w:rPr>
          <w:rFonts w:hint="eastAsia" w:ascii="宋体" w:hAnsi="宋体"/>
          <w:color w:val="auto"/>
          <w:sz w:val="24"/>
          <w:szCs w:val="24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编制有针对性的调度和清运计划</w:t>
      </w:r>
      <w:r>
        <w:rPr>
          <w:rFonts w:hint="eastAsia" w:ascii="宋体" w:hAnsi="宋体"/>
          <w:color w:val="auto"/>
          <w:sz w:val="24"/>
          <w:szCs w:val="24"/>
        </w:rPr>
        <w:t>。三是利用信息技术手段规范停放不够，电子围栏应用不广。企业未按要求开展企业大数据分析，提出需求热点点位，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对</w:t>
      </w:r>
      <w:r>
        <w:rPr>
          <w:rFonts w:hint="eastAsia" w:ascii="宋体" w:hAnsi="宋体"/>
          <w:color w:val="auto"/>
          <w:sz w:val="24"/>
          <w:szCs w:val="24"/>
        </w:rPr>
        <w:t>未停车入栏的停车人没有采取实质性的措施。四是企业与管理部门的数据共享质量不稳定，虚假数据时有发生，企业存在数据造假、上传订单重复等问题。五是车辆运行监测和数据挖潜分析不够，无法满足慢行系统研究等业务需求。</w:t>
      </w:r>
      <w:r>
        <w:rPr>
          <w:rFonts w:ascii="宋体" w:hAnsi="宋体"/>
          <w:color w:val="auto"/>
          <w:sz w:val="24"/>
          <w:szCs w:val="24"/>
        </w:rPr>
        <w:t xml:space="preserve"> 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市委市政府高度重视互联网租赁自行车治理工作，多次指示要制定标准规范，督促企业规范经营，维护车辆停放秩序。2017年3月29日，市政府首次互联网租赁自行车治理专题会上，市政府主要领导明确指示：“由交通委负责，制定技术和服务标准，建设统一的监管平台”。2018年6月13日，市委主要领导在信息专报183期上批示：“共享单车本是好事，但这种乱象何时了。过去都有规定，各区执行的如何，看来还是有空档和不到位之处，需要研究加强规范管理。”2018年市政府主要领导在《舆情专报》第274期上批示：“我市要尽快实现共享单车接入监管平台。”11月20日，《信息专报》第342期批示：“上海共享单车数字化管理的报道，我市进展如何？”2020年5月2日蔡奇同志批示“后疫时期要多鼓励短距离自行车通勤”。8月3日陈吉宁同志在《信息专报》（第611期）批示“要规范设置共享单车停车空间。”2020年第九次交通综合治理领导小组会，市政府主要领导专题研究互联网租赁自行车治理工作，提出要“加强共享单车秩序整治，由交通委负责，做好以下工作：一是运用市场手段，逐步压减本市共享单车总量，二是建立共享单车信用管理系统。”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根据市委市政府的批示要求，市交通委于2017年9月会同各委办局、各区管理部门、行业协会和互联网租赁自行车经营企业，制定了《共享自行车系统技术与服务规范》（BJJT/J 117--2017）行业技术文件，对互联网租赁自行车车辆标准、企业运营和政府监管平台、信息系统安全等提出了要求。根据三年来实施情况，依据《北京市非机动车管理条例》，在原交通行业技术文件的基础上，编制了《互联网租赁自行车系统技术与服务规范》，申请上升为地方标准。</w:t>
      </w:r>
    </w:p>
    <w:p>
      <w:pPr>
        <w:spacing w:before="240" w:after="240"/>
        <w:outlineLvl w:val="0"/>
        <w:rPr>
          <w:rFonts w:ascii="宋体" w:hAnsi="宋体"/>
          <w:b/>
          <w:color w:val="auto"/>
          <w:sz w:val="32"/>
        </w:rPr>
      </w:pPr>
      <w:bookmarkStart w:id="14" w:name="_Toc60133683"/>
      <w:bookmarkStart w:id="15" w:name="_Toc7756"/>
      <w:bookmarkStart w:id="16" w:name="_Toc4340"/>
      <w:bookmarkStart w:id="17" w:name="_Toc16283"/>
      <w:r>
        <w:rPr>
          <w:rFonts w:hint="eastAsia" w:ascii="宋体" w:hAnsi="宋体"/>
          <w:b/>
          <w:color w:val="auto"/>
          <w:sz w:val="32"/>
          <w:lang w:val="en-US" w:eastAsia="zh-CN"/>
        </w:rPr>
        <w:t>二</w:t>
      </w:r>
      <w:bookmarkEnd w:id="14"/>
      <w:bookmarkEnd w:id="15"/>
      <w:bookmarkStart w:id="18" w:name="_Toc60133689"/>
      <w:bookmarkStart w:id="19" w:name="_Toc20543"/>
      <w:r>
        <w:rPr>
          <w:rFonts w:hint="eastAsia" w:ascii="宋体" w:hAnsi="宋体"/>
          <w:b/>
          <w:color w:val="auto"/>
          <w:sz w:val="32"/>
        </w:rPr>
        <w:t>、主要条款的说明，主要技术指标、参数、实验验证的论述</w:t>
      </w:r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本文件规定了互联网租赁自行车系统的系统架构、自行车及车载智能终端、承租人客户端、企业运营平台、行业监管与服务平台、信息系统安全、经营服务要求及数据报送和共享要求。</w:t>
      </w:r>
    </w:p>
    <w:p>
      <w:pPr>
        <w:spacing w:before="240" w:after="240" w:line="360" w:lineRule="auto"/>
        <w:ind w:firstLine="420" w:firstLineChars="0"/>
        <w:outlineLvl w:val="1"/>
        <w:rPr>
          <w:rFonts w:ascii="宋体" w:hAnsi="宋体"/>
          <w:b/>
          <w:color w:val="auto"/>
          <w:sz w:val="24"/>
          <w:szCs w:val="24"/>
        </w:rPr>
      </w:pPr>
      <w:bookmarkStart w:id="20" w:name="_Toc12813"/>
      <w:bookmarkStart w:id="21" w:name="_Toc21169"/>
      <w:bookmarkStart w:id="22" w:name="_Toc25609"/>
      <w:bookmarkStart w:id="31" w:name="_GoBack"/>
      <w:bookmarkEnd w:id="31"/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szCs w:val="24"/>
        </w:rPr>
        <w:t>.</w:t>
      </w:r>
      <w:r>
        <w:rPr>
          <w:rFonts w:ascii="宋体" w:hAnsi="宋体"/>
          <w:b/>
          <w:color w:val="auto"/>
          <w:sz w:val="24"/>
          <w:szCs w:val="24"/>
        </w:rPr>
        <w:t>1.</w:t>
      </w:r>
      <w:r>
        <w:rPr>
          <w:rFonts w:hint="eastAsia" w:ascii="宋体" w:hAnsi="宋体"/>
          <w:b/>
          <w:color w:val="auto"/>
          <w:sz w:val="24"/>
          <w:szCs w:val="24"/>
        </w:rPr>
        <w:t>明确互联网租赁自行车数据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报送</w:t>
      </w:r>
      <w:r>
        <w:rPr>
          <w:rFonts w:hint="eastAsia" w:ascii="宋体" w:hAnsi="宋体"/>
          <w:b/>
          <w:color w:val="auto"/>
          <w:sz w:val="24"/>
          <w:szCs w:val="24"/>
        </w:rPr>
        <w:t>和共享交换要求</w:t>
      </w:r>
      <w:bookmarkEnd w:id="20"/>
      <w:bookmarkEnd w:id="21"/>
      <w:bookmarkEnd w:id="22"/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本文件</w:t>
      </w:r>
      <w:r>
        <w:rPr>
          <w:rFonts w:hint="eastAsia" w:ascii="宋体" w:hAnsi="宋体"/>
          <w:color w:val="auto"/>
          <w:sz w:val="24"/>
          <w:szCs w:val="24"/>
        </w:rPr>
        <w:t>统一了互联网租赁自行车动静态数据标准和接入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内容</w:t>
      </w:r>
      <w:r>
        <w:rPr>
          <w:rFonts w:hint="eastAsia" w:ascii="宋体" w:hAnsi="宋体"/>
          <w:color w:val="auto"/>
          <w:sz w:val="24"/>
          <w:szCs w:val="24"/>
        </w:rPr>
        <w:t>，落实了条例提出的“互联网租赁自行车经营企业应当将自行车动态总量、重点投放区域动态总量、承租人信用惩戒信息、自行车停放位置信息，以及其他涉及公共利益的信息实时、完整、准确接入本市互联网租赁自行车行业监管和服务平台”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一是根据三年来企业数据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报送和共享交换</w:t>
      </w:r>
      <w:r>
        <w:rPr>
          <w:rFonts w:hint="eastAsia" w:ascii="宋体" w:hAnsi="宋体"/>
          <w:color w:val="auto"/>
          <w:sz w:val="24"/>
          <w:szCs w:val="24"/>
        </w:rPr>
        <w:t>实践总结梳理数据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对接</w:t>
      </w:r>
      <w:r>
        <w:rPr>
          <w:rFonts w:hint="eastAsia" w:ascii="宋体" w:hAnsi="宋体"/>
          <w:color w:val="auto"/>
          <w:sz w:val="24"/>
          <w:szCs w:val="24"/>
        </w:rPr>
        <w:t>内容。2018年至20</w:t>
      </w:r>
      <w:r>
        <w:rPr>
          <w:rFonts w:ascii="宋体" w:hAnsi="宋体"/>
          <w:color w:val="auto"/>
          <w:sz w:val="24"/>
          <w:szCs w:val="24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1年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在企业</w:t>
      </w:r>
      <w:r>
        <w:rPr>
          <w:rFonts w:hint="eastAsia" w:ascii="宋体" w:hAnsi="宋体"/>
          <w:color w:val="auto"/>
          <w:sz w:val="24"/>
          <w:szCs w:val="24"/>
        </w:rPr>
        <w:t>与监管平台数据对接实施过程中，进一步明确数据接入要求，逐步实现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行业数据共享交换</w:t>
      </w:r>
      <w:r>
        <w:rPr>
          <w:rFonts w:hint="eastAsia" w:ascii="宋体" w:hAnsi="宋体"/>
          <w:color w:val="auto"/>
          <w:sz w:val="24"/>
          <w:szCs w:val="24"/>
        </w:rPr>
        <w:t>的标准化，目前已经初见成效。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本文件</w:t>
      </w:r>
      <w:r>
        <w:rPr>
          <w:rFonts w:hint="eastAsia" w:ascii="宋体" w:hAnsi="宋体"/>
          <w:color w:val="auto"/>
          <w:sz w:val="24"/>
          <w:szCs w:val="24"/>
        </w:rPr>
        <w:t>实施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后</w:t>
      </w:r>
      <w:r>
        <w:rPr>
          <w:rFonts w:hint="eastAsia" w:ascii="宋体" w:hAnsi="宋体"/>
          <w:color w:val="auto"/>
          <w:sz w:val="24"/>
          <w:szCs w:val="24"/>
        </w:rPr>
        <w:t>，将持续开展数据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质量监测</w:t>
      </w:r>
      <w:r>
        <w:rPr>
          <w:rFonts w:hint="eastAsia" w:ascii="宋体" w:hAnsi="宋体"/>
          <w:color w:val="auto"/>
          <w:sz w:val="24"/>
          <w:szCs w:val="24"/>
        </w:rPr>
        <w:t>，督促企业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不断提升</w:t>
      </w:r>
      <w:r>
        <w:rPr>
          <w:rFonts w:hint="eastAsia" w:ascii="宋体" w:hAnsi="宋体"/>
          <w:color w:val="auto"/>
          <w:sz w:val="24"/>
          <w:szCs w:val="24"/>
        </w:rPr>
        <w:t>数据质量，支撑行业主管部门决策，和其他相关业务处室开展行业运行分析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以及</w:t>
      </w:r>
      <w:r>
        <w:rPr>
          <w:rFonts w:hint="eastAsia" w:ascii="宋体" w:hAnsi="宋体"/>
          <w:color w:val="auto"/>
          <w:sz w:val="24"/>
          <w:szCs w:val="24"/>
        </w:rPr>
        <w:t>慢行系统评价分析等工作。数据共享交换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内容包括</w:t>
      </w:r>
      <w:r>
        <w:rPr>
          <w:rFonts w:hint="eastAsia" w:ascii="宋体" w:hAnsi="宋体"/>
          <w:color w:val="auto"/>
          <w:sz w:val="24"/>
          <w:szCs w:val="24"/>
        </w:rPr>
        <w:t>企业基本信息、运营动态信息、停放管理信息3类14项数据，静态数据有变动则更新，动态数据按照要求时间实时更新。例如，车辆位置信息根据车辆状态报送数据，车辆位置信息在关锁状态下最大时间间隔为4小时，车辆运行轨迹位置信息采集最大时间间隔为4分钟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二是提出数据挖掘分析方面的要求。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提出</w:t>
      </w:r>
      <w:r>
        <w:rPr>
          <w:rFonts w:hint="eastAsia" w:ascii="宋体" w:hAnsi="宋体"/>
          <w:color w:val="auto"/>
          <w:sz w:val="24"/>
          <w:szCs w:val="24"/>
        </w:rPr>
        <w:t>互联网租赁自行车运营企业和行业管理部门都应开展大数据分析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。行业监管与服务平台</w:t>
      </w:r>
      <w:r>
        <w:rPr>
          <w:rFonts w:hint="eastAsia" w:ascii="宋体" w:hAnsi="宋体"/>
          <w:color w:val="auto"/>
          <w:sz w:val="24"/>
          <w:szCs w:val="24"/>
        </w:rPr>
        <w:t>要求具有统计分析、数据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校验</w:t>
      </w:r>
      <w:r>
        <w:rPr>
          <w:rFonts w:hint="eastAsia" w:ascii="宋体" w:hAnsi="宋体"/>
          <w:color w:val="auto"/>
          <w:sz w:val="24"/>
          <w:szCs w:val="24"/>
        </w:rPr>
        <w:t>、指标测算功能。统计分析应支持按照行政区划、时间段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等维度</w:t>
      </w:r>
      <w:r>
        <w:rPr>
          <w:rFonts w:hint="eastAsia" w:ascii="宋体" w:hAnsi="宋体"/>
          <w:color w:val="auto"/>
          <w:sz w:val="24"/>
          <w:szCs w:val="24"/>
        </w:rPr>
        <w:t>对车辆停放分布、订单数据统计分析；支持月报、季报、年报等报告分析；支持租还车热点、轨道站点潮汐特征、轨迹等大数据分析。数据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校验</w:t>
      </w:r>
      <w:r>
        <w:rPr>
          <w:rFonts w:hint="eastAsia" w:ascii="宋体" w:hAnsi="宋体"/>
          <w:color w:val="auto"/>
          <w:sz w:val="24"/>
          <w:szCs w:val="24"/>
        </w:rPr>
        <w:t>，应支持对企业运营平台发送的异常数据筛除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清洗</w:t>
      </w:r>
      <w:r>
        <w:rPr>
          <w:rFonts w:hint="eastAsia" w:ascii="宋体" w:hAnsi="宋体"/>
          <w:color w:val="auto"/>
          <w:sz w:val="24"/>
          <w:szCs w:val="24"/>
        </w:rPr>
        <w:t>功能，支持对数据质量进行检查、分析工作。指标测算，应具备根据服务质量考核指标体系对数据接入情况、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电子围栏</w:t>
      </w:r>
      <w:r>
        <w:rPr>
          <w:rFonts w:hint="eastAsia" w:ascii="宋体" w:hAnsi="宋体"/>
          <w:color w:val="auto"/>
          <w:sz w:val="24"/>
          <w:szCs w:val="24"/>
        </w:rPr>
        <w:t>入栏率等指标进行测算的功能。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运营</w:t>
      </w:r>
      <w:r>
        <w:rPr>
          <w:rFonts w:hint="eastAsia" w:ascii="宋体" w:hAnsi="宋体"/>
          <w:color w:val="auto"/>
          <w:sz w:val="24"/>
          <w:szCs w:val="24"/>
        </w:rPr>
        <w:t>企业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应具备停放热点分析功能，根据骑行规律，提出</w:t>
      </w:r>
      <w:r>
        <w:rPr>
          <w:rFonts w:hint="eastAsia" w:ascii="宋体" w:hAnsi="宋体"/>
          <w:color w:val="auto"/>
          <w:sz w:val="24"/>
          <w:szCs w:val="24"/>
        </w:rPr>
        <w:t>停放区设置需求和停放区车辆规模预测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三是明确数据安全要求。企业采集承租人信息，不应向任何未授权第三方提供承租人个人信息等敏感信息，并应采取技术措施和其他必要措施，确保业务数据的安全，防止数据泄露、丢失。所采集的个人信息和生成的业务数据，应当在中国大陆境内存储和使用，保存期限不少于二年。要求相关系统、APP符合GB/T 22239中有关的信息系统网络安全等级保护的规定。</w:t>
      </w:r>
    </w:p>
    <w:p>
      <w:pPr>
        <w:spacing w:before="240" w:after="240" w:line="360" w:lineRule="auto"/>
        <w:ind w:firstLine="482" w:firstLineChars="0"/>
        <w:outlineLvl w:val="1"/>
        <w:rPr>
          <w:rFonts w:ascii="宋体" w:hAnsi="宋体"/>
          <w:b/>
          <w:color w:val="auto"/>
          <w:sz w:val="24"/>
          <w:szCs w:val="24"/>
        </w:rPr>
      </w:pPr>
      <w:bookmarkStart w:id="23" w:name="_Toc9853"/>
      <w:bookmarkStart w:id="24" w:name="_Toc15137"/>
      <w:bookmarkStart w:id="25" w:name="_Toc3150"/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szCs w:val="24"/>
        </w:rPr>
        <w:t>.</w:t>
      </w:r>
      <w:r>
        <w:rPr>
          <w:rFonts w:ascii="宋体" w:hAnsi="宋体"/>
          <w:b/>
          <w:color w:val="auto"/>
          <w:sz w:val="24"/>
          <w:szCs w:val="24"/>
        </w:rPr>
        <w:t>2</w:t>
      </w:r>
      <w:r>
        <w:rPr>
          <w:rFonts w:hint="eastAsia" w:ascii="宋体" w:hAnsi="宋体"/>
          <w:b/>
          <w:color w:val="auto"/>
          <w:sz w:val="24"/>
          <w:szCs w:val="24"/>
        </w:rPr>
        <w:t>引导行业监管和服务的精细化</w:t>
      </w:r>
      <w:bookmarkEnd w:id="23"/>
      <w:bookmarkEnd w:id="24"/>
      <w:bookmarkEnd w:id="25"/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在条例明确的互联网租赁自行车总量调控、秩序管理、服务监管方面，规范中明确提出了响应要求：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一是要求企业北京市运营辆车都要进行报备，并实时更新车辆基本信息表，同时，针对目前车辆违投较多的情况，细化条例提出的报备编码相关要求，由行业管理部门统一分配给企业运营车辆，每辆车具有唯一报备编码，并要求用户可在APP中查询历史订单车辆报备编码，通过报备编码监控企业违投车辆，实现总量调控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二是制定了入栏管理区监测功能的相关指标。要求互联网租赁自行车具备卫星定位功能，宜使用安全可控定位设备，定位精度误差应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优于</w:t>
      </w:r>
      <w:r>
        <w:rPr>
          <w:rFonts w:hint="eastAsia" w:ascii="宋体" w:hAnsi="宋体"/>
          <w:color w:val="auto"/>
          <w:sz w:val="24"/>
          <w:szCs w:val="24"/>
        </w:rPr>
        <w:t>15m，车锁需内置蓝牙4.0及以上规范的蓝牙模块，实现对停放车辆实时监测。承租人客户端要开展停放引导的功能，应具备在承租人客户端电子地图中标注停放区位置，展示入栏管理区、禁止停放区、运营范围边界功能；引导承租人还车至停放区的功能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具备提示承租人不规范停放行为违约责任的功能。企业运营平台，应设置电子地图，管理和展示停放区、禁止停放区、入栏管理区，具备对停放在禁止停放区的车辆预警、报警、控制的功能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并建立</w:t>
      </w:r>
      <w:r>
        <w:rPr>
          <w:rFonts w:hint="eastAsia" w:ascii="宋体" w:hAnsi="宋体"/>
          <w:color w:val="auto"/>
          <w:sz w:val="24"/>
          <w:szCs w:val="24"/>
        </w:rPr>
        <w:t>承租人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信用管理制度，将</w:t>
      </w:r>
      <w:r>
        <w:rPr>
          <w:rFonts w:hint="eastAsia" w:ascii="宋体" w:hAnsi="宋体"/>
          <w:color w:val="auto"/>
          <w:sz w:val="24"/>
          <w:szCs w:val="24"/>
        </w:rPr>
        <w:t>停车不规范行为，纳入承租人信用管理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。互联网租赁自行车入栏率应高于90%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spacing w:before="0" w:after="0" w:line="360" w:lineRule="auto"/>
        <w:ind w:firstLine="480" w:firstLineChars="200"/>
        <w:outlineLvl w:val="9"/>
        <w:rPr>
          <w:rFonts w:hint="default" w:ascii="宋体" w:hAnsi="宋体"/>
          <w:color w:val="auto"/>
          <w:sz w:val="24"/>
          <w:szCs w:val="24"/>
        </w:rPr>
      </w:pPr>
      <w:bookmarkStart w:id="26" w:name="_Toc5151"/>
      <w:bookmarkStart w:id="27" w:name="_Toc24033"/>
      <w:r>
        <w:rPr>
          <w:rFonts w:hint="default" w:ascii="宋体" w:hAnsi="宋体"/>
          <w:color w:val="auto"/>
          <w:sz w:val="24"/>
          <w:szCs w:val="24"/>
        </w:rPr>
        <w:t>三是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服务监管方面，</w:t>
      </w:r>
      <w:r>
        <w:rPr>
          <w:rFonts w:hint="default" w:ascii="宋体" w:hAnsi="宋体"/>
          <w:color w:val="auto"/>
          <w:sz w:val="24"/>
          <w:szCs w:val="24"/>
        </w:rPr>
        <w:t>加大对车辆、运维、调度信息管理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并建立</w:t>
      </w:r>
      <w:r>
        <w:rPr>
          <w:rFonts w:hint="default" w:ascii="宋体" w:hAnsi="宋体"/>
          <w:color w:val="auto"/>
          <w:sz w:val="24"/>
          <w:szCs w:val="24"/>
        </w:rPr>
        <w:t>企业信用考核制度。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企业</w:t>
      </w:r>
      <w:r>
        <w:rPr>
          <w:rFonts w:hint="default" w:ascii="宋体" w:hAnsi="宋体"/>
          <w:color w:val="auto"/>
          <w:sz w:val="24"/>
          <w:szCs w:val="24"/>
        </w:rPr>
        <w:t>车辆调度、车辆维护后要更新车辆位置信息。行业监管与服务平台运行监测功能，包括监测车辆的时空分布及变化情况；监测禁止停放区车辆停放情况、入栏管理区域入栏状态；监测企业运维人员、运维车辆的信息；监测重大活动期间重点区域的车辆停放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投放</w:t>
      </w:r>
      <w:r>
        <w:rPr>
          <w:rFonts w:hint="default" w:ascii="宋体" w:hAnsi="宋体"/>
          <w:color w:val="auto"/>
          <w:sz w:val="24"/>
          <w:szCs w:val="24"/>
        </w:rPr>
        <w:t>情况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同时结合行业监管与服务平台监测情况，开展企业信用考核，并定期向社会公布。</w:t>
      </w:r>
      <w:bookmarkEnd w:id="26"/>
      <w:bookmarkEnd w:id="27"/>
    </w:p>
    <w:p>
      <w:pPr>
        <w:spacing w:before="240" w:after="240" w:line="360" w:lineRule="auto"/>
        <w:ind w:firstLine="482" w:firstLineChars="0"/>
        <w:outlineLvl w:val="1"/>
        <w:rPr>
          <w:rFonts w:ascii="宋体" w:hAnsi="宋体"/>
          <w:color w:val="auto"/>
          <w:sz w:val="24"/>
          <w:szCs w:val="24"/>
        </w:rPr>
      </w:pPr>
      <w:bookmarkStart w:id="28" w:name="_Toc20880"/>
      <w:bookmarkStart w:id="29" w:name="_Toc24802"/>
      <w:bookmarkStart w:id="30" w:name="_Toc28003"/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szCs w:val="24"/>
        </w:rPr>
        <w:t>.3</w:t>
      </w:r>
      <w:r>
        <w:rPr>
          <w:rFonts w:ascii="宋体" w:hAnsi="宋体"/>
          <w:b/>
          <w:color w:val="auto"/>
          <w:sz w:val="24"/>
          <w:szCs w:val="24"/>
        </w:rPr>
        <w:t>.</w:t>
      </w:r>
      <w:r>
        <w:rPr>
          <w:rFonts w:hint="eastAsia" w:ascii="宋体" w:hAnsi="宋体"/>
          <w:b/>
          <w:color w:val="auto"/>
          <w:sz w:val="24"/>
          <w:szCs w:val="24"/>
        </w:rPr>
        <w:t>规范车辆运维调度和应急管理</w:t>
      </w:r>
      <w:bookmarkEnd w:id="28"/>
      <w:bookmarkEnd w:id="29"/>
      <w:bookmarkEnd w:id="30"/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一是对运维调度人员、设备的配置和调度组织提出要求。企业应配备满足停放秩序管理和车辆运营调度要求的人员、专用调运车型以及相关调运设施设备，人员包括车辆维护人员、维修人员和调度人员。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企业要根据车辆租还流动规律和停放数量，编制早晚高峰期间和周期性车辆调度清运计划，并组织实施。重点区域应采用电子围栏与人工管理结合方式，并早晚高峰设置专职管理员，</w:t>
      </w:r>
      <w:r>
        <w:rPr>
          <w:rFonts w:hint="eastAsia" w:ascii="宋体" w:hAnsi="宋体"/>
          <w:color w:val="auto"/>
          <w:sz w:val="24"/>
          <w:szCs w:val="24"/>
        </w:rPr>
        <w:t>负责疏导和调度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4"/>
        </w:rPr>
        <w:t>故障车辆应在48h内拖离故障现场。企业投入运营的互联网租赁自行车完好率应不低于95%。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二是应急管理方面，要求企业制定对极端天气、重大社会活动、重大突发公共卫生事件以及其他可能危及安全情况下的应急预案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，并做好资源、技术和组织准备，发生紧急情况应主动处置</w:t>
      </w:r>
      <w:r>
        <w:rPr>
          <w:rFonts w:hint="eastAsia" w:ascii="宋体" w:hAnsi="宋体"/>
          <w:color w:val="auto"/>
          <w:sz w:val="24"/>
          <w:szCs w:val="24"/>
        </w:rPr>
        <w:t>；企业应及时响应属地管理部门清理淤积车辆、规范停放秩序等调度要求；应急响应并到达现场的时间一般不超过30</w:t>
      </w:r>
      <w:r>
        <w:rPr>
          <w:rFonts w:ascii="宋体" w:hAnsi="宋体"/>
          <w:color w:val="auto"/>
          <w:sz w:val="24"/>
          <w:szCs w:val="24"/>
        </w:rPr>
        <w:t>min</w:t>
      </w:r>
      <w:r>
        <w:rPr>
          <w:rFonts w:hint="eastAsia" w:ascii="宋体" w:hAnsi="宋体"/>
          <w:color w:val="auto"/>
          <w:sz w:val="24"/>
          <w:szCs w:val="24"/>
        </w:rPr>
        <w:t>，处置完成时间一般不超过6</w:t>
      </w:r>
      <w:r>
        <w:rPr>
          <w:rFonts w:ascii="宋体" w:hAnsi="宋体"/>
          <w:color w:val="auto"/>
          <w:sz w:val="24"/>
          <w:szCs w:val="24"/>
        </w:rPr>
        <w:t>0min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>
      <w:pPr>
        <w:widowControl/>
        <w:jc w:val="left"/>
        <w:rPr>
          <w:color w:val="auto"/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firstLine="360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  <w:ind w:firstLine="360"/>
      <w:jc w:val="center"/>
    </w:pPr>
  </w:p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  <w:p>
    <w:pPr>
      <w:pStyle w:val="5"/>
      <w:ind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7F2920"/>
    <w:rsid w:val="00004361"/>
    <w:rsid w:val="000067E8"/>
    <w:rsid w:val="00043C12"/>
    <w:rsid w:val="0004498A"/>
    <w:rsid w:val="000538F8"/>
    <w:rsid w:val="00056ED3"/>
    <w:rsid w:val="00066471"/>
    <w:rsid w:val="000741AB"/>
    <w:rsid w:val="00076DF0"/>
    <w:rsid w:val="000860C0"/>
    <w:rsid w:val="000A0B6C"/>
    <w:rsid w:val="000A69A6"/>
    <w:rsid w:val="000B6EA3"/>
    <w:rsid w:val="000C0D4E"/>
    <w:rsid w:val="000C614D"/>
    <w:rsid w:val="000D44A7"/>
    <w:rsid w:val="000E159E"/>
    <w:rsid w:val="000E4033"/>
    <w:rsid w:val="001160AB"/>
    <w:rsid w:val="00123393"/>
    <w:rsid w:val="00127A15"/>
    <w:rsid w:val="001320BD"/>
    <w:rsid w:val="00137DF6"/>
    <w:rsid w:val="00140575"/>
    <w:rsid w:val="00140B1E"/>
    <w:rsid w:val="00150F2D"/>
    <w:rsid w:val="00157199"/>
    <w:rsid w:val="001618D7"/>
    <w:rsid w:val="0018514C"/>
    <w:rsid w:val="001B5374"/>
    <w:rsid w:val="001C2CEE"/>
    <w:rsid w:val="001D1626"/>
    <w:rsid w:val="001D68BB"/>
    <w:rsid w:val="001D7482"/>
    <w:rsid w:val="001E6CDB"/>
    <w:rsid w:val="00202A60"/>
    <w:rsid w:val="0020773D"/>
    <w:rsid w:val="002118B8"/>
    <w:rsid w:val="0021504B"/>
    <w:rsid w:val="00222C59"/>
    <w:rsid w:val="00227637"/>
    <w:rsid w:val="00236428"/>
    <w:rsid w:val="00270F7C"/>
    <w:rsid w:val="00271B47"/>
    <w:rsid w:val="002816FD"/>
    <w:rsid w:val="00281ED6"/>
    <w:rsid w:val="002930D4"/>
    <w:rsid w:val="002A2B82"/>
    <w:rsid w:val="002B05E4"/>
    <w:rsid w:val="002B7EDB"/>
    <w:rsid w:val="002C1280"/>
    <w:rsid w:val="002C43C9"/>
    <w:rsid w:val="002D0929"/>
    <w:rsid w:val="002D1B2A"/>
    <w:rsid w:val="003111B9"/>
    <w:rsid w:val="00333B3E"/>
    <w:rsid w:val="003446B1"/>
    <w:rsid w:val="003756E8"/>
    <w:rsid w:val="0038058C"/>
    <w:rsid w:val="00386354"/>
    <w:rsid w:val="0039186A"/>
    <w:rsid w:val="003933EB"/>
    <w:rsid w:val="003A4872"/>
    <w:rsid w:val="003C2B49"/>
    <w:rsid w:val="003C31FB"/>
    <w:rsid w:val="003C43EA"/>
    <w:rsid w:val="003E3911"/>
    <w:rsid w:val="004002C8"/>
    <w:rsid w:val="00416652"/>
    <w:rsid w:val="00435E77"/>
    <w:rsid w:val="00461F76"/>
    <w:rsid w:val="00471634"/>
    <w:rsid w:val="0049071D"/>
    <w:rsid w:val="004B12B4"/>
    <w:rsid w:val="004B5F86"/>
    <w:rsid w:val="004C5F24"/>
    <w:rsid w:val="004D366B"/>
    <w:rsid w:val="004E18B2"/>
    <w:rsid w:val="004E2F4F"/>
    <w:rsid w:val="00514001"/>
    <w:rsid w:val="00514D52"/>
    <w:rsid w:val="00515F65"/>
    <w:rsid w:val="005251DB"/>
    <w:rsid w:val="005306A2"/>
    <w:rsid w:val="00531C1C"/>
    <w:rsid w:val="00540524"/>
    <w:rsid w:val="00552886"/>
    <w:rsid w:val="0055664A"/>
    <w:rsid w:val="005633EE"/>
    <w:rsid w:val="00565E73"/>
    <w:rsid w:val="005902B0"/>
    <w:rsid w:val="00591594"/>
    <w:rsid w:val="005B51EC"/>
    <w:rsid w:val="005C5951"/>
    <w:rsid w:val="005E05D5"/>
    <w:rsid w:val="005E71C3"/>
    <w:rsid w:val="005F135E"/>
    <w:rsid w:val="005F5E89"/>
    <w:rsid w:val="00604DB8"/>
    <w:rsid w:val="006200C1"/>
    <w:rsid w:val="0062020D"/>
    <w:rsid w:val="00634D2A"/>
    <w:rsid w:val="0065295B"/>
    <w:rsid w:val="0065790D"/>
    <w:rsid w:val="00660481"/>
    <w:rsid w:val="00665387"/>
    <w:rsid w:val="00671AD8"/>
    <w:rsid w:val="00680AD1"/>
    <w:rsid w:val="00694766"/>
    <w:rsid w:val="00696562"/>
    <w:rsid w:val="006A1213"/>
    <w:rsid w:val="006B0590"/>
    <w:rsid w:val="006F3F17"/>
    <w:rsid w:val="0070681F"/>
    <w:rsid w:val="0071375C"/>
    <w:rsid w:val="0072081C"/>
    <w:rsid w:val="00762EA7"/>
    <w:rsid w:val="007645D6"/>
    <w:rsid w:val="007711F4"/>
    <w:rsid w:val="00777DAE"/>
    <w:rsid w:val="007A57F0"/>
    <w:rsid w:val="007C33C8"/>
    <w:rsid w:val="007F085E"/>
    <w:rsid w:val="007F7F37"/>
    <w:rsid w:val="00806D8B"/>
    <w:rsid w:val="0081517D"/>
    <w:rsid w:val="00816570"/>
    <w:rsid w:val="0084087F"/>
    <w:rsid w:val="008641FD"/>
    <w:rsid w:val="00870B9B"/>
    <w:rsid w:val="00882A8C"/>
    <w:rsid w:val="00893612"/>
    <w:rsid w:val="008D0F5E"/>
    <w:rsid w:val="008E0B12"/>
    <w:rsid w:val="008E47C4"/>
    <w:rsid w:val="008E4F5E"/>
    <w:rsid w:val="008E710F"/>
    <w:rsid w:val="008F13DC"/>
    <w:rsid w:val="008F6AA8"/>
    <w:rsid w:val="00917331"/>
    <w:rsid w:val="0092660D"/>
    <w:rsid w:val="0094211A"/>
    <w:rsid w:val="00942289"/>
    <w:rsid w:val="00944071"/>
    <w:rsid w:val="00946361"/>
    <w:rsid w:val="0097596C"/>
    <w:rsid w:val="0099453C"/>
    <w:rsid w:val="00996D5C"/>
    <w:rsid w:val="009A1197"/>
    <w:rsid w:val="009A294B"/>
    <w:rsid w:val="009A326D"/>
    <w:rsid w:val="009B04D7"/>
    <w:rsid w:val="009B72BB"/>
    <w:rsid w:val="009C7EF5"/>
    <w:rsid w:val="009E7C80"/>
    <w:rsid w:val="009F5E41"/>
    <w:rsid w:val="009F6D8B"/>
    <w:rsid w:val="00A05E08"/>
    <w:rsid w:val="00A13BD1"/>
    <w:rsid w:val="00A21EB3"/>
    <w:rsid w:val="00A434C7"/>
    <w:rsid w:val="00A467F9"/>
    <w:rsid w:val="00A508D3"/>
    <w:rsid w:val="00A534F8"/>
    <w:rsid w:val="00A544B8"/>
    <w:rsid w:val="00A5606E"/>
    <w:rsid w:val="00A61DF0"/>
    <w:rsid w:val="00A73371"/>
    <w:rsid w:val="00A813C0"/>
    <w:rsid w:val="00A86B48"/>
    <w:rsid w:val="00A96A24"/>
    <w:rsid w:val="00AA6099"/>
    <w:rsid w:val="00AA74B8"/>
    <w:rsid w:val="00AB2437"/>
    <w:rsid w:val="00AB45CD"/>
    <w:rsid w:val="00AB5C64"/>
    <w:rsid w:val="00AC3B72"/>
    <w:rsid w:val="00AD058E"/>
    <w:rsid w:val="00AD06C8"/>
    <w:rsid w:val="00AE0F28"/>
    <w:rsid w:val="00AE3D36"/>
    <w:rsid w:val="00AF123A"/>
    <w:rsid w:val="00B05571"/>
    <w:rsid w:val="00B11D09"/>
    <w:rsid w:val="00B11E7E"/>
    <w:rsid w:val="00B140AE"/>
    <w:rsid w:val="00B2590E"/>
    <w:rsid w:val="00B25DBA"/>
    <w:rsid w:val="00B33C09"/>
    <w:rsid w:val="00B454B8"/>
    <w:rsid w:val="00B8122F"/>
    <w:rsid w:val="00B83674"/>
    <w:rsid w:val="00B917B2"/>
    <w:rsid w:val="00B94AE0"/>
    <w:rsid w:val="00BA3148"/>
    <w:rsid w:val="00BB7532"/>
    <w:rsid w:val="00BC158B"/>
    <w:rsid w:val="00BD5795"/>
    <w:rsid w:val="00BD7177"/>
    <w:rsid w:val="00BE0B6A"/>
    <w:rsid w:val="00BE25A5"/>
    <w:rsid w:val="00BE34B1"/>
    <w:rsid w:val="00C0335E"/>
    <w:rsid w:val="00C23554"/>
    <w:rsid w:val="00C236BC"/>
    <w:rsid w:val="00C26D24"/>
    <w:rsid w:val="00C308ED"/>
    <w:rsid w:val="00C47992"/>
    <w:rsid w:val="00C51E5A"/>
    <w:rsid w:val="00C54587"/>
    <w:rsid w:val="00C629ED"/>
    <w:rsid w:val="00C67E65"/>
    <w:rsid w:val="00C76B42"/>
    <w:rsid w:val="00C92973"/>
    <w:rsid w:val="00C9745A"/>
    <w:rsid w:val="00CA7A86"/>
    <w:rsid w:val="00CB3247"/>
    <w:rsid w:val="00CC1B4E"/>
    <w:rsid w:val="00CC497A"/>
    <w:rsid w:val="00CD4CF3"/>
    <w:rsid w:val="00CD5A9B"/>
    <w:rsid w:val="00CE282E"/>
    <w:rsid w:val="00D12E8A"/>
    <w:rsid w:val="00D168AE"/>
    <w:rsid w:val="00D31EAC"/>
    <w:rsid w:val="00D35EE3"/>
    <w:rsid w:val="00D71CE4"/>
    <w:rsid w:val="00D92948"/>
    <w:rsid w:val="00DB655D"/>
    <w:rsid w:val="00DD70C2"/>
    <w:rsid w:val="00DF677B"/>
    <w:rsid w:val="00E00250"/>
    <w:rsid w:val="00E00E44"/>
    <w:rsid w:val="00E01B05"/>
    <w:rsid w:val="00E05A2B"/>
    <w:rsid w:val="00E0635A"/>
    <w:rsid w:val="00E10298"/>
    <w:rsid w:val="00E82450"/>
    <w:rsid w:val="00E90640"/>
    <w:rsid w:val="00EA57E6"/>
    <w:rsid w:val="00EB010C"/>
    <w:rsid w:val="00EB45CC"/>
    <w:rsid w:val="00EC479F"/>
    <w:rsid w:val="00ED002E"/>
    <w:rsid w:val="00ED172D"/>
    <w:rsid w:val="00EE22C4"/>
    <w:rsid w:val="00EF3428"/>
    <w:rsid w:val="00EF4484"/>
    <w:rsid w:val="00EF6134"/>
    <w:rsid w:val="00F068EA"/>
    <w:rsid w:val="00F137E9"/>
    <w:rsid w:val="00F3778A"/>
    <w:rsid w:val="00F37A1B"/>
    <w:rsid w:val="00F40953"/>
    <w:rsid w:val="00F45E15"/>
    <w:rsid w:val="00F62BEE"/>
    <w:rsid w:val="00F6309E"/>
    <w:rsid w:val="00F64A4C"/>
    <w:rsid w:val="00F64B75"/>
    <w:rsid w:val="00F7029B"/>
    <w:rsid w:val="00F87FC0"/>
    <w:rsid w:val="00FA23AA"/>
    <w:rsid w:val="00FA5CF3"/>
    <w:rsid w:val="00FB445B"/>
    <w:rsid w:val="00FC6118"/>
    <w:rsid w:val="00FD1064"/>
    <w:rsid w:val="00FE3998"/>
    <w:rsid w:val="00FF5456"/>
    <w:rsid w:val="00FF744C"/>
    <w:rsid w:val="00FF771D"/>
    <w:rsid w:val="03022601"/>
    <w:rsid w:val="04FF025F"/>
    <w:rsid w:val="1649474C"/>
    <w:rsid w:val="19B53BFB"/>
    <w:rsid w:val="19E43C21"/>
    <w:rsid w:val="1B275222"/>
    <w:rsid w:val="2E1550FD"/>
    <w:rsid w:val="30652FB8"/>
    <w:rsid w:val="314663B4"/>
    <w:rsid w:val="31552BCE"/>
    <w:rsid w:val="32632BE1"/>
    <w:rsid w:val="32E12165"/>
    <w:rsid w:val="35E7418A"/>
    <w:rsid w:val="36497826"/>
    <w:rsid w:val="41C34E71"/>
    <w:rsid w:val="46B46495"/>
    <w:rsid w:val="47CB6433"/>
    <w:rsid w:val="48186BF2"/>
    <w:rsid w:val="487336B9"/>
    <w:rsid w:val="4A2B173A"/>
    <w:rsid w:val="4F0F5D0D"/>
    <w:rsid w:val="5086706A"/>
    <w:rsid w:val="547079FF"/>
    <w:rsid w:val="567F2920"/>
    <w:rsid w:val="56B76ED5"/>
    <w:rsid w:val="5A995C1E"/>
    <w:rsid w:val="5AD13E9A"/>
    <w:rsid w:val="606044F4"/>
    <w:rsid w:val="661C5985"/>
    <w:rsid w:val="68D7505C"/>
    <w:rsid w:val="68FF0352"/>
    <w:rsid w:val="6C980B43"/>
    <w:rsid w:val="702024BD"/>
    <w:rsid w:val="76435AD1"/>
    <w:rsid w:val="7E78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0"/>
    <w:unhideWhenUsed/>
    <w:qFormat/>
    <w:uiPriority w:val="0"/>
    <w:pPr>
      <w:jc w:val="left"/>
    </w:pPr>
  </w:style>
  <w:style w:type="paragraph" w:styleId="4">
    <w:name w:val="Balloon Text"/>
    <w:basedOn w:val="1"/>
    <w:link w:val="4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41"/>
    <w:semiHidden/>
    <w:unhideWhenUsed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6">
    <w:name w:val="_Style 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">
    <w:name w:val="一级条标题"/>
    <w:next w:val="18"/>
    <w:link w:val="24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段"/>
    <w:link w:val="2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二级条标题"/>
    <w:basedOn w:val="17"/>
    <w:next w:val="1"/>
    <w:qFormat/>
    <w:uiPriority w:val="0"/>
    <w:pPr>
      <w:numPr>
        <w:ilvl w:val="2"/>
      </w:numPr>
      <w:tabs>
        <w:tab w:val="left" w:pos="360"/>
      </w:tabs>
      <w:spacing w:before="50" w:after="50"/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3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4"/>
      </w:numPr>
      <w:outlineLvl w:val="5"/>
    </w:pPr>
  </w:style>
  <w:style w:type="paragraph" w:customStyle="1" w:styleId="23">
    <w:name w:val="五级条标题"/>
    <w:basedOn w:val="22"/>
    <w:next w:val="1"/>
    <w:qFormat/>
    <w:uiPriority w:val="0"/>
    <w:pPr>
      <w:numPr>
        <w:ilvl w:val="5"/>
      </w:numPr>
      <w:outlineLvl w:val="6"/>
    </w:pPr>
  </w:style>
  <w:style w:type="character" w:customStyle="1" w:styleId="24">
    <w:name w:val="一级条标题 Char"/>
    <w:link w:val="17"/>
    <w:qFormat/>
    <w:uiPriority w:val="0"/>
    <w:rPr>
      <w:rFonts w:ascii="黑体" w:eastAsia="黑体"/>
      <w:sz w:val="21"/>
      <w:szCs w:val="21"/>
    </w:rPr>
  </w:style>
  <w:style w:type="character" w:customStyle="1" w:styleId="25">
    <w:name w:val="段 Char"/>
    <w:link w:val="18"/>
    <w:qFormat/>
    <w:uiPriority w:val="0"/>
    <w:rPr>
      <w:rFonts w:ascii="宋体"/>
      <w:sz w:val="21"/>
    </w:rPr>
  </w:style>
  <w:style w:type="character" w:customStyle="1" w:styleId="2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7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</w:rPr>
  </w:style>
  <w:style w:type="paragraph" w:customStyle="1" w:styleId="28">
    <w:name w:val="封面标准文稿类别"/>
    <w:basedOn w:val="29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9">
    <w:name w:val="封面一致性程度标识"/>
    <w:basedOn w:val="30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30">
    <w:name w:val="封面标准英文名称"/>
    <w:basedOn w:val="31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3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34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35">
    <w:name w:val="封面标准文稿编辑信息"/>
    <w:basedOn w:val="28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36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</w:rPr>
  </w:style>
  <w:style w:type="paragraph" w:customStyle="1" w:styleId="3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38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</w:rPr>
  </w:style>
  <w:style w:type="paragraph" w:customStyle="1" w:styleId="39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character" w:customStyle="1" w:styleId="40">
    <w:name w:val="批注文字 字符"/>
    <w:basedOn w:val="12"/>
    <w:link w:val="3"/>
    <w:semiHidden/>
    <w:qFormat/>
    <w:uiPriority w:val="0"/>
    <w:rPr>
      <w:kern w:val="2"/>
      <w:sz w:val="21"/>
    </w:rPr>
  </w:style>
  <w:style w:type="character" w:customStyle="1" w:styleId="41">
    <w:name w:val="批注主题 字符"/>
    <w:basedOn w:val="40"/>
    <w:link w:val="10"/>
    <w:semiHidden/>
    <w:qFormat/>
    <w:uiPriority w:val="0"/>
    <w:rPr>
      <w:b/>
      <w:bCs/>
      <w:kern w:val="2"/>
      <w:sz w:val="21"/>
    </w:rPr>
  </w:style>
  <w:style w:type="character" w:customStyle="1" w:styleId="42">
    <w:name w:val="批注框文本 字符"/>
    <w:basedOn w:val="12"/>
    <w:link w:val="4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44">
    <w:name w:val="批注文字 字符1"/>
    <w:qFormat/>
    <w:uiPriority w:val="0"/>
    <w:rPr>
      <w:kern w:val="2"/>
      <w:sz w:val="21"/>
      <w:szCs w:val="24"/>
    </w:rPr>
  </w:style>
  <w:style w:type="paragraph" w:customStyle="1" w:styleId="4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6967F-84BB-4BF9-AE1A-C0925A4F66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1730</Words>
  <Characters>9862</Characters>
  <Lines>82</Lines>
  <Paragraphs>23</Paragraphs>
  <TotalTime>1</TotalTime>
  <ScaleCrop>false</ScaleCrop>
  <LinksUpToDate>false</LinksUpToDate>
  <CharactersWithSpaces>11569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2021-04-27T10:02:00Z</dcterms:created>
  <dc:creator>Gyr</dc:creator>
  <cp:lastModifiedBy>胡海鹤</cp:lastModifiedBy>
  <dcterms:modified xsi:type="dcterms:W3CDTF">2021-12-29T06:46:02Z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86C7BC52092B464FA51D06B87AFB6C12</vt:lpwstr>
  </property>
</Properties>
</file>