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D8" w:rsidRPr="006D55D8" w:rsidRDefault="006D55D8" w:rsidP="006D55D8">
      <w:pPr>
        <w:snapToGrid w:val="0"/>
        <w:rPr>
          <w:rFonts w:ascii="仿宋_GB2312" w:eastAsia="仿宋_GB2312" w:cs="仿宋_GB2312"/>
          <w:sz w:val="32"/>
          <w:szCs w:val="32"/>
        </w:rPr>
      </w:pPr>
      <w:r w:rsidRPr="006D55D8">
        <w:rPr>
          <w:rFonts w:ascii="仿宋_GB2312" w:eastAsia="仿宋_GB2312" w:cs="仿宋_GB2312" w:hint="eastAsia"/>
          <w:sz w:val="32"/>
          <w:szCs w:val="32"/>
        </w:rPr>
        <w:t>附件1</w:t>
      </w:r>
    </w:p>
    <w:p w:rsidR="007579D8" w:rsidRDefault="006D55D8" w:rsidP="006D55D8">
      <w:pPr>
        <w:snapToGrid w:val="0"/>
        <w:jc w:val="center"/>
        <w:rPr>
          <w:rFonts w:ascii="方正小标宋简体" w:eastAsia="方正小标宋简体" w:cs="仿宋_GB2312"/>
          <w:sz w:val="44"/>
          <w:szCs w:val="44"/>
        </w:rPr>
      </w:pPr>
      <w:r w:rsidRPr="006D55D8">
        <w:rPr>
          <w:rFonts w:ascii="方正小标宋简体" w:eastAsia="方正小标宋简体" w:cs="仿宋_GB2312" w:hint="eastAsia"/>
          <w:sz w:val="44"/>
          <w:szCs w:val="44"/>
        </w:rPr>
        <w:t>北京市交通运输系统清理规范行政许可等中介服务事项目录</w:t>
      </w:r>
    </w:p>
    <w:p w:rsidR="006D55D8" w:rsidRPr="005F6AA5" w:rsidRDefault="006D55D8" w:rsidP="006D55D8">
      <w:pPr>
        <w:snapToGrid w:val="0"/>
        <w:jc w:val="center"/>
        <w:rPr>
          <w:rFonts w:ascii="楷体_GB2312" w:eastAsia="楷体_GB2312" w:cs="仿宋_GB2312"/>
          <w:sz w:val="32"/>
          <w:szCs w:val="32"/>
        </w:rPr>
      </w:pPr>
      <w:r w:rsidRPr="005F6AA5">
        <w:rPr>
          <w:rFonts w:ascii="楷体_GB2312" w:eastAsia="楷体_GB2312" w:cs="仿宋_GB2312" w:hint="eastAsia"/>
          <w:sz w:val="32"/>
          <w:szCs w:val="32"/>
        </w:rPr>
        <w:t>（共计6项）</w:t>
      </w:r>
    </w:p>
    <w:tbl>
      <w:tblPr>
        <w:tblStyle w:val="a5"/>
        <w:tblW w:w="8755" w:type="dxa"/>
        <w:tblLook w:val="04A0"/>
      </w:tblPr>
      <w:tblGrid>
        <w:gridCol w:w="817"/>
        <w:gridCol w:w="1276"/>
        <w:gridCol w:w="1843"/>
        <w:gridCol w:w="708"/>
        <w:gridCol w:w="1134"/>
        <w:gridCol w:w="2977"/>
      </w:tblGrid>
      <w:tr w:rsidR="005F6AA5" w:rsidTr="003303E2">
        <w:tc>
          <w:tcPr>
            <w:tcW w:w="817"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序号</w:t>
            </w:r>
          </w:p>
        </w:tc>
        <w:tc>
          <w:tcPr>
            <w:tcW w:w="1276"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中介服务事项名称</w:t>
            </w:r>
          </w:p>
        </w:tc>
        <w:tc>
          <w:tcPr>
            <w:tcW w:w="1843"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涉及的政务服务事项名称</w:t>
            </w:r>
          </w:p>
        </w:tc>
        <w:tc>
          <w:tcPr>
            <w:tcW w:w="708"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事项类型</w:t>
            </w:r>
          </w:p>
        </w:tc>
        <w:tc>
          <w:tcPr>
            <w:tcW w:w="1134"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中介服务实施机构</w:t>
            </w:r>
          </w:p>
        </w:tc>
        <w:tc>
          <w:tcPr>
            <w:tcW w:w="2977" w:type="dxa"/>
            <w:vAlign w:val="center"/>
          </w:tcPr>
          <w:p w:rsidR="006D55D8" w:rsidRPr="006D55D8" w:rsidRDefault="006D55D8" w:rsidP="006D55D8">
            <w:pPr>
              <w:snapToGrid w:val="0"/>
              <w:jc w:val="center"/>
              <w:rPr>
                <w:rFonts w:ascii="黑体" w:eastAsia="黑体"/>
                <w:sz w:val="24"/>
                <w:szCs w:val="24"/>
              </w:rPr>
            </w:pPr>
            <w:r w:rsidRPr="006D55D8">
              <w:rPr>
                <w:rFonts w:ascii="黑体" w:eastAsia="黑体" w:hint="eastAsia"/>
                <w:sz w:val="24"/>
                <w:szCs w:val="24"/>
              </w:rPr>
              <w:t>处理意见</w:t>
            </w:r>
          </w:p>
        </w:tc>
      </w:tr>
      <w:tr w:rsidR="005F6AA5" w:rsidTr="003303E2">
        <w:tc>
          <w:tcPr>
            <w:tcW w:w="817" w:type="dxa"/>
            <w:vAlign w:val="center"/>
          </w:tcPr>
          <w:p w:rsidR="006D55D8" w:rsidRPr="005F6AA5" w:rsidRDefault="006D55D8" w:rsidP="005F6AA5">
            <w:pPr>
              <w:snapToGrid w:val="0"/>
              <w:jc w:val="center"/>
              <w:rPr>
                <w:rFonts w:ascii="仿宋_GB2312" w:eastAsia="仿宋_GB2312"/>
                <w:sz w:val="24"/>
                <w:szCs w:val="24"/>
              </w:rPr>
            </w:pPr>
            <w:r w:rsidRPr="005F6AA5">
              <w:rPr>
                <w:rFonts w:ascii="仿宋_GB2312" w:eastAsia="仿宋_GB2312" w:hint="eastAsia"/>
                <w:sz w:val="24"/>
                <w:szCs w:val="24"/>
              </w:rPr>
              <w:t>1</w:t>
            </w:r>
          </w:p>
        </w:tc>
        <w:tc>
          <w:tcPr>
            <w:tcW w:w="1276" w:type="dxa"/>
            <w:vAlign w:val="center"/>
          </w:tcPr>
          <w:p w:rsidR="006D55D8" w:rsidRPr="005F6AA5" w:rsidRDefault="006D55D8" w:rsidP="006D55D8">
            <w:pPr>
              <w:snapToGrid w:val="0"/>
              <w:rPr>
                <w:rFonts w:ascii="仿宋_GB2312" w:eastAsia="仿宋_GB2312"/>
                <w:sz w:val="24"/>
                <w:szCs w:val="24"/>
              </w:rPr>
            </w:pPr>
            <w:r w:rsidRPr="005F6AA5">
              <w:rPr>
                <w:rFonts w:ascii="仿宋_GB2312" w:eastAsia="仿宋_GB2312" w:hint="eastAsia"/>
                <w:sz w:val="24"/>
                <w:szCs w:val="24"/>
              </w:rPr>
              <w:t>出具从业资历公证书</w:t>
            </w:r>
          </w:p>
        </w:tc>
        <w:tc>
          <w:tcPr>
            <w:tcW w:w="1843" w:type="dxa"/>
            <w:vAlign w:val="center"/>
          </w:tcPr>
          <w:p w:rsidR="006D55D8" w:rsidRPr="005F6AA5" w:rsidRDefault="006D55D8" w:rsidP="008C2E7C">
            <w:pPr>
              <w:snapToGrid w:val="0"/>
              <w:rPr>
                <w:rFonts w:ascii="仿宋_GB2312" w:eastAsia="仿宋_GB2312"/>
                <w:sz w:val="24"/>
                <w:szCs w:val="24"/>
              </w:rPr>
            </w:pPr>
            <w:r w:rsidRPr="005F6AA5">
              <w:rPr>
                <w:rFonts w:ascii="仿宋_GB2312" w:eastAsia="仿宋_GB2312" w:hint="eastAsia"/>
                <w:sz w:val="24"/>
                <w:szCs w:val="24"/>
              </w:rPr>
              <w:t>国际海上运输业务及海运辅助业务经营初审（经营国际船舶运输业务初审）</w:t>
            </w:r>
          </w:p>
        </w:tc>
        <w:tc>
          <w:tcPr>
            <w:tcW w:w="708" w:type="dxa"/>
            <w:vAlign w:val="center"/>
          </w:tcPr>
          <w:p w:rsidR="006D55D8" w:rsidRPr="005F6AA5" w:rsidRDefault="006D55D8" w:rsidP="006D55D8">
            <w:pPr>
              <w:snapToGrid w:val="0"/>
              <w:rPr>
                <w:rFonts w:ascii="仿宋_GB2312" w:eastAsia="仿宋_GB2312"/>
                <w:sz w:val="24"/>
                <w:szCs w:val="24"/>
              </w:rPr>
            </w:pPr>
            <w:r w:rsidRPr="005F6AA5">
              <w:rPr>
                <w:rFonts w:ascii="仿宋_GB2312" w:eastAsia="仿宋_GB2312" w:hint="eastAsia"/>
                <w:sz w:val="24"/>
                <w:szCs w:val="24"/>
              </w:rPr>
              <w:t>其他行政权力</w:t>
            </w:r>
          </w:p>
        </w:tc>
        <w:tc>
          <w:tcPr>
            <w:tcW w:w="1134" w:type="dxa"/>
            <w:vAlign w:val="center"/>
          </w:tcPr>
          <w:p w:rsidR="006D55D8" w:rsidRPr="005F6AA5" w:rsidRDefault="006D55D8" w:rsidP="008C2E7C">
            <w:pPr>
              <w:snapToGrid w:val="0"/>
              <w:jc w:val="left"/>
              <w:rPr>
                <w:rFonts w:ascii="仿宋_GB2312" w:eastAsia="仿宋_GB2312"/>
                <w:sz w:val="24"/>
                <w:szCs w:val="24"/>
              </w:rPr>
            </w:pPr>
            <w:r w:rsidRPr="005F6AA5">
              <w:rPr>
                <w:rFonts w:ascii="仿宋_GB2312" w:eastAsia="仿宋_GB2312" w:hint="eastAsia"/>
                <w:sz w:val="24"/>
                <w:szCs w:val="24"/>
              </w:rPr>
              <w:t>公证机构</w:t>
            </w:r>
          </w:p>
        </w:tc>
        <w:tc>
          <w:tcPr>
            <w:tcW w:w="2977" w:type="dxa"/>
            <w:vAlign w:val="center"/>
          </w:tcPr>
          <w:p w:rsidR="006D55D8" w:rsidRPr="005F6AA5" w:rsidRDefault="006D55D8" w:rsidP="006D55D8">
            <w:pPr>
              <w:snapToGrid w:val="0"/>
              <w:rPr>
                <w:rFonts w:ascii="仿宋_GB2312" w:eastAsia="仿宋_GB2312"/>
                <w:sz w:val="24"/>
                <w:szCs w:val="24"/>
              </w:rPr>
            </w:pPr>
            <w:r w:rsidRPr="005F6AA5">
              <w:rPr>
                <w:rFonts w:ascii="仿宋_GB2312" w:eastAsia="仿宋_GB2312" w:hint="eastAsia"/>
                <w:sz w:val="24"/>
                <w:szCs w:val="24"/>
              </w:rPr>
              <w:t>不再要求申请人出具从业资历的公证书，改由申请人承诺其提供的从业资历</w:t>
            </w:r>
            <w:r w:rsidR="005F6AA5" w:rsidRPr="005F6AA5">
              <w:rPr>
                <w:rFonts w:ascii="仿宋_GB2312" w:eastAsia="仿宋_GB2312" w:hint="eastAsia"/>
                <w:sz w:val="24"/>
                <w:szCs w:val="24"/>
              </w:rPr>
              <w:t>真实有效，定期开展事后核查</w:t>
            </w:r>
          </w:p>
        </w:tc>
      </w:tr>
      <w:tr w:rsidR="005F6AA5" w:rsidTr="003303E2">
        <w:tc>
          <w:tcPr>
            <w:tcW w:w="817" w:type="dxa"/>
            <w:vAlign w:val="center"/>
          </w:tcPr>
          <w:p w:rsidR="006D55D8" w:rsidRPr="005F6AA5" w:rsidRDefault="006D55D8" w:rsidP="005F6AA5">
            <w:pPr>
              <w:snapToGrid w:val="0"/>
              <w:jc w:val="center"/>
              <w:rPr>
                <w:rFonts w:ascii="仿宋_GB2312" w:eastAsia="仿宋_GB2312"/>
                <w:sz w:val="24"/>
                <w:szCs w:val="24"/>
              </w:rPr>
            </w:pPr>
            <w:r w:rsidRPr="005F6AA5">
              <w:rPr>
                <w:rFonts w:ascii="仿宋_GB2312" w:eastAsia="仿宋_GB2312" w:hint="eastAsia"/>
                <w:sz w:val="24"/>
                <w:szCs w:val="24"/>
              </w:rPr>
              <w:t>2</w:t>
            </w:r>
          </w:p>
        </w:tc>
        <w:tc>
          <w:tcPr>
            <w:tcW w:w="1276"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发布遗失公告</w:t>
            </w:r>
          </w:p>
        </w:tc>
        <w:tc>
          <w:tcPr>
            <w:tcW w:w="1843"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补办《国际船舶运输经营许可证》</w:t>
            </w:r>
          </w:p>
        </w:tc>
        <w:tc>
          <w:tcPr>
            <w:tcW w:w="708"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其他行政权力</w:t>
            </w:r>
          </w:p>
        </w:tc>
        <w:tc>
          <w:tcPr>
            <w:tcW w:w="1134" w:type="dxa"/>
            <w:vAlign w:val="center"/>
          </w:tcPr>
          <w:p w:rsidR="006D55D8" w:rsidRPr="005F6AA5" w:rsidRDefault="005F6AA5" w:rsidP="008C2E7C">
            <w:pPr>
              <w:snapToGrid w:val="0"/>
              <w:jc w:val="left"/>
              <w:rPr>
                <w:rFonts w:ascii="仿宋_GB2312" w:eastAsia="仿宋_GB2312"/>
                <w:sz w:val="24"/>
                <w:szCs w:val="24"/>
              </w:rPr>
            </w:pPr>
            <w:r>
              <w:rPr>
                <w:rFonts w:ascii="仿宋_GB2312" w:eastAsia="仿宋_GB2312" w:hint="eastAsia"/>
                <w:sz w:val="24"/>
                <w:szCs w:val="24"/>
              </w:rPr>
              <w:t>公众媒体</w:t>
            </w:r>
          </w:p>
        </w:tc>
        <w:tc>
          <w:tcPr>
            <w:tcW w:w="2977"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不再要求申请人在公众媒体上发布遗失公告，改由由当事人自行出具遗失情况说明，定期开展事后核查</w:t>
            </w:r>
          </w:p>
        </w:tc>
      </w:tr>
      <w:tr w:rsidR="005F6AA5" w:rsidTr="003303E2">
        <w:tc>
          <w:tcPr>
            <w:tcW w:w="817" w:type="dxa"/>
            <w:vAlign w:val="center"/>
          </w:tcPr>
          <w:p w:rsidR="006D55D8" w:rsidRPr="005F6AA5" w:rsidRDefault="006D55D8" w:rsidP="005F6AA5">
            <w:pPr>
              <w:snapToGrid w:val="0"/>
              <w:jc w:val="center"/>
              <w:rPr>
                <w:rFonts w:ascii="仿宋_GB2312" w:eastAsia="仿宋_GB2312"/>
                <w:sz w:val="24"/>
                <w:szCs w:val="24"/>
              </w:rPr>
            </w:pPr>
            <w:r w:rsidRPr="005F6AA5">
              <w:rPr>
                <w:rFonts w:ascii="仿宋_GB2312" w:eastAsia="仿宋_GB2312" w:hint="eastAsia"/>
                <w:sz w:val="24"/>
                <w:szCs w:val="24"/>
              </w:rPr>
              <w:t>3</w:t>
            </w:r>
          </w:p>
        </w:tc>
        <w:tc>
          <w:tcPr>
            <w:tcW w:w="1276"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出具从业资历公证书</w:t>
            </w:r>
          </w:p>
        </w:tc>
        <w:tc>
          <w:tcPr>
            <w:tcW w:w="1843"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延长《国际船舶运输经营许可证》有效期</w:t>
            </w:r>
          </w:p>
        </w:tc>
        <w:tc>
          <w:tcPr>
            <w:tcW w:w="708"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其他行政权力</w:t>
            </w:r>
          </w:p>
        </w:tc>
        <w:tc>
          <w:tcPr>
            <w:tcW w:w="1134" w:type="dxa"/>
            <w:vAlign w:val="center"/>
          </w:tcPr>
          <w:p w:rsidR="006D55D8" w:rsidRPr="005F6AA5" w:rsidRDefault="005F6AA5" w:rsidP="008C2E7C">
            <w:pPr>
              <w:snapToGrid w:val="0"/>
              <w:jc w:val="left"/>
              <w:rPr>
                <w:rFonts w:ascii="仿宋_GB2312" w:eastAsia="仿宋_GB2312"/>
                <w:sz w:val="24"/>
                <w:szCs w:val="24"/>
              </w:rPr>
            </w:pPr>
            <w:r>
              <w:rPr>
                <w:rFonts w:ascii="仿宋_GB2312" w:eastAsia="仿宋_GB2312" w:hint="eastAsia"/>
                <w:sz w:val="24"/>
                <w:szCs w:val="24"/>
              </w:rPr>
              <w:t>公证机构</w:t>
            </w:r>
          </w:p>
        </w:tc>
        <w:tc>
          <w:tcPr>
            <w:tcW w:w="2977"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不再要求申请人出具从业资历的公证书，改由</w:t>
            </w:r>
            <w:r w:rsidRPr="005F6AA5">
              <w:rPr>
                <w:rFonts w:ascii="仿宋_GB2312" w:eastAsia="仿宋_GB2312" w:hint="eastAsia"/>
                <w:sz w:val="24"/>
                <w:szCs w:val="24"/>
              </w:rPr>
              <w:t>申请人承诺其提供的从业资历真实有效，定期开展事后核查</w:t>
            </w:r>
          </w:p>
        </w:tc>
      </w:tr>
      <w:tr w:rsidR="005F6AA5" w:rsidTr="003303E2">
        <w:tc>
          <w:tcPr>
            <w:tcW w:w="817" w:type="dxa"/>
            <w:vAlign w:val="center"/>
          </w:tcPr>
          <w:p w:rsidR="006D55D8" w:rsidRPr="005F6AA5" w:rsidRDefault="006D55D8" w:rsidP="005F6AA5">
            <w:pPr>
              <w:snapToGrid w:val="0"/>
              <w:jc w:val="center"/>
              <w:rPr>
                <w:rFonts w:ascii="仿宋_GB2312" w:eastAsia="仿宋_GB2312"/>
                <w:sz w:val="24"/>
                <w:szCs w:val="24"/>
              </w:rPr>
            </w:pPr>
            <w:r w:rsidRPr="005F6AA5">
              <w:rPr>
                <w:rFonts w:ascii="仿宋_GB2312" w:eastAsia="仿宋_GB2312" w:hint="eastAsia"/>
                <w:sz w:val="24"/>
                <w:szCs w:val="24"/>
              </w:rPr>
              <w:t>4</w:t>
            </w:r>
          </w:p>
        </w:tc>
        <w:tc>
          <w:tcPr>
            <w:tcW w:w="1276"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编制作业后第三方监测总结报告</w:t>
            </w:r>
          </w:p>
        </w:tc>
        <w:tc>
          <w:tcPr>
            <w:tcW w:w="1843"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对轨道交通安全保护区范围施工作业后评估结果进行备案</w:t>
            </w:r>
          </w:p>
        </w:tc>
        <w:tc>
          <w:tcPr>
            <w:tcW w:w="708" w:type="dxa"/>
            <w:vAlign w:val="center"/>
          </w:tcPr>
          <w:p w:rsidR="006D55D8" w:rsidRPr="005F6AA5" w:rsidRDefault="005F6AA5" w:rsidP="006D55D8">
            <w:pPr>
              <w:snapToGrid w:val="0"/>
              <w:rPr>
                <w:rFonts w:ascii="仿宋_GB2312" w:eastAsia="仿宋_GB2312"/>
                <w:sz w:val="24"/>
                <w:szCs w:val="24"/>
              </w:rPr>
            </w:pPr>
            <w:r>
              <w:rPr>
                <w:rFonts w:ascii="仿宋_GB2312" w:eastAsia="仿宋_GB2312" w:hint="eastAsia"/>
                <w:sz w:val="24"/>
                <w:szCs w:val="24"/>
              </w:rPr>
              <w:t>其他行政权力</w:t>
            </w:r>
          </w:p>
        </w:tc>
        <w:tc>
          <w:tcPr>
            <w:tcW w:w="1134" w:type="dxa"/>
            <w:vAlign w:val="center"/>
          </w:tcPr>
          <w:p w:rsidR="006D55D8" w:rsidRPr="005F6AA5" w:rsidRDefault="003303E2" w:rsidP="008C2E7C">
            <w:pPr>
              <w:snapToGrid w:val="0"/>
              <w:jc w:val="left"/>
              <w:rPr>
                <w:rFonts w:ascii="仿宋_GB2312" w:eastAsia="仿宋_GB2312"/>
                <w:sz w:val="24"/>
                <w:szCs w:val="24"/>
              </w:rPr>
            </w:pPr>
            <w:r>
              <w:rPr>
                <w:rFonts w:ascii="仿宋_GB2312" w:eastAsia="仿宋_GB2312" w:hint="eastAsia"/>
                <w:sz w:val="24"/>
                <w:szCs w:val="24"/>
              </w:rPr>
              <w:t>具有资质机构</w:t>
            </w:r>
          </w:p>
        </w:tc>
        <w:tc>
          <w:tcPr>
            <w:tcW w:w="2977" w:type="dxa"/>
            <w:vAlign w:val="center"/>
          </w:tcPr>
          <w:p w:rsidR="006D55D8" w:rsidRPr="005F6AA5" w:rsidRDefault="003303E2" w:rsidP="006D55D8">
            <w:pPr>
              <w:snapToGrid w:val="0"/>
              <w:rPr>
                <w:rFonts w:ascii="仿宋_GB2312" w:eastAsia="仿宋_GB2312"/>
                <w:sz w:val="24"/>
                <w:szCs w:val="24"/>
              </w:rPr>
            </w:pPr>
            <w:r>
              <w:rPr>
                <w:rFonts w:ascii="仿宋_GB2312" w:eastAsia="仿宋_GB2312" w:hint="eastAsia"/>
                <w:sz w:val="24"/>
                <w:szCs w:val="24"/>
              </w:rPr>
              <w:t>不再要求申请人编制作业后第三方监测总结报告，改由要求提供监理单位的监理工作总结和轨道运营单位自行编制的安全评估报告，加大事后抽查力度</w:t>
            </w:r>
          </w:p>
        </w:tc>
      </w:tr>
      <w:tr w:rsidR="005F6AA5" w:rsidTr="003303E2">
        <w:tc>
          <w:tcPr>
            <w:tcW w:w="817" w:type="dxa"/>
            <w:vAlign w:val="center"/>
          </w:tcPr>
          <w:p w:rsidR="006D55D8" w:rsidRPr="00DD6AAF" w:rsidRDefault="006D55D8" w:rsidP="00DD6AAF">
            <w:pPr>
              <w:snapToGrid w:val="0"/>
              <w:rPr>
                <w:rFonts w:ascii="仿宋_GB2312" w:eastAsia="仿宋_GB2312"/>
                <w:sz w:val="24"/>
                <w:szCs w:val="24"/>
              </w:rPr>
            </w:pPr>
            <w:r w:rsidRPr="00DD6AAF">
              <w:rPr>
                <w:rFonts w:ascii="仿宋_GB2312" w:eastAsia="仿宋_GB2312" w:hint="eastAsia"/>
                <w:sz w:val="24"/>
                <w:szCs w:val="24"/>
              </w:rPr>
              <w:t>5</w:t>
            </w:r>
          </w:p>
        </w:tc>
        <w:tc>
          <w:tcPr>
            <w:tcW w:w="1276" w:type="dxa"/>
            <w:vAlign w:val="center"/>
          </w:tcPr>
          <w:p w:rsidR="006D55D8" w:rsidRPr="00DD6AAF" w:rsidRDefault="003303E2" w:rsidP="00DD6AAF">
            <w:pPr>
              <w:snapToGrid w:val="0"/>
              <w:rPr>
                <w:rFonts w:ascii="仿宋_GB2312" w:eastAsia="仿宋_GB2312"/>
                <w:sz w:val="24"/>
                <w:szCs w:val="24"/>
              </w:rPr>
            </w:pPr>
            <w:r w:rsidRPr="00DD6AAF">
              <w:rPr>
                <w:rFonts w:ascii="仿宋_GB2312" w:eastAsia="仿宋_GB2312" w:hint="eastAsia"/>
                <w:sz w:val="24"/>
                <w:szCs w:val="24"/>
              </w:rPr>
              <w:t>出具调整运营计划可行性评估报告</w:t>
            </w:r>
          </w:p>
        </w:tc>
        <w:tc>
          <w:tcPr>
            <w:tcW w:w="1843" w:type="dxa"/>
            <w:vAlign w:val="center"/>
          </w:tcPr>
          <w:p w:rsidR="006D55D8" w:rsidRPr="00DD6AAF" w:rsidRDefault="003303E2" w:rsidP="00DD6AAF">
            <w:pPr>
              <w:snapToGrid w:val="0"/>
              <w:rPr>
                <w:rFonts w:ascii="仿宋_GB2312" w:eastAsia="仿宋_GB2312"/>
                <w:sz w:val="24"/>
                <w:szCs w:val="24"/>
              </w:rPr>
            </w:pPr>
            <w:r w:rsidRPr="00DD6AAF">
              <w:rPr>
                <w:rFonts w:ascii="仿宋_GB2312" w:eastAsia="仿宋_GB2312" w:hint="eastAsia"/>
                <w:sz w:val="24"/>
                <w:szCs w:val="24"/>
              </w:rPr>
              <w:t>轨道交通运营计划调整的批准</w:t>
            </w:r>
          </w:p>
        </w:tc>
        <w:tc>
          <w:tcPr>
            <w:tcW w:w="708" w:type="dxa"/>
            <w:vAlign w:val="center"/>
          </w:tcPr>
          <w:p w:rsidR="006D55D8" w:rsidRPr="00DD6AAF" w:rsidRDefault="005F6AA5" w:rsidP="00DD6AAF">
            <w:pPr>
              <w:snapToGrid w:val="0"/>
              <w:rPr>
                <w:rFonts w:ascii="仿宋_GB2312" w:eastAsia="仿宋_GB2312"/>
                <w:sz w:val="24"/>
                <w:szCs w:val="24"/>
              </w:rPr>
            </w:pPr>
            <w:r w:rsidRPr="00DD6AAF">
              <w:rPr>
                <w:rFonts w:ascii="仿宋_GB2312" w:eastAsia="仿宋_GB2312" w:hint="eastAsia"/>
                <w:sz w:val="24"/>
                <w:szCs w:val="24"/>
              </w:rPr>
              <w:t>其他行政权力</w:t>
            </w:r>
          </w:p>
        </w:tc>
        <w:tc>
          <w:tcPr>
            <w:tcW w:w="1134" w:type="dxa"/>
            <w:vAlign w:val="center"/>
          </w:tcPr>
          <w:p w:rsidR="006D55D8" w:rsidRPr="00DD6AAF" w:rsidRDefault="003303E2" w:rsidP="00DD6AAF">
            <w:pPr>
              <w:snapToGrid w:val="0"/>
              <w:rPr>
                <w:rFonts w:ascii="仿宋_GB2312" w:eastAsia="仿宋_GB2312"/>
                <w:sz w:val="24"/>
                <w:szCs w:val="24"/>
              </w:rPr>
            </w:pPr>
            <w:r w:rsidRPr="00DD6AAF">
              <w:rPr>
                <w:rFonts w:ascii="仿宋_GB2312" w:eastAsia="仿宋_GB2312" w:hint="eastAsia"/>
                <w:sz w:val="24"/>
                <w:szCs w:val="24"/>
              </w:rPr>
              <w:t>具有资质机构</w:t>
            </w:r>
          </w:p>
        </w:tc>
        <w:tc>
          <w:tcPr>
            <w:tcW w:w="2977" w:type="dxa"/>
            <w:vAlign w:val="center"/>
          </w:tcPr>
          <w:p w:rsidR="006D55D8" w:rsidRPr="00DD6AAF" w:rsidRDefault="003303E2" w:rsidP="00DD6AAF">
            <w:pPr>
              <w:snapToGrid w:val="0"/>
              <w:rPr>
                <w:rFonts w:ascii="仿宋_GB2312" w:eastAsia="仿宋_GB2312"/>
                <w:sz w:val="24"/>
                <w:szCs w:val="24"/>
              </w:rPr>
            </w:pPr>
            <w:r w:rsidRPr="00DD6AAF">
              <w:rPr>
                <w:rFonts w:ascii="仿宋_GB2312" w:eastAsia="仿宋_GB2312" w:hint="eastAsia"/>
                <w:sz w:val="24"/>
                <w:szCs w:val="24"/>
              </w:rPr>
              <w:t>不再要求申请人出具调整运营计划可行性评估报告，改由审批部门根据相关条例要求，依据单位上报的工作报告内容，定期组织抽查，加强事中事后监管</w:t>
            </w:r>
          </w:p>
        </w:tc>
      </w:tr>
      <w:tr w:rsidR="005F6AA5" w:rsidTr="003303E2">
        <w:tc>
          <w:tcPr>
            <w:tcW w:w="817" w:type="dxa"/>
            <w:vAlign w:val="center"/>
          </w:tcPr>
          <w:p w:rsidR="006D55D8" w:rsidRPr="005E423A" w:rsidRDefault="006D55D8" w:rsidP="005F6AA5">
            <w:pPr>
              <w:snapToGrid w:val="0"/>
              <w:jc w:val="center"/>
              <w:rPr>
                <w:rFonts w:ascii="仿宋_GB2312" w:eastAsia="仿宋_GB2312"/>
                <w:sz w:val="24"/>
                <w:szCs w:val="24"/>
              </w:rPr>
            </w:pPr>
            <w:r w:rsidRPr="005E423A">
              <w:rPr>
                <w:rFonts w:ascii="仿宋_GB2312" w:eastAsia="仿宋_GB2312" w:hint="eastAsia"/>
                <w:sz w:val="24"/>
                <w:szCs w:val="24"/>
              </w:rPr>
              <w:t>6</w:t>
            </w:r>
          </w:p>
        </w:tc>
        <w:tc>
          <w:tcPr>
            <w:tcW w:w="1276" w:type="dxa"/>
            <w:vAlign w:val="center"/>
          </w:tcPr>
          <w:p w:rsidR="006D55D8" w:rsidRPr="005E423A" w:rsidRDefault="003303E2" w:rsidP="006D55D8">
            <w:pPr>
              <w:snapToGrid w:val="0"/>
              <w:rPr>
                <w:rFonts w:ascii="仿宋_GB2312" w:eastAsia="仿宋_GB2312"/>
                <w:sz w:val="24"/>
                <w:szCs w:val="24"/>
              </w:rPr>
            </w:pPr>
            <w:r w:rsidRPr="005E423A">
              <w:rPr>
                <w:rFonts w:ascii="仿宋_GB2312" w:eastAsia="仿宋_GB2312" w:hint="eastAsia"/>
                <w:sz w:val="24"/>
                <w:szCs w:val="24"/>
              </w:rPr>
              <w:t>出具停运作业可行性评估报告</w:t>
            </w:r>
          </w:p>
        </w:tc>
        <w:tc>
          <w:tcPr>
            <w:tcW w:w="1843" w:type="dxa"/>
            <w:vAlign w:val="center"/>
          </w:tcPr>
          <w:p w:rsidR="006D55D8" w:rsidRPr="005E423A" w:rsidRDefault="003303E2" w:rsidP="006D55D8">
            <w:pPr>
              <w:snapToGrid w:val="0"/>
              <w:rPr>
                <w:rFonts w:ascii="仿宋_GB2312" w:eastAsia="仿宋_GB2312"/>
                <w:sz w:val="24"/>
                <w:szCs w:val="24"/>
              </w:rPr>
            </w:pPr>
            <w:r w:rsidRPr="005E423A">
              <w:rPr>
                <w:rFonts w:ascii="仿宋_GB2312" w:eastAsia="仿宋_GB2312" w:hint="eastAsia"/>
                <w:sz w:val="24"/>
                <w:szCs w:val="24"/>
              </w:rPr>
              <w:t>轨道交通停运作业的批准</w:t>
            </w:r>
          </w:p>
        </w:tc>
        <w:tc>
          <w:tcPr>
            <w:tcW w:w="708" w:type="dxa"/>
            <w:vAlign w:val="center"/>
          </w:tcPr>
          <w:p w:rsidR="006D55D8" w:rsidRPr="005E423A" w:rsidRDefault="005F6AA5" w:rsidP="006D55D8">
            <w:pPr>
              <w:snapToGrid w:val="0"/>
              <w:rPr>
                <w:rFonts w:ascii="仿宋_GB2312" w:eastAsia="仿宋_GB2312"/>
                <w:sz w:val="24"/>
                <w:szCs w:val="24"/>
              </w:rPr>
            </w:pPr>
            <w:r w:rsidRPr="005E423A">
              <w:rPr>
                <w:rFonts w:ascii="仿宋_GB2312" w:eastAsia="仿宋_GB2312" w:hint="eastAsia"/>
                <w:sz w:val="24"/>
                <w:szCs w:val="24"/>
              </w:rPr>
              <w:t>其他行政权力</w:t>
            </w:r>
          </w:p>
        </w:tc>
        <w:tc>
          <w:tcPr>
            <w:tcW w:w="1134" w:type="dxa"/>
            <w:vAlign w:val="center"/>
          </w:tcPr>
          <w:p w:rsidR="006D55D8" w:rsidRPr="005E423A" w:rsidRDefault="003303E2" w:rsidP="008C2E7C">
            <w:pPr>
              <w:snapToGrid w:val="0"/>
              <w:jc w:val="left"/>
              <w:rPr>
                <w:rFonts w:ascii="仿宋_GB2312" w:eastAsia="仿宋_GB2312"/>
                <w:sz w:val="24"/>
                <w:szCs w:val="24"/>
              </w:rPr>
            </w:pPr>
            <w:r w:rsidRPr="005E423A">
              <w:rPr>
                <w:rFonts w:ascii="仿宋_GB2312" w:eastAsia="仿宋_GB2312" w:hint="eastAsia"/>
                <w:sz w:val="24"/>
                <w:szCs w:val="24"/>
              </w:rPr>
              <w:t>具有资质机构</w:t>
            </w:r>
          </w:p>
        </w:tc>
        <w:tc>
          <w:tcPr>
            <w:tcW w:w="2977" w:type="dxa"/>
            <w:vAlign w:val="center"/>
          </w:tcPr>
          <w:p w:rsidR="006D55D8" w:rsidRPr="005E423A" w:rsidRDefault="003303E2" w:rsidP="006D55D8">
            <w:pPr>
              <w:snapToGrid w:val="0"/>
              <w:rPr>
                <w:rFonts w:ascii="仿宋_GB2312" w:eastAsia="仿宋_GB2312"/>
                <w:sz w:val="24"/>
                <w:szCs w:val="24"/>
              </w:rPr>
            </w:pPr>
            <w:r w:rsidRPr="005E423A">
              <w:rPr>
                <w:rFonts w:ascii="仿宋_GB2312" w:eastAsia="仿宋_GB2312" w:hint="eastAsia"/>
                <w:sz w:val="24"/>
                <w:szCs w:val="24"/>
              </w:rPr>
              <w:t>不再要求申请人出具停运可行性报告，改由审批部门根据相关条例要求，依据单位上报的工作报告内容，定期组织抽查，加强事中事后监管</w:t>
            </w:r>
          </w:p>
        </w:tc>
      </w:tr>
    </w:tbl>
    <w:p w:rsidR="006D55D8" w:rsidRPr="006D55D8" w:rsidRDefault="006D55D8" w:rsidP="006D55D8">
      <w:pPr>
        <w:snapToGrid w:val="0"/>
        <w:jc w:val="center"/>
        <w:rPr>
          <w:rFonts w:ascii="方正小标宋简体" w:eastAsia="方正小标宋简体"/>
          <w:sz w:val="44"/>
          <w:szCs w:val="44"/>
        </w:rPr>
      </w:pPr>
    </w:p>
    <w:sectPr w:rsidR="006D55D8" w:rsidRPr="006D55D8" w:rsidSect="00757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13" w:rsidRDefault="00565113" w:rsidP="006D55D8">
      <w:r>
        <w:separator/>
      </w:r>
    </w:p>
  </w:endnote>
  <w:endnote w:type="continuationSeparator" w:id="1">
    <w:p w:rsidR="00565113" w:rsidRDefault="00565113" w:rsidP="006D5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13" w:rsidRDefault="00565113" w:rsidP="006D55D8">
      <w:r>
        <w:separator/>
      </w:r>
    </w:p>
  </w:footnote>
  <w:footnote w:type="continuationSeparator" w:id="1">
    <w:p w:rsidR="00565113" w:rsidRDefault="00565113" w:rsidP="006D5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5D8"/>
    <w:rsid w:val="003303E2"/>
    <w:rsid w:val="003C0DA7"/>
    <w:rsid w:val="003F5F4F"/>
    <w:rsid w:val="00565113"/>
    <w:rsid w:val="005B6492"/>
    <w:rsid w:val="005E423A"/>
    <w:rsid w:val="005F6AA5"/>
    <w:rsid w:val="006D55D8"/>
    <w:rsid w:val="007579D8"/>
    <w:rsid w:val="008C2E7C"/>
    <w:rsid w:val="00AF6FDC"/>
    <w:rsid w:val="00B35624"/>
    <w:rsid w:val="00C37E16"/>
    <w:rsid w:val="00DD6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5D8"/>
    <w:rPr>
      <w:sz w:val="18"/>
      <w:szCs w:val="18"/>
    </w:rPr>
  </w:style>
  <w:style w:type="paragraph" w:styleId="a4">
    <w:name w:val="footer"/>
    <w:basedOn w:val="a"/>
    <w:link w:val="Char0"/>
    <w:uiPriority w:val="99"/>
    <w:semiHidden/>
    <w:unhideWhenUsed/>
    <w:rsid w:val="006D55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5D8"/>
    <w:rPr>
      <w:sz w:val="18"/>
      <w:szCs w:val="18"/>
    </w:rPr>
  </w:style>
  <w:style w:type="table" w:styleId="a5">
    <w:name w:val="Table Grid"/>
    <w:basedOn w:val="a1"/>
    <w:uiPriority w:val="59"/>
    <w:rsid w:val="006D55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蔺一</dc:creator>
  <cp:keywords/>
  <dc:description/>
  <cp:lastModifiedBy>蔺一</cp:lastModifiedBy>
  <cp:revision>6</cp:revision>
  <dcterms:created xsi:type="dcterms:W3CDTF">2021-02-20T07:30:00Z</dcterms:created>
  <dcterms:modified xsi:type="dcterms:W3CDTF">2021-02-20T09:48:00Z</dcterms:modified>
</cp:coreProperties>
</file>