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18B" w:rsidRDefault="003E018B" w:rsidP="003E018B">
      <w:pPr>
        <w:spacing w:line="620" w:lineRule="exact"/>
        <w:jc w:val="left"/>
        <w:rPr>
          <w:rFonts w:ascii="黑体" w:eastAsia="黑体" w:hAnsi="黑体" w:cs="黑体"/>
          <w:bCs/>
          <w:sz w:val="32"/>
          <w:szCs w:val="32"/>
        </w:rPr>
      </w:pPr>
      <w:r w:rsidRPr="003E018B">
        <w:rPr>
          <w:rFonts w:ascii="黑体" w:eastAsia="黑体" w:hAnsi="黑体" w:cs="黑体" w:hint="eastAsia"/>
          <w:bCs/>
          <w:sz w:val="32"/>
          <w:szCs w:val="32"/>
        </w:rPr>
        <w:t>附件</w:t>
      </w:r>
      <w:r w:rsidRPr="003E018B">
        <w:rPr>
          <w:rFonts w:ascii="黑体" w:eastAsia="黑体" w:hAnsi="黑体" w:cs="黑体"/>
          <w:bCs/>
          <w:sz w:val="32"/>
          <w:szCs w:val="32"/>
        </w:rPr>
        <w:t>2</w:t>
      </w:r>
    </w:p>
    <w:p w:rsidR="003E018B" w:rsidRPr="003E018B" w:rsidRDefault="003E018B" w:rsidP="003E018B">
      <w:pPr>
        <w:spacing w:line="620" w:lineRule="exact"/>
        <w:jc w:val="left"/>
        <w:rPr>
          <w:rFonts w:ascii="黑体" w:eastAsia="黑体" w:hAnsi="黑体" w:cs="黑体"/>
          <w:bCs/>
          <w:sz w:val="32"/>
          <w:szCs w:val="32"/>
        </w:rPr>
      </w:pPr>
    </w:p>
    <w:p w:rsidR="00E629A2" w:rsidRDefault="00F66363">
      <w:pPr>
        <w:spacing w:line="620" w:lineRule="exact"/>
        <w:jc w:val="center"/>
        <w:rPr>
          <w:rFonts w:ascii="方正小标宋简体" w:eastAsia="方正小标宋简体" w:hAnsi="黑体" w:cs="黑体"/>
          <w:bCs/>
          <w:sz w:val="44"/>
          <w:szCs w:val="44"/>
        </w:rPr>
      </w:pPr>
      <w:r>
        <w:rPr>
          <w:rFonts w:ascii="方正小标宋简体" w:eastAsia="方正小标宋简体" w:hAnsi="黑体" w:cs="黑体" w:hint="eastAsia"/>
          <w:bCs/>
          <w:sz w:val="44"/>
          <w:szCs w:val="44"/>
        </w:rPr>
        <w:t>北京市收费公路收费站区通行守则</w:t>
      </w:r>
    </w:p>
    <w:p w:rsidR="00E629A2" w:rsidRDefault="00E629A2">
      <w:pPr>
        <w:spacing w:line="620" w:lineRule="exact"/>
        <w:jc w:val="center"/>
        <w:rPr>
          <w:rFonts w:ascii="方正小标宋简体" w:eastAsia="方正小标宋简体" w:hAnsi="黑体" w:cs="黑体"/>
          <w:bCs/>
          <w:sz w:val="44"/>
          <w:szCs w:val="44"/>
        </w:rPr>
      </w:pPr>
      <w:bookmarkStart w:id="0" w:name="_GoBack"/>
      <w:bookmarkEnd w:id="0"/>
    </w:p>
    <w:p w:rsidR="00E629A2" w:rsidRDefault="00F66363">
      <w:pPr>
        <w:pStyle w:val="aa"/>
        <w:numPr>
          <w:ilvl w:val="0"/>
          <w:numId w:val="1"/>
        </w:numPr>
        <w:spacing w:line="620" w:lineRule="exact"/>
        <w:ind w:left="5" w:firstLineChars="0" w:hanging="5"/>
        <w:rPr>
          <w:rFonts w:ascii="仿宋_GB2312" w:eastAsia="仿宋_GB2312" w:hAnsi="仿宋" w:cs="仿宋"/>
          <w:sz w:val="32"/>
          <w:szCs w:val="32"/>
        </w:rPr>
      </w:pPr>
      <w:r>
        <w:rPr>
          <w:rFonts w:ascii="仿宋_GB2312" w:eastAsia="仿宋_GB2312" w:hAnsi="仿宋" w:cs="仿宋" w:hint="eastAsia"/>
          <w:sz w:val="32"/>
          <w:szCs w:val="32"/>
        </w:rPr>
        <w:t>根据《中华人民共和国公路法》《中华人民共和国道路交通安全法》《中华人民共和国治安管理处罚法》《收费公路管理条例》等有关规定，为保障北京市收费公路收费站区（以下简称收费站区）运营秩序</w:t>
      </w:r>
      <w:r>
        <w:rPr>
          <w:rFonts w:ascii="仿宋_GB2312" w:eastAsia="仿宋_GB2312" w:hAnsi="仿宋" w:cs="仿宋" w:hint="eastAsia"/>
          <w:sz w:val="32"/>
          <w:szCs w:val="32"/>
        </w:rPr>
        <w:t>高效</w:t>
      </w:r>
      <w:r>
        <w:rPr>
          <w:rFonts w:ascii="仿宋_GB2312" w:eastAsia="仿宋_GB2312" w:hAnsi="仿宋" w:cs="仿宋" w:hint="eastAsia"/>
          <w:sz w:val="32"/>
          <w:szCs w:val="32"/>
        </w:rPr>
        <w:t>稳定，为通行车辆提供安全、便捷、和谐的通行环境，特制定本通行守则。</w:t>
      </w:r>
    </w:p>
    <w:p w:rsidR="00E629A2" w:rsidRDefault="00F66363">
      <w:pPr>
        <w:numPr>
          <w:ilvl w:val="0"/>
          <w:numId w:val="1"/>
        </w:numPr>
        <w:spacing w:line="620" w:lineRule="exact"/>
        <w:ind w:left="0" w:firstLine="0"/>
        <w:rPr>
          <w:rFonts w:ascii="仿宋_GB2312" w:eastAsia="仿宋_GB2312" w:hAnsi="仿宋" w:cs="仿宋"/>
          <w:sz w:val="32"/>
          <w:szCs w:val="32"/>
        </w:rPr>
      </w:pPr>
      <w:r>
        <w:rPr>
          <w:rFonts w:ascii="仿宋_GB2312" w:eastAsia="仿宋_GB2312" w:hAnsi="仿宋" w:cs="仿宋" w:hint="eastAsia"/>
          <w:sz w:val="32"/>
          <w:szCs w:val="32"/>
        </w:rPr>
        <w:t>通行北京市收费公路的车辆驾驶人及乘车人均应遵守本通行守则。</w:t>
      </w:r>
    </w:p>
    <w:p w:rsidR="00E629A2" w:rsidRDefault="00F66363">
      <w:pPr>
        <w:numPr>
          <w:ilvl w:val="0"/>
          <w:numId w:val="1"/>
        </w:numPr>
        <w:spacing w:line="620" w:lineRule="exact"/>
        <w:ind w:left="0" w:firstLine="0"/>
        <w:rPr>
          <w:rFonts w:ascii="仿宋_GB2312" w:eastAsia="仿宋_GB2312" w:hAnsi="仿宋" w:cs="仿宋"/>
          <w:sz w:val="32"/>
          <w:szCs w:val="32"/>
        </w:rPr>
      </w:pPr>
      <w:r>
        <w:rPr>
          <w:rFonts w:ascii="仿宋_GB2312" w:eastAsia="仿宋_GB2312" w:hAnsi="仿宋" w:cs="仿宋" w:hint="eastAsia"/>
          <w:sz w:val="32"/>
          <w:szCs w:val="32"/>
        </w:rPr>
        <w:t>驾驶人及乘车人应遵守国家及北京市相关法律法规、社会公德，配合站区工作人员管理，共同维护收费站区秩序。</w:t>
      </w:r>
    </w:p>
    <w:p w:rsidR="00E629A2" w:rsidRDefault="00F66363">
      <w:pPr>
        <w:numPr>
          <w:ilvl w:val="0"/>
          <w:numId w:val="1"/>
        </w:numPr>
        <w:spacing w:line="620" w:lineRule="exact"/>
        <w:ind w:left="0" w:firstLine="0"/>
        <w:rPr>
          <w:rFonts w:ascii="仿宋_GB2312" w:eastAsia="仿宋_GB2312" w:hAnsi="仿宋" w:cs="仿宋"/>
          <w:sz w:val="32"/>
          <w:szCs w:val="32"/>
        </w:rPr>
      </w:pPr>
      <w:r>
        <w:rPr>
          <w:rFonts w:ascii="仿宋_GB2312" w:eastAsia="仿宋_GB2312" w:hAnsi="仿宋" w:cs="仿宋" w:hint="eastAsia"/>
          <w:sz w:val="32"/>
          <w:szCs w:val="32"/>
        </w:rPr>
        <w:t>通行收费站区时，驾驶人应注意与前车保持安全距离，主动排队“一车一杆”，关闭远光灯，按照站区交通标识引导有序通行，非紧急情况不鸣笛。</w:t>
      </w:r>
    </w:p>
    <w:p w:rsidR="00E629A2" w:rsidRDefault="00F66363">
      <w:pPr>
        <w:numPr>
          <w:ilvl w:val="0"/>
          <w:numId w:val="1"/>
        </w:numPr>
        <w:spacing w:line="620" w:lineRule="exact"/>
        <w:ind w:left="0" w:firstLine="0"/>
        <w:rPr>
          <w:rFonts w:ascii="仿宋_GB2312" w:eastAsia="仿宋_GB2312" w:hAnsi="仿宋" w:cs="仿宋"/>
          <w:sz w:val="32"/>
          <w:szCs w:val="32"/>
        </w:rPr>
      </w:pPr>
      <w:r>
        <w:rPr>
          <w:rFonts w:ascii="仿宋_GB2312" w:eastAsia="仿宋_GB2312" w:hAnsi="仿宋" w:cs="仿宋" w:hint="eastAsia"/>
          <w:sz w:val="32"/>
          <w:szCs w:val="32"/>
        </w:rPr>
        <w:t>ETC</w:t>
      </w:r>
      <w:r>
        <w:rPr>
          <w:rFonts w:ascii="仿宋_GB2312" w:eastAsia="仿宋_GB2312" w:hAnsi="仿宋" w:cs="仿宋" w:hint="eastAsia"/>
          <w:sz w:val="32"/>
          <w:szCs w:val="32"/>
        </w:rPr>
        <w:t>车辆（</w:t>
      </w:r>
      <w:r>
        <w:rPr>
          <w:rFonts w:ascii="仿宋_GB2312" w:eastAsia="仿宋_GB2312" w:hAnsi="仿宋" w:cs="仿宋" w:hint="eastAsia"/>
          <w:sz w:val="32"/>
          <w:szCs w:val="32"/>
        </w:rPr>
        <w:t>ETC</w:t>
      </w:r>
      <w:r>
        <w:rPr>
          <w:rFonts w:ascii="仿宋_GB2312" w:eastAsia="仿宋_GB2312" w:hAnsi="仿宋" w:cs="仿宋" w:hint="eastAsia"/>
          <w:sz w:val="32"/>
          <w:szCs w:val="32"/>
        </w:rPr>
        <w:t>车载设备可正常使用）可选择</w:t>
      </w:r>
      <w:r>
        <w:rPr>
          <w:rFonts w:ascii="仿宋_GB2312" w:eastAsia="仿宋_GB2312" w:hAnsi="仿宋" w:cs="仿宋" w:hint="eastAsia"/>
          <w:sz w:val="32"/>
          <w:szCs w:val="32"/>
        </w:rPr>
        <w:t>ETC</w:t>
      </w:r>
      <w:r>
        <w:rPr>
          <w:rFonts w:ascii="仿宋_GB2312" w:eastAsia="仿宋_GB2312" w:hAnsi="仿宋" w:cs="仿宋" w:hint="eastAsia"/>
          <w:sz w:val="32"/>
          <w:szCs w:val="32"/>
        </w:rPr>
        <w:t>专用车道或</w:t>
      </w:r>
      <w:r>
        <w:rPr>
          <w:rFonts w:ascii="仿宋_GB2312" w:eastAsia="仿宋_GB2312" w:hAnsi="仿宋" w:cs="仿宋" w:hint="eastAsia"/>
          <w:sz w:val="32"/>
          <w:szCs w:val="32"/>
        </w:rPr>
        <w:t>ETC/MTC</w:t>
      </w:r>
      <w:r>
        <w:rPr>
          <w:rFonts w:ascii="仿宋_GB2312" w:eastAsia="仿宋_GB2312" w:hAnsi="仿宋" w:cs="仿宋" w:hint="eastAsia"/>
          <w:sz w:val="32"/>
          <w:szCs w:val="32"/>
        </w:rPr>
        <w:t>混合车道通行，非</w:t>
      </w:r>
      <w:r>
        <w:rPr>
          <w:rFonts w:ascii="仿宋_GB2312" w:eastAsia="仿宋_GB2312" w:hAnsi="仿宋" w:cs="仿宋" w:hint="eastAsia"/>
          <w:sz w:val="32"/>
          <w:szCs w:val="32"/>
        </w:rPr>
        <w:t>ETC</w:t>
      </w:r>
      <w:r>
        <w:rPr>
          <w:rFonts w:ascii="仿宋_GB2312" w:eastAsia="仿宋_GB2312" w:hAnsi="仿宋" w:cs="仿宋" w:hint="eastAsia"/>
          <w:sz w:val="32"/>
          <w:szCs w:val="32"/>
        </w:rPr>
        <w:t>车辆（包含已安装</w:t>
      </w:r>
      <w:r>
        <w:rPr>
          <w:rFonts w:ascii="仿宋_GB2312" w:eastAsia="仿宋_GB2312" w:hAnsi="仿宋" w:cs="仿宋" w:hint="eastAsia"/>
          <w:sz w:val="32"/>
          <w:szCs w:val="32"/>
        </w:rPr>
        <w:t>ETC</w:t>
      </w:r>
      <w:r>
        <w:rPr>
          <w:rFonts w:ascii="仿宋_GB2312" w:eastAsia="仿宋_GB2312" w:hAnsi="仿宋" w:cs="仿宋" w:hint="eastAsia"/>
          <w:sz w:val="32"/>
          <w:szCs w:val="32"/>
        </w:rPr>
        <w:t>设备但因故无法正常使用的车辆）或已安装</w:t>
      </w:r>
      <w:r>
        <w:rPr>
          <w:rFonts w:ascii="仿宋_GB2312" w:eastAsia="仿宋_GB2312" w:hAnsi="仿宋" w:cs="仿宋" w:hint="eastAsia"/>
          <w:sz w:val="32"/>
          <w:szCs w:val="32"/>
        </w:rPr>
        <w:t>ETC</w:t>
      </w:r>
      <w:r>
        <w:rPr>
          <w:rFonts w:ascii="仿宋_GB2312" w:eastAsia="仿宋_GB2312" w:hAnsi="仿宋" w:cs="仿宋" w:hint="eastAsia"/>
          <w:sz w:val="32"/>
          <w:szCs w:val="32"/>
        </w:rPr>
        <w:t>设备但使用现金缴费的车辆应选择</w:t>
      </w:r>
      <w:r>
        <w:rPr>
          <w:rFonts w:ascii="仿宋_GB2312" w:eastAsia="仿宋_GB2312" w:hAnsi="仿宋" w:cs="仿宋" w:hint="eastAsia"/>
          <w:sz w:val="32"/>
          <w:szCs w:val="32"/>
        </w:rPr>
        <w:t>ETC/MTC</w:t>
      </w:r>
      <w:r>
        <w:rPr>
          <w:rFonts w:ascii="仿宋_GB2312" w:eastAsia="仿宋_GB2312" w:hAnsi="仿宋" w:cs="仿宋" w:hint="eastAsia"/>
          <w:sz w:val="32"/>
          <w:szCs w:val="32"/>
        </w:rPr>
        <w:t>混合车道</w:t>
      </w:r>
      <w:r>
        <w:rPr>
          <w:rFonts w:ascii="仿宋_GB2312" w:eastAsia="仿宋_GB2312" w:hAnsi="仿宋" w:cs="仿宋" w:hint="eastAsia"/>
          <w:sz w:val="32"/>
          <w:szCs w:val="32"/>
        </w:rPr>
        <w:t>或</w:t>
      </w:r>
      <w:r>
        <w:rPr>
          <w:rFonts w:ascii="仿宋_GB2312" w:eastAsia="仿宋_GB2312" w:hAnsi="仿宋" w:cs="仿宋" w:hint="eastAsia"/>
          <w:sz w:val="32"/>
          <w:szCs w:val="32"/>
        </w:rPr>
        <w:t>MTC</w:t>
      </w:r>
      <w:r>
        <w:rPr>
          <w:rFonts w:ascii="仿宋_GB2312" w:eastAsia="仿宋_GB2312" w:hAnsi="仿宋" w:cs="仿宋" w:hint="eastAsia"/>
          <w:sz w:val="32"/>
          <w:szCs w:val="32"/>
        </w:rPr>
        <w:t>车道</w:t>
      </w:r>
      <w:r>
        <w:rPr>
          <w:rFonts w:ascii="仿宋_GB2312" w:eastAsia="仿宋_GB2312" w:hAnsi="仿宋" w:cs="仿宋" w:hint="eastAsia"/>
          <w:sz w:val="32"/>
          <w:szCs w:val="32"/>
        </w:rPr>
        <w:t>通行，入口车道领取</w:t>
      </w:r>
      <w:r>
        <w:rPr>
          <w:rFonts w:ascii="仿宋_GB2312" w:eastAsia="仿宋_GB2312" w:hAnsi="仿宋" w:cs="仿宋" w:hint="eastAsia"/>
          <w:sz w:val="32"/>
          <w:szCs w:val="32"/>
        </w:rPr>
        <w:t>CPC</w:t>
      </w:r>
      <w:r>
        <w:rPr>
          <w:rFonts w:ascii="仿宋_GB2312" w:eastAsia="仿宋_GB2312" w:hAnsi="仿宋" w:cs="仿宋" w:hint="eastAsia"/>
          <w:sz w:val="32"/>
          <w:szCs w:val="32"/>
        </w:rPr>
        <w:t>卡妥善保存，出口车道交回</w:t>
      </w:r>
      <w:r>
        <w:rPr>
          <w:rFonts w:ascii="仿宋_GB2312" w:eastAsia="仿宋_GB2312" w:hAnsi="仿宋" w:cs="仿宋" w:hint="eastAsia"/>
          <w:sz w:val="32"/>
          <w:szCs w:val="32"/>
        </w:rPr>
        <w:t>CPC</w:t>
      </w:r>
      <w:r>
        <w:rPr>
          <w:rFonts w:ascii="仿宋_GB2312" w:eastAsia="仿宋_GB2312" w:hAnsi="仿宋" w:cs="仿宋" w:hint="eastAsia"/>
          <w:sz w:val="32"/>
          <w:szCs w:val="32"/>
        </w:rPr>
        <w:t>卡</w:t>
      </w:r>
      <w:r>
        <w:rPr>
          <w:rFonts w:ascii="仿宋_GB2312" w:eastAsia="仿宋_GB2312" w:hAnsi="仿宋" w:cs="仿宋" w:hint="eastAsia"/>
          <w:sz w:val="32"/>
          <w:szCs w:val="32"/>
        </w:rPr>
        <w:lastRenderedPageBreak/>
        <w:t>并缴纳通行费，造成</w:t>
      </w:r>
      <w:r>
        <w:rPr>
          <w:rFonts w:ascii="仿宋_GB2312" w:eastAsia="仿宋_GB2312" w:hAnsi="仿宋" w:cs="仿宋" w:hint="eastAsia"/>
          <w:sz w:val="32"/>
          <w:szCs w:val="32"/>
        </w:rPr>
        <w:t>CPC</w:t>
      </w:r>
      <w:r>
        <w:rPr>
          <w:rFonts w:ascii="仿宋_GB2312" w:eastAsia="仿宋_GB2312" w:hAnsi="仿宋" w:cs="仿宋" w:hint="eastAsia"/>
          <w:sz w:val="32"/>
          <w:szCs w:val="32"/>
        </w:rPr>
        <w:t>卡丢失或人为损坏的应支付卡片工本费。</w:t>
      </w:r>
    </w:p>
    <w:p w:rsidR="00E629A2" w:rsidRDefault="00F66363">
      <w:pPr>
        <w:numPr>
          <w:ilvl w:val="0"/>
          <w:numId w:val="1"/>
        </w:numPr>
        <w:spacing w:line="620" w:lineRule="exact"/>
        <w:ind w:left="0" w:firstLine="0"/>
        <w:rPr>
          <w:rFonts w:ascii="仿宋_GB2312" w:eastAsia="仿宋_GB2312" w:hAnsi="仿宋" w:cs="仿宋"/>
          <w:sz w:val="32"/>
          <w:szCs w:val="32"/>
        </w:rPr>
      </w:pPr>
      <w:r>
        <w:rPr>
          <w:rFonts w:ascii="仿宋_GB2312" w:eastAsia="仿宋_GB2312" w:hAnsi="仿宋" w:cs="仿宋" w:hint="eastAsia"/>
          <w:sz w:val="32"/>
          <w:szCs w:val="32"/>
        </w:rPr>
        <w:t>ETC</w:t>
      </w:r>
      <w:r>
        <w:rPr>
          <w:rFonts w:ascii="仿宋_GB2312" w:eastAsia="仿宋_GB2312" w:hAnsi="仿宋" w:cs="仿宋" w:hint="eastAsia"/>
          <w:sz w:val="32"/>
          <w:szCs w:val="32"/>
        </w:rPr>
        <w:t>用户驶入收费站区前须确认</w:t>
      </w:r>
      <w:r>
        <w:rPr>
          <w:rFonts w:ascii="仿宋_GB2312" w:eastAsia="仿宋_GB2312" w:hAnsi="仿宋" w:cs="仿宋" w:hint="eastAsia"/>
          <w:sz w:val="32"/>
          <w:szCs w:val="32"/>
        </w:rPr>
        <w:t>ETC</w:t>
      </w:r>
      <w:r>
        <w:rPr>
          <w:rFonts w:ascii="仿宋_GB2312" w:eastAsia="仿宋_GB2312" w:hAnsi="仿宋" w:cs="仿宋" w:hint="eastAsia"/>
          <w:sz w:val="32"/>
          <w:szCs w:val="32"/>
        </w:rPr>
        <w:t>账户及车载设备正常，检查</w:t>
      </w:r>
      <w:r>
        <w:rPr>
          <w:rFonts w:ascii="仿宋_GB2312" w:eastAsia="仿宋_GB2312" w:hAnsi="仿宋" w:cs="仿宋" w:hint="eastAsia"/>
          <w:sz w:val="32"/>
          <w:szCs w:val="32"/>
        </w:rPr>
        <w:t>ETC</w:t>
      </w:r>
      <w:r>
        <w:rPr>
          <w:rFonts w:ascii="仿宋_GB2312" w:eastAsia="仿宋_GB2312" w:hAnsi="仿宋" w:cs="仿宋" w:hint="eastAsia"/>
          <w:sz w:val="32"/>
          <w:szCs w:val="32"/>
        </w:rPr>
        <w:t>账户或绑定的银行账户是否异常或欠费，并检查</w:t>
      </w:r>
      <w:r>
        <w:rPr>
          <w:rFonts w:ascii="仿宋_GB2312" w:eastAsia="仿宋_GB2312" w:hAnsi="仿宋" w:cs="仿宋" w:hint="eastAsia"/>
          <w:sz w:val="32"/>
          <w:szCs w:val="32"/>
        </w:rPr>
        <w:t>ETC</w:t>
      </w:r>
      <w:r>
        <w:rPr>
          <w:rFonts w:ascii="仿宋_GB2312" w:eastAsia="仿宋_GB2312" w:hAnsi="仿宋" w:cs="仿宋" w:hint="eastAsia"/>
          <w:sz w:val="32"/>
          <w:szCs w:val="32"/>
        </w:rPr>
        <w:t>车载设备是否有拆卸、松动、电量不足等异常，确保</w:t>
      </w:r>
      <w:r>
        <w:rPr>
          <w:rFonts w:ascii="仿宋_GB2312" w:eastAsia="仿宋_GB2312" w:hAnsi="仿宋" w:cs="仿宋" w:hint="eastAsia"/>
          <w:sz w:val="32"/>
          <w:szCs w:val="32"/>
        </w:rPr>
        <w:t>ETC</w:t>
      </w:r>
      <w:r>
        <w:rPr>
          <w:rFonts w:ascii="仿宋_GB2312" w:eastAsia="仿宋_GB2312" w:hAnsi="仿宋" w:cs="仿宋" w:hint="eastAsia"/>
          <w:sz w:val="32"/>
          <w:szCs w:val="32"/>
        </w:rPr>
        <w:t>卡已插入车载设备中可正常使用。</w:t>
      </w:r>
    </w:p>
    <w:p w:rsidR="00E629A2" w:rsidRDefault="00F66363">
      <w:pPr>
        <w:numPr>
          <w:ilvl w:val="0"/>
          <w:numId w:val="1"/>
        </w:numPr>
        <w:spacing w:line="620" w:lineRule="exact"/>
        <w:ind w:left="0" w:firstLine="0"/>
        <w:rPr>
          <w:rFonts w:ascii="仿宋_GB2312" w:eastAsia="仿宋_GB2312" w:hAnsi="仿宋" w:cs="仿宋"/>
          <w:sz w:val="32"/>
          <w:szCs w:val="32"/>
        </w:rPr>
      </w:pPr>
      <w:r>
        <w:rPr>
          <w:rFonts w:ascii="仿宋_GB2312" w:eastAsia="仿宋_GB2312" w:hAnsi="仿宋" w:cs="仿宋" w:hint="eastAsia"/>
          <w:sz w:val="32"/>
          <w:szCs w:val="32"/>
        </w:rPr>
        <w:t>已安装</w:t>
      </w:r>
      <w:r>
        <w:rPr>
          <w:rFonts w:ascii="仿宋_GB2312" w:eastAsia="仿宋_GB2312" w:hAnsi="仿宋" w:cs="仿宋" w:hint="eastAsia"/>
          <w:sz w:val="32"/>
          <w:szCs w:val="32"/>
        </w:rPr>
        <w:t>ETC</w:t>
      </w:r>
      <w:r>
        <w:rPr>
          <w:rFonts w:ascii="仿宋_GB2312" w:eastAsia="仿宋_GB2312" w:hAnsi="仿宋" w:cs="仿宋" w:hint="eastAsia"/>
          <w:sz w:val="32"/>
          <w:szCs w:val="32"/>
        </w:rPr>
        <w:t>设备但使用现金缴费的车辆通行收费公路前须确认</w:t>
      </w:r>
      <w:r>
        <w:rPr>
          <w:rFonts w:ascii="仿宋_GB2312" w:eastAsia="仿宋_GB2312" w:hAnsi="仿宋" w:cs="仿宋" w:hint="eastAsia"/>
          <w:sz w:val="32"/>
          <w:szCs w:val="32"/>
        </w:rPr>
        <w:t>ETC</w:t>
      </w:r>
      <w:r>
        <w:rPr>
          <w:rFonts w:ascii="仿宋_GB2312" w:eastAsia="仿宋_GB2312" w:hAnsi="仿宋" w:cs="仿宋" w:hint="eastAsia"/>
          <w:sz w:val="32"/>
          <w:szCs w:val="32"/>
        </w:rPr>
        <w:t>卡已从车载设备中拔出。</w:t>
      </w:r>
    </w:p>
    <w:p w:rsidR="00E629A2" w:rsidRDefault="00F66363">
      <w:pPr>
        <w:numPr>
          <w:ilvl w:val="0"/>
          <w:numId w:val="1"/>
        </w:numPr>
        <w:spacing w:line="620" w:lineRule="exact"/>
        <w:ind w:left="0" w:firstLine="0"/>
        <w:rPr>
          <w:rFonts w:ascii="仿宋_GB2312" w:eastAsia="仿宋_GB2312" w:hAnsi="仿宋" w:cs="仿宋"/>
          <w:sz w:val="32"/>
          <w:szCs w:val="32"/>
        </w:rPr>
      </w:pPr>
      <w:r>
        <w:rPr>
          <w:rFonts w:ascii="仿宋_GB2312" w:eastAsia="仿宋_GB2312" w:hAnsi="仿宋" w:cs="仿宋" w:hint="eastAsia"/>
          <w:sz w:val="32"/>
          <w:szCs w:val="32"/>
        </w:rPr>
        <w:t>通行收费站区要配合工作人员确定车辆车型，必要时主动出示机动车行驶证等有效证件作为车型分类依据。</w:t>
      </w:r>
    </w:p>
    <w:p w:rsidR="00E629A2" w:rsidRDefault="00F66363">
      <w:pPr>
        <w:numPr>
          <w:ilvl w:val="0"/>
          <w:numId w:val="1"/>
        </w:numPr>
        <w:spacing w:line="620" w:lineRule="exact"/>
        <w:ind w:left="0" w:firstLine="0"/>
        <w:rPr>
          <w:rFonts w:ascii="仿宋_GB2312" w:eastAsia="仿宋_GB2312" w:hAnsi="仿宋" w:cs="仿宋"/>
          <w:sz w:val="32"/>
          <w:szCs w:val="32"/>
        </w:rPr>
      </w:pPr>
      <w:r>
        <w:rPr>
          <w:rFonts w:ascii="仿宋_GB2312" w:eastAsia="仿宋_GB2312" w:hAnsi="仿宋" w:cs="仿宋" w:hint="eastAsia"/>
          <w:sz w:val="32"/>
          <w:szCs w:val="32"/>
        </w:rPr>
        <w:t>驾驶货车、专项作业车通行收费站入口须选择称重检测车道通行，并配合收费站工作人员开展入口称重检测工作。</w:t>
      </w:r>
    </w:p>
    <w:p w:rsidR="00E629A2" w:rsidRDefault="00F66363">
      <w:pPr>
        <w:numPr>
          <w:ilvl w:val="0"/>
          <w:numId w:val="1"/>
        </w:numPr>
        <w:spacing w:line="620" w:lineRule="exact"/>
        <w:ind w:left="0" w:firstLine="0"/>
        <w:rPr>
          <w:rFonts w:ascii="仿宋_GB2312" w:eastAsia="仿宋_GB2312" w:hAnsi="仿宋" w:cs="仿宋"/>
          <w:sz w:val="32"/>
          <w:szCs w:val="32"/>
        </w:rPr>
      </w:pPr>
      <w:r>
        <w:rPr>
          <w:rFonts w:ascii="仿宋_GB2312" w:eastAsia="仿宋_GB2312" w:hAnsi="仿宋" w:cs="仿宋" w:hint="eastAsia"/>
          <w:sz w:val="32"/>
          <w:szCs w:val="32"/>
        </w:rPr>
        <w:t>运输鲜活农产品的车辆及运输跨区作业联合收割机（插秧机）的车辆，应选</w:t>
      </w:r>
      <w:r>
        <w:rPr>
          <w:rFonts w:ascii="仿宋_GB2312" w:eastAsia="仿宋_GB2312" w:hAnsi="仿宋" w:cs="仿宋" w:hint="eastAsia"/>
          <w:sz w:val="32"/>
          <w:szCs w:val="32"/>
        </w:rPr>
        <w:t>择收费站区绿色通道通行，并配合站区工作人员完成查验。</w:t>
      </w:r>
    </w:p>
    <w:p w:rsidR="00E629A2" w:rsidRDefault="00F66363">
      <w:pPr>
        <w:numPr>
          <w:ilvl w:val="0"/>
          <w:numId w:val="1"/>
        </w:numPr>
        <w:spacing w:line="620" w:lineRule="exact"/>
        <w:ind w:left="0" w:firstLine="0"/>
        <w:rPr>
          <w:rFonts w:ascii="仿宋_GB2312" w:eastAsia="仿宋_GB2312" w:hAnsi="仿宋" w:cs="仿宋"/>
          <w:sz w:val="32"/>
          <w:szCs w:val="32"/>
        </w:rPr>
      </w:pPr>
      <w:r>
        <w:rPr>
          <w:rFonts w:ascii="仿宋_GB2312" w:eastAsia="仿宋_GB2312" w:hAnsi="仿宋" w:cs="仿宋" w:hint="eastAsia"/>
          <w:sz w:val="32"/>
          <w:szCs w:val="32"/>
        </w:rPr>
        <w:t>收费站区严禁下列行为：</w:t>
      </w:r>
    </w:p>
    <w:p w:rsidR="00E629A2" w:rsidRDefault="00F66363">
      <w:pPr>
        <w:numPr>
          <w:ilvl w:val="0"/>
          <w:numId w:val="2"/>
        </w:numPr>
        <w:spacing w:line="620" w:lineRule="exact"/>
        <w:rPr>
          <w:rFonts w:ascii="仿宋_GB2312" w:eastAsia="仿宋_GB2312" w:hAnsi="仿宋" w:cs="仿宋"/>
          <w:sz w:val="32"/>
          <w:szCs w:val="32"/>
        </w:rPr>
      </w:pPr>
      <w:r>
        <w:rPr>
          <w:rFonts w:ascii="仿宋_GB2312" w:eastAsia="仿宋_GB2312" w:hAnsi="仿宋" w:cs="仿宋" w:hint="eastAsia"/>
          <w:sz w:val="32"/>
          <w:szCs w:val="32"/>
        </w:rPr>
        <w:t>行人、非机动车、拖拉机、轮式专用机械车、铰接式客车、全挂拖斗车以及其他设计最高时速低于七十公里的机动车进入；</w:t>
      </w:r>
    </w:p>
    <w:p w:rsidR="00E629A2" w:rsidRDefault="00F66363">
      <w:pPr>
        <w:numPr>
          <w:ilvl w:val="0"/>
          <w:numId w:val="2"/>
        </w:numPr>
        <w:spacing w:line="620" w:lineRule="exact"/>
        <w:rPr>
          <w:rFonts w:ascii="仿宋_GB2312" w:eastAsia="仿宋_GB2312" w:hAnsi="仿宋" w:cs="仿宋"/>
          <w:sz w:val="32"/>
          <w:szCs w:val="32"/>
        </w:rPr>
      </w:pPr>
      <w:r>
        <w:rPr>
          <w:rFonts w:ascii="仿宋_GB2312" w:eastAsia="仿宋_GB2312" w:hAnsi="仿宋" w:cs="仿宋" w:hint="eastAsia"/>
          <w:sz w:val="32"/>
          <w:szCs w:val="32"/>
        </w:rPr>
        <w:t>占用车道堵塞收费站区或阻碍收费站管理工作正常进行；</w:t>
      </w:r>
      <w:r>
        <w:rPr>
          <w:rFonts w:ascii="仿宋_GB2312" w:eastAsia="仿宋_GB2312" w:hAnsi="仿宋" w:cs="仿宋" w:hint="eastAsia"/>
          <w:sz w:val="32"/>
          <w:szCs w:val="32"/>
        </w:rPr>
        <w:t xml:space="preserve"> </w:t>
      </w:r>
    </w:p>
    <w:p w:rsidR="00E629A2" w:rsidRDefault="00F66363">
      <w:pPr>
        <w:numPr>
          <w:ilvl w:val="0"/>
          <w:numId w:val="2"/>
        </w:numPr>
        <w:spacing w:line="620" w:lineRule="exact"/>
        <w:rPr>
          <w:rFonts w:ascii="仿宋_GB2312" w:eastAsia="仿宋_GB2312" w:hAnsi="仿宋" w:cs="仿宋"/>
          <w:sz w:val="32"/>
          <w:szCs w:val="32"/>
        </w:rPr>
      </w:pPr>
      <w:r>
        <w:rPr>
          <w:rFonts w:ascii="仿宋_GB2312" w:eastAsia="仿宋_GB2312" w:hAnsi="仿宋" w:cs="仿宋" w:hint="eastAsia"/>
          <w:sz w:val="32"/>
          <w:szCs w:val="32"/>
        </w:rPr>
        <w:lastRenderedPageBreak/>
        <w:t>驾驶车辆抢行、加塞、强行并线等行为；</w:t>
      </w:r>
    </w:p>
    <w:p w:rsidR="00E629A2" w:rsidRDefault="00F66363">
      <w:pPr>
        <w:spacing w:line="620" w:lineRule="exact"/>
        <w:rPr>
          <w:rFonts w:ascii="仿宋_GB2312" w:eastAsia="仿宋_GB2312" w:hAnsi="仿宋" w:cs="仿宋"/>
          <w:sz w:val="32"/>
          <w:szCs w:val="32"/>
        </w:rPr>
      </w:pPr>
      <w:r>
        <w:rPr>
          <w:rFonts w:ascii="仿宋_GB2312" w:eastAsia="仿宋_GB2312" w:hAnsi="仿宋" w:cs="仿宋" w:hint="eastAsia"/>
          <w:sz w:val="32"/>
          <w:szCs w:val="32"/>
        </w:rPr>
        <w:t>（四）驾驶车辆冲卡、损坏收费站区设备设施；</w:t>
      </w:r>
    </w:p>
    <w:p w:rsidR="00E629A2" w:rsidRDefault="00F66363">
      <w:pPr>
        <w:spacing w:line="620" w:lineRule="exact"/>
        <w:rPr>
          <w:rFonts w:ascii="仿宋_GB2312" w:eastAsia="仿宋_GB2312" w:hAnsi="仿宋" w:cs="仿宋"/>
          <w:sz w:val="32"/>
          <w:szCs w:val="32"/>
        </w:rPr>
      </w:pPr>
      <w:r>
        <w:rPr>
          <w:rFonts w:ascii="仿宋_GB2312" w:eastAsia="仿宋_GB2312" w:hAnsi="仿宋" w:cs="仿宋" w:hint="eastAsia"/>
          <w:sz w:val="32"/>
          <w:szCs w:val="32"/>
        </w:rPr>
        <w:t>（五）驾驶超载超限车辆驶入（已办理超限运输许可的车辆除外）；</w:t>
      </w:r>
      <w:r>
        <w:rPr>
          <w:rFonts w:ascii="仿宋_GB2312" w:eastAsia="仿宋_GB2312" w:hAnsi="仿宋" w:cs="仿宋" w:hint="eastAsia"/>
          <w:sz w:val="32"/>
          <w:szCs w:val="32"/>
        </w:rPr>
        <w:t xml:space="preserve"> </w:t>
      </w:r>
    </w:p>
    <w:p w:rsidR="00E629A2" w:rsidRDefault="00F66363">
      <w:pPr>
        <w:spacing w:line="620" w:lineRule="exact"/>
        <w:rPr>
          <w:rFonts w:ascii="仿宋_GB2312" w:eastAsia="仿宋_GB2312" w:hAnsi="仿宋" w:cs="仿宋"/>
          <w:sz w:val="32"/>
          <w:szCs w:val="32"/>
        </w:rPr>
      </w:pPr>
      <w:r>
        <w:rPr>
          <w:rFonts w:ascii="仿宋_GB2312" w:eastAsia="仿宋_GB2312" w:hAnsi="仿宋" w:cs="仿宋" w:hint="eastAsia"/>
          <w:sz w:val="32"/>
          <w:szCs w:val="32"/>
        </w:rPr>
        <w:t>（六）逃交、拒交、少交车辆通行费；</w:t>
      </w:r>
    </w:p>
    <w:p w:rsidR="00E629A2" w:rsidRDefault="00F66363">
      <w:pPr>
        <w:spacing w:line="620" w:lineRule="exact"/>
        <w:rPr>
          <w:rFonts w:ascii="仿宋_GB2312" w:eastAsia="仿宋_GB2312" w:hAnsi="仿宋" w:cs="仿宋"/>
          <w:sz w:val="32"/>
          <w:szCs w:val="32"/>
        </w:rPr>
      </w:pPr>
      <w:r>
        <w:rPr>
          <w:rFonts w:ascii="仿宋_GB2312" w:eastAsia="仿宋_GB2312" w:hAnsi="仿宋" w:cs="仿宋" w:hint="eastAsia"/>
          <w:sz w:val="32"/>
          <w:szCs w:val="32"/>
        </w:rPr>
        <w:t>（七）以暴力、威胁、侮辱等手段妨碍收费站区工作人员履行职责；</w:t>
      </w:r>
    </w:p>
    <w:p w:rsidR="00E629A2" w:rsidRDefault="00F66363">
      <w:pPr>
        <w:spacing w:line="620" w:lineRule="exact"/>
        <w:rPr>
          <w:rFonts w:ascii="仿宋_GB2312" w:eastAsia="仿宋_GB2312" w:hAnsi="仿宋" w:cs="仿宋"/>
          <w:sz w:val="32"/>
          <w:szCs w:val="32"/>
        </w:rPr>
      </w:pPr>
      <w:r>
        <w:rPr>
          <w:rFonts w:ascii="仿宋_GB2312" w:eastAsia="仿宋_GB2312" w:hAnsi="仿宋" w:cs="仿宋" w:hint="eastAsia"/>
          <w:sz w:val="32"/>
          <w:szCs w:val="32"/>
        </w:rPr>
        <w:t>（八）驾驶未安装</w:t>
      </w:r>
      <w:r>
        <w:rPr>
          <w:rFonts w:ascii="仿宋_GB2312" w:eastAsia="仿宋_GB2312" w:hAnsi="仿宋" w:cs="仿宋" w:hint="eastAsia"/>
          <w:sz w:val="32"/>
          <w:szCs w:val="32"/>
        </w:rPr>
        <w:t>ETC</w:t>
      </w:r>
      <w:r>
        <w:rPr>
          <w:rFonts w:ascii="仿宋_GB2312" w:eastAsia="仿宋_GB2312" w:hAnsi="仿宋" w:cs="仿宋" w:hint="eastAsia"/>
          <w:sz w:val="32"/>
          <w:szCs w:val="32"/>
        </w:rPr>
        <w:t>车载</w:t>
      </w:r>
      <w:r>
        <w:rPr>
          <w:rFonts w:ascii="仿宋_GB2312" w:eastAsia="仿宋_GB2312" w:hAnsi="仿宋" w:cs="仿宋" w:hint="eastAsia"/>
          <w:sz w:val="32"/>
          <w:szCs w:val="32"/>
        </w:rPr>
        <w:t>设备或车载设备未</w:t>
      </w:r>
      <w:r>
        <w:rPr>
          <w:rFonts w:ascii="仿宋_GB2312" w:eastAsia="仿宋_GB2312" w:hAnsi="仿宋" w:cs="仿宋" w:hint="eastAsia"/>
          <w:sz w:val="32"/>
          <w:szCs w:val="32"/>
        </w:rPr>
        <w:t>正常</w:t>
      </w:r>
      <w:r>
        <w:rPr>
          <w:rFonts w:ascii="仿宋_GB2312" w:eastAsia="仿宋_GB2312" w:hAnsi="仿宋" w:cs="仿宋" w:hint="eastAsia"/>
          <w:sz w:val="32"/>
          <w:szCs w:val="32"/>
        </w:rPr>
        <w:t>插</w:t>
      </w:r>
      <w:r>
        <w:rPr>
          <w:rFonts w:ascii="仿宋_GB2312" w:eastAsia="仿宋_GB2312" w:hAnsi="仿宋" w:cs="仿宋" w:hint="eastAsia"/>
          <w:sz w:val="32"/>
          <w:szCs w:val="32"/>
        </w:rPr>
        <w:t>入</w:t>
      </w:r>
      <w:r>
        <w:rPr>
          <w:rFonts w:ascii="仿宋_GB2312" w:eastAsia="仿宋_GB2312" w:hAnsi="仿宋" w:cs="仿宋" w:hint="eastAsia"/>
          <w:sz w:val="32"/>
          <w:szCs w:val="32"/>
        </w:rPr>
        <w:t>ETC</w:t>
      </w:r>
      <w:r>
        <w:rPr>
          <w:rFonts w:ascii="仿宋_GB2312" w:eastAsia="仿宋_GB2312" w:hAnsi="仿宋" w:cs="仿宋" w:hint="eastAsia"/>
          <w:sz w:val="32"/>
          <w:szCs w:val="32"/>
        </w:rPr>
        <w:t>卡的车辆通行</w:t>
      </w:r>
      <w:r>
        <w:rPr>
          <w:rFonts w:ascii="仿宋_GB2312" w:eastAsia="仿宋_GB2312" w:hAnsi="仿宋" w:cs="仿宋" w:hint="eastAsia"/>
          <w:sz w:val="32"/>
          <w:szCs w:val="32"/>
        </w:rPr>
        <w:t>ETC</w:t>
      </w:r>
      <w:r>
        <w:rPr>
          <w:rFonts w:ascii="仿宋_GB2312" w:eastAsia="仿宋_GB2312" w:hAnsi="仿宋" w:cs="仿宋" w:hint="eastAsia"/>
          <w:sz w:val="32"/>
          <w:szCs w:val="32"/>
        </w:rPr>
        <w:t>专用车道；</w:t>
      </w:r>
    </w:p>
    <w:p w:rsidR="00E629A2" w:rsidRDefault="00F66363">
      <w:pPr>
        <w:spacing w:line="620" w:lineRule="exact"/>
        <w:rPr>
          <w:rFonts w:ascii="仿宋_GB2312" w:eastAsia="仿宋_GB2312" w:hAnsi="仿宋" w:cs="仿宋"/>
          <w:sz w:val="32"/>
          <w:szCs w:val="32"/>
        </w:rPr>
      </w:pPr>
      <w:r>
        <w:rPr>
          <w:rFonts w:ascii="仿宋_GB2312" w:eastAsia="仿宋_GB2312" w:hAnsi="仿宋" w:cs="仿宋" w:hint="eastAsia"/>
          <w:sz w:val="32"/>
          <w:szCs w:val="32"/>
        </w:rPr>
        <w:t>（九）同一车辆上放置多套</w:t>
      </w:r>
      <w:r>
        <w:rPr>
          <w:rFonts w:ascii="仿宋_GB2312" w:eastAsia="仿宋_GB2312" w:hAnsi="仿宋" w:cs="仿宋" w:hint="eastAsia"/>
          <w:sz w:val="32"/>
          <w:szCs w:val="32"/>
        </w:rPr>
        <w:t>ETC</w:t>
      </w:r>
      <w:r>
        <w:rPr>
          <w:rFonts w:ascii="仿宋_GB2312" w:eastAsia="仿宋_GB2312" w:hAnsi="仿宋" w:cs="仿宋" w:hint="eastAsia"/>
          <w:sz w:val="32"/>
          <w:szCs w:val="32"/>
        </w:rPr>
        <w:t>车载设备或多张高速公路复合通行卡（</w:t>
      </w:r>
      <w:r>
        <w:rPr>
          <w:rFonts w:ascii="仿宋_GB2312" w:eastAsia="仿宋_GB2312" w:hAnsi="仿宋" w:cs="仿宋" w:hint="eastAsia"/>
          <w:sz w:val="32"/>
          <w:szCs w:val="32"/>
        </w:rPr>
        <w:t>CPC</w:t>
      </w:r>
      <w:r>
        <w:rPr>
          <w:rFonts w:ascii="仿宋_GB2312" w:eastAsia="仿宋_GB2312" w:hAnsi="仿宋" w:cs="仿宋" w:hint="eastAsia"/>
          <w:sz w:val="32"/>
          <w:szCs w:val="32"/>
        </w:rPr>
        <w:t>卡）；</w:t>
      </w:r>
    </w:p>
    <w:p w:rsidR="00E629A2" w:rsidRDefault="00F66363">
      <w:pPr>
        <w:pStyle w:val="aa"/>
        <w:spacing w:line="620" w:lineRule="exact"/>
        <w:ind w:firstLineChars="0" w:firstLine="0"/>
        <w:rPr>
          <w:rFonts w:ascii="仿宋_GB2312" w:eastAsia="仿宋_GB2312" w:hAnsi="仿宋" w:cs="仿宋"/>
          <w:sz w:val="32"/>
          <w:szCs w:val="32"/>
        </w:rPr>
      </w:pPr>
      <w:r>
        <w:rPr>
          <w:rFonts w:ascii="仿宋_GB2312" w:eastAsia="仿宋_GB2312" w:hAnsi="仿宋" w:cs="仿宋" w:hint="eastAsia"/>
          <w:sz w:val="32"/>
          <w:szCs w:val="32"/>
        </w:rPr>
        <w:t>（十）随意丢弃、遗撒、倾倒、堆放、处置各类垃圾；</w:t>
      </w:r>
    </w:p>
    <w:p w:rsidR="00E629A2" w:rsidRDefault="00F66363">
      <w:pPr>
        <w:pStyle w:val="aa"/>
        <w:spacing w:line="620" w:lineRule="exact"/>
        <w:ind w:firstLineChars="0" w:firstLine="0"/>
        <w:rPr>
          <w:rFonts w:ascii="仿宋_GB2312" w:eastAsia="仿宋_GB2312" w:hAnsi="仿宋" w:cs="仿宋"/>
          <w:sz w:val="32"/>
          <w:szCs w:val="32"/>
        </w:rPr>
      </w:pPr>
      <w:r>
        <w:rPr>
          <w:rFonts w:ascii="仿宋_GB2312" w:eastAsia="仿宋_GB2312" w:hAnsi="仿宋" w:cs="仿宋" w:hint="eastAsia"/>
          <w:sz w:val="32"/>
          <w:szCs w:val="32"/>
        </w:rPr>
        <w:t>（十一）其他扰乱收费站区运营秩序的行为。</w:t>
      </w:r>
    </w:p>
    <w:p w:rsidR="00E629A2" w:rsidRDefault="00F66363">
      <w:pPr>
        <w:spacing w:line="620" w:lineRule="exact"/>
        <w:rPr>
          <w:rFonts w:ascii="仿宋_GB2312" w:eastAsia="仿宋_GB2312" w:hAnsi="仿宋" w:cs="仿宋"/>
          <w:sz w:val="32"/>
          <w:szCs w:val="32"/>
        </w:rPr>
      </w:pPr>
      <w:r>
        <w:rPr>
          <w:rFonts w:ascii="仿宋_GB2312" w:eastAsia="仿宋_GB2312" w:hAnsi="仿宋" w:cs="仿宋" w:hint="eastAsia"/>
          <w:b/>
          <w:sz w:val="32"/>
          <w:szCs w:val="32"/>
        </w:rPr>
        <w:t>第十二条</w:t>
      </w:r>
      <w:r>
        <w:rPr>
          <w:rFonts w:ascii="仿宋_GB2312" w:eastAsia="仿宋_GB2312" w:hAnsi="仿宋" w:cs="仿宋" w:hint="eastAsia"/>
          <w:sz w:val="32"/>
          <w:szCs w:val="32"/>
        </w:rPr>
        <w:t xml:space="preserve"> </w:t>
      </w:r>
      <w:r>
        <w:rPr>
          <w:rFonts w:ascii="仿宋_GB2312" w:eastAsia="仿宋_GB2312" w:hAnsi="仿宋" w:cs="仿宋" w:hint="eastAsia"/>
          <w:sz w:val="32"/>
          <w:szCs w:val="32"/>
        </w:rPr>
        <w:t>收费公路收费站区范围内发生突发事件时，车辆驾驶人及乘车人应配合站区工作人员现场管理，保护自己及其他车辆的人身财产安全。</w:t>
      </w:r>
    </w:p>
    <w:p w:rsidR="00E629A2" w:rsidRDefault="00F66363">
      <w:pPr>
        <w:spacing w:line="620" w:lineRule="exact"/>
        <w:rPr>
          <w:rFonts w:ascii="仿宋_GB2312" w:eastAsia="仿宋_GB2312" w:hAnsi="仿宋" w:cs="仿宋"/>
          <w:sz w:val="32"/>
          <w:szCs w:val="32"/>
        </w:rPr>
      </w:pPr>
      <w:r>
        <w:rPr>
          <w:rFonts w:ascii="仿宋_GB2312" w:eastAsia="仿宋_GB2312" w:hAnsi="仿宋" w:cs="仿宋" w:hint="eastAsia"/>
          <w:b/>
          <w:sz w:val="32"/>
          <w:szCs w:val="32"/>
        </w:rPr>
        <w:t>第十三条</w:t>
      </w:r>
      <w:r>
        <w:rPr>
          <w:rFonts w:ascii="仿宋_GB2312" w:eastAsia="仿宋_GB2312" w:hAnsi="仿宋" w:cs="仿宋" w:hint="eastAsia"/>
          <w:sz w:val="32"/>
          <w:szCs w:val="32"/>
        </w:rPr>
        <w:t xml:space="preserve"> </w:t>
      </w:r>
      <w:r>
        <w:rPr>
          <w:rFonts w:ascii="仿宋_GB2312" w:eastAsia="仿宋_GB2312" w:hAnsi="仿宋" w:cs="仿宋" w:hint="eastAsia"/>
          <w:sz w:val="32"/>
          <w:szCs w:val="32"/>
        </w:rPr>
        <w:t>对收费公路收费站区管理及服务存在异议可向收费站区经营管理单位或北京市交通行业主管部门进行反映或投诉。</w:t>
      </w:r>
    </w:p>
    <w:p w:rsidR="00E629A2" w:rsidRDefault="00F66363">
      <w:pPr>
        <w:spacing w:line="620" w:lineRule="exact"/>
        <w:rPr>
          <w:rFonts w:ascii="仿宋_GB2312" w:eastAsia="仿宋_GB2312" w:hAnsi="仿宋" w:cs="仿宋"/>
          <w:sz w:val="32"/>
          <w:szCs w:val="32"/>
        </w:rPr>
      </w:pPr>
      <w:r>
        <w:rPr>
          <w:rFonts w:ascii="仿宋_GB2312" w:eastAsia="仿宋_GB2312" w:hAnsi="仿宋" w:cs="仿宋" w:hint="eastAsia"/>
          <w:b/>
          <w:sz w:val="32"/>
          <w:szCs w:val="32"/>
        </w:rPr>
        <w:t>第十四条</w:t>
      </w:r>
      <w:r>
        <w:rPr>
          <w:rFonts w:ascii="仿宋_GB2312" w:eastAsia="仿宋_GB2312" w:hAnsi="仿宋" w:cs="仿宋" w:hint="eastAsia"/>
          <w:sz w:val="32"/>
          <w:szCs w:val="32"/>
        </w:rPr>
        <w:t xml:space="preserve"> </w:t>
      </w:r>
      <w:r>
        <w:rPr>
          <w:rFonts w:ascii="仿宋_GB2312" w:eastAsia="仿宋_GB2312" w:hAnsi="仿宋" w:cs="仿宋" w:hint="eastAsia"/>
          <w:sz w:val="32"/>
          <w:szCs w:val="32"/>
        </w:rPr>
        <w:t>本守则自印发之日起施行。</w:t>
      </w:r>
    </w:p>
    <w:sectPr w:rsidR="00E629A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363" w:rsidRDefault="00F66363" w:rsidP="003E018B">
      <w:r>
        <w:separator/>
      </w:r>
    </w:p>
  </w:endnote>
  <w:endnote w:type="continuationSeparator" w:id="0">
    <w:p w:rsidR="00F66363" w:rsidRDefault="00F66363" w:rsidP="003E0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363" w:rsidRDefault="00F66363" w:rsidP="003E018B">
      <w:r>
        <w:separator/>
      </w:r>
    </w:p>
  </w:footnote>
  <w:footnote w:type="continuationSeparator" w:id="0">
    <w:p w:rsidR="00F66363" w:rsidRDefault="00F66363" w:rsidP="003E018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7691E"/>
    <w:multiLevelType w:val="multilevel"/>
    <w:tmpl w:val="0A07691E"/>
    <w:lvl w:ilvl="0">
      <w:start w:val="1"/>
      <w:numFmt w:val="japaneseCounting"/>
      <w:lvlText w:val="第%1条"/>
      <w:lvlJc w:val="left"/>
      <w:pPr>
        <w:ind w:left="1125" w:hanging="1125"/>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FDE5C37"/>
    <w:multiLevelType w:val="singleLevel"/>
    <w:tmpl w:val="1FDE5C37"/>
    <w:lvl w:ilvl="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631"/>
    <w:rsid w:val="00003B8B"/>
    <w:rsid w:val="00023F4D"/>
    <w:rsid w:val="00075C40"/>
    <w:rsid w:val="00097EA4"/>
    <w:rsid w:val="000A28AA"/>
    <w:rsid w:val="000E57EA"/>
    <w:rsid w:val="00156A0D"/>
    <w:rsid w:val="00176C88"/>
    <w:rsid w:val="001A774B"/>
    <w:rsid w:val="00214DF4"/>
    <w:rsid w:val="002214B8"/>
    <w:rsid w:val="002961F0"/>
    <w:rsid w:val="002B51FA"/>
    <w:rsid w:val="003317FE"/>
    <w:rsid w:val="00343C70"/>
    <w:rsid w:val="00370B72"/>
    <w:rsid w:val="0039181F"/>
    <w:rsid w:val="00395B9C"/>
    <w:rsid w:val="003B3F6D"/>
    <w:rsid w:val="003D5118"/>
    <w:rsid w:val="003E018B"/>
    <w:rsid w:val="003E3C21"/>
    <w:rsid w:val="00416F74"/>
    <w:rsid w:val="00493A9E"/>
    <w:rsid w:val="004D3F88"/>
    <w:rsid w:val="004E6CCC"/>
    <w:rsid w:val="004F1AC4"/>
    <w:rsid w:val="00523737"/>
    <w:rsid w:val="006223CD"/>
    <w:rsid w:val="006524D5"/>
    <w:rsid w:val="00663618"/>
    <w:rsid w:val="00687437"/>
    <w:rsid w:val="0069503B"/>
    <w:rsid w:val="00697C8E"/>
    <w:rsid w:val="006C0D7D"/>
    <w:rsid w:val="007C1F98"/>
    <w:rsid w:val="007E286C"/>
    <w:rsid w:val="007E2982"/>
    <w:rsid w:val="007F2C40"/>
    <w:rsid w:val="00800694"/>
    <w:rsid w:val="00854818"/>
    <w:rsid w:val="008848C8"/>
    <w:rsid w:val="009168C6"/>
    <w:rsid w:val="009832FA"/>
    <w:rsid w:val="009C61B7"/>
    <w:rsid w:val="00A02EBC"/>
    <w:rsid w:val="00A12269"/>
    <w:rsid w:val="00AA1E4D"/>
    <w:rsid w:val="00B14F0D"/>
    <w:rsid w:val="00B15EB5"/>
    <w:rsid w:val="00B419A7"/>
    <w:rsid w:val="00B843B7"/>
    <w:rsid w:val="00BB6631"/>
    <w:rsid w:val="00C65254"/>
    <w:rsid w:val="00CD5079"/>
    <w:rsid w:val="00D10CDB"/>
    <w:rsid w:val="00D17CE8"/>
    <w:rsid w:val="00DC3BD1"/>
    <w:rsid w:val="00E33E4A"/>
    <w:rsid w:val="00E629A2"/>
    <w:rsid w:val="00E92A8B"/>
    <w:rsid w:val="00EB6E23"/>
    <w:rsid w:val="00ED1D8F"/>
    <w:rsid w:val="00F66363"/>
    <w:rsid w:val="00F77DCE"/>
    <w:rsid w:val="00FD697B"/>
    <w:rsid w:val="02E16523"/>
    <w:rsid w:val="03DC4FF9"/>
    <w:rsid w:val="06060AB3"/>
    <w:rsid w:val="0A703425"/>
    <w:rsid w:val="0A8C03FF"/>
    <w:rsid w:val="0AE23C14"/>
    <w:rsid w:val="0D740872"/>
    <w:rsid w:val="0D7422E4"/>
    <w:rsid w:val="0F595E67"/>
    <w:rsid w:val="0FB2142D"/>
    <w:rsid w:val="0FC65FD8"/>
    <w:rsid w:val="101B37A7"/>
    <w:rsid w:val="108660D7"/>
    <w:rsid w:val="12D5092C"/>
    <w:rsid w:val="13511AC3"/>
    <w:rsid w:val="135E5AA2"/>
    <w:rsid w:val="142E58E6"/>
    <w:rsid w:val="15D50A1A"/>
    <w:rsid w:val="18661C27"/>
    <w:rsid w:val="1C2A4BAF"/>
    <w:rsid w:val="20652697"/>
    <w:rsid w:val="234D6FB8"/>
    <w:rsid w:val="238D706D"/>
    <w:rsid w:val="2942555B"/>
    <w:rsid w:val="2C66477C"/>
    <w:rsid w:val="3010673E"/>
    <w:rsid w:val="30E0181C"/>
    <w:rsid w:val="3429365D"/>
    <w:rsid w:val="34874870"/>
    <w:rsid w:val="36B4686C"/>
    <w:rsid w:val="372205AF"/>
    <w:rsid w:val="37496E86"/>
    <w:rsid w:val="419868FD"/>
    <w:rsid w:val="41F1288C"/>
    <w:rsid w:val="42C17FDE"/>
    <w:rsid w:val="48AB1122"/>
    <w:rsid w:val="48B41B8D"/>
    <w:rsid w:val="48EE6EAC"/>
    <w:rsid w:val="49724CDB"/>
    <w:rsid w:val="497B7A09"/>
    <w:rsid w:val="4F9C3A1A"/>
    <w:rsid w:val="5278259B"/>
    <w:rsid w:val="535A01BA"/>
    <w:rsid w:val="536C73F7"/>
    <w:rsid w:val="55E72B7F"/>
    <w:rsid w:val="562F4831"/>
    <w:rsid w:val="568E48AB"/>
    <w:rsid w:val="584405A1"/>
    <w:rsid w:val="58D32396"/>
    <w:rsid w:val="5A4D6232"/>
    <w:rsid w:val="5E3045A0"/>
    <w:rsid w:val="5E362E29"/>
    <w:rsid w:val="5FA06854"/>
    <w:rsid w:val="604D41DB"/>
    <w:rsid w:val="610E2D3D"/>
    <w:rsid w:val="63F60DA6"/>
    <w:rsid w:val="658740DA"/>
    <w:rsid w:val="6690540F"/>
    <w:rsid w:val="678C034B"/>
    <w:rsid w:val="69702A3E"/>
    <w:rsid w:val="6B6A17DE"/>
    <w:rsid w:val="6F13773D"/>
    <w:rsid w:val="6F3844A9"/>
    <w:rsid w:val="6FB709A5"/>
    <w:rsid w:val="719F585E"/>
    <w:rsid w:val="72517462"/>
    <w:rsid w:val="72FF187E"/>
    <w:rsid w:val="758B2FE8"/>
    <w:rsid w:val="7BCE2CD2"/>
    <w:rsid w:val="7CC052EF"/>
    <w:rsid w:val="7F2816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88CC9"/>
  <w15:docId w15:val="{1E3D7E79-0488-4DD5-8358-A868C40AE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uiPriority w:val="9"/>
    <w:unhideWhenUsed/>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footer"/>
    <w:basedOn w:val="a"/>
    <w:link w:val="a5"/>
    <w:uiPriority w:val="99"/>
    <w:unhideWhenUsed/>
    <w:qFormat/>
    <w:pPr>
      <w:tabs>
        <w:tab w:val="center" w:pos="4153"/>
        <w:tab w:val="right" w:pos="8306"/>
      </w:tabs>
      <w:snapToGrid w:val="0"/>
      <w:jc w:val="left"/>
    </w:pPr>
    <w:rPr>
      <w:sz w:val="18"/>
      <w:szCs w:val="18"/>
    </w:rPr>
  </w:style>
  <w:style w:type="paragraph" w:styleId="a6">
    <w:name w:val="header"/>
    <w:basedOn w:val="a"/>
    <w:link w:val="a7"/>
    <w:uiPriority w:val="99"/>
    <w:unhideWhenUsed/>
    <w:qFormat/>
    <w:pPr>
      <w:pBdr>
        <w:bottom w:val="single" w:sz="6" w:space="1" w:color="auto"/>
      </w:pBdr>
      <w:tabs>
        <w:tab w:val="center" w:pos="4153"/>
        <w:tab w:val="right" w:pos="8306"/>
      </w:tabs>
      <w:snapToGrid w:val="0"/>
      <w:jc w:val="center"/>
    </w:pPr>
    <w:rPr>
      <w:sz w:val="18"/>
      <w:szCs w:val="18"/>
    </w:rPr>
  </w:style>
  <w:style w:type="table" w:styleId="a8">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semiHidden/>
    <w:unhideWhenUsed/>
    <w:qFormat/>
    <w:rPr>
      <w:color w:val="0000FF"/>
      <w:u w:val="single"/>
    </w:rPr>
  </w:style>
  <w:style w:type="paragraph" w:styleId="aa">
    <w:name w:val="List Paragraph"/>
    <w:basedOn w:val="a"/>
    <w:uiPriority w:val="34"/>
    <w:qFormat/>
    <w:pPr>
      <w:ind w:firstLineChars="200" w:firstLine="420"/>
    </w:pPr>
  </w:style>
  <w:style w:type="character" w:customStyle="1" w:styleId="a7">
    <w:name w:val="页眉 字符"/>
    <w:basedOn w:val="a0"/>
    <w:link w:val="a6"/>
    <w:uiPriority w:val="99"/>
    <w:qFormat/>
    <w:rPr>
      <w:rFonts w:asciiTheme="minorHAnsi" w:eastAsiaTheme="minorEastAsia" w:hAnsiTheme="minorHAnsi" w:cstheme="minorBidi"/>
      <w:kern w:val="2"/>
      <w:sz w:val="18"/>
      <w:szCs w:val="18"/>
    </w:rPr>
  </w:style>
  <w:style w:type="character" w:customStyle="1" w:styleId="a5">
    <w:name w:val="页脚 字符"/>
    <w:basedOn w:val="a0"/>
    <w:link w:val="a4"/>
    <w:uiPriority w:val="99"/>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604</Words>
  <Characters>647</Characters>
  <Application>Microsoft Office Word</Application>
  <DocSecurity>0</DocSecurity>
  <Lines>92</Lines>
  <Paragraphs>48</Paragraphs>
  <ScaleCrop>false</ScaleCrop>
  <Company>Lenovo</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417</dc:creator>
  <cp:lastModifiedBy>侯学敏</cp:lastModifiedBy>
  <cp:revision>5</cp:revision>
  <dcterms:created xsi:type="dcterms:W3CDTF">2020-06-18T06:53:00Z</dcterms:created>
  <dcterms:modified xsi:type="dcterms:W3CDTF">2020-10-27T08:08:00Z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