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51" w:rsidRDefault="001B6551" w:rsidP="001B6551">
      <w:pPr>
        <w:spacing w:line="560" w:lineRule="exact"/>
        <w:ind w:firstLineChars="200" w:firstLine="1044"/>
        <w:jc w:val="center"/>
        <w:rPr>
          <w:rFonts w:asciiTheme="majorEastAsia" w:eastAsiaTheme="majorEastAsia" w:hAnsiTheme="majorEastAsia" w:cstheme="majorEastAsia"/>
          <w:b/>
          <w:bCs/>
          <w:sz w:val="52"/>
          <w:szCs w:val="52"/>
        </w:rPr>
      </w:pPr>
    </w:p>
    <w:p w:rsidR="001B6551" w:rsidRDefault="001B6551" w:rsidP="001B6551">
      <w:pPr>
        <w:spacing w:line="560" w:lineRule="exact"/>
        <w:ind w:firstLineChars="200" w:firstLine="1044"/>
        <w:jc w:val="center"/>
        <w:rPr>
          <w:rFonts w:asciiTheme="majorEastAsia" w:eastAsiaTheme="majorEastAsia" w:hAnsiTheme="majorEastAsia" w:cstheme="majorEastAsia"/>
          <w:b/>
          <w:bCs/>
          <w:sz w:val="52"/>
          <w:szCs w:val="52"/>
        </w:rPr>
      </w:pPr>
    </w:p>
    <w:p w:rsidR="001B6551" w:rsidRDefault="00AA329C" w:rsidP="001B6551">
      <w:pPr>
        <w:spacing w:line="560" w:lineRule="exact"/>
        <w:ind w:firstLineChars="400" w:firstLine="2088"/>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北京市交通委员会</w:t>
      </w:r>
    </w:p>
    <w:p w:rsidR="00B44D1B" w:rsidRDefault="00AA329C">
      <w:pPr>
        <w:spacing w:line="560" w:lineRule="exact"/>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2022年度部门整体绩效评价报告</w:t>
      </w:r>
    </w:p>
    <w:p w:rsidR="001B6551" w:rsidRDefault="001B6551" w:rsidP="001B6551">
      <w:pPr>
        <w:pStyle w:val="a3"/>
        <w:spacing w:line="560" w:lineRule="exact"/>
        <w:ind w:firstLineChars="200" w:firstLine="600"/>
      </w:pPr>
    </w:p>
    <w:p w:rsidR="001B6551" w:rsidRDefault="001B6551" w:rsidP="001B6551">
      <w:pPr>
        <w:pStyle w:val="a3"/>
        <w:spacing w:line="560" w:lineRule="exact"/>
        <w:ind w:firstLineChars="200" w:firstLine="600"/>
      </w:pPr>
    </w:p>
    <w:p w:rsidR="001B6551" w:rsidRDefault="001B6551" w:rsidP="001B6551">
      <w:pPr>
        <w:spacing w:line="560" w:lineRule="exact"/>
        <w:ind w:firstLineChars="200" w:firstLine="640"/>
        <w:jc w:val="center"/>
        <w:rPr>
          <w:rFonts w:eastAsia="黑体"/>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1B6551" w:rsidP="001B6551">
      <w:pPr>
        <w:spacing w:line="560" w:lineRule="exact"/>
        <w:ind w:firstLineChars="200" w:firstLine="640"/>
        <w:jc w:val="left"/>
        <w:rPr>
          <w:rFonts w:asciiTheme="minorEastAsia" w:eastAsiaTheme="minorEastAsia" w:hAnsiTheme="minorEastAsia" w:cstheme="minorEastAsia"/>
          <w:sz w:val="32"/>
          <w:szCs w:val="32"/>
        </w:rPr>
      </w:pPr>
    </w:p>
    <w:p w:rsidR="001B6551" w:rsidRDefault="00AA329C" w:rsidP="001B6551">
      <w:pPr>
        <w:spacing w:line="560" w:lineRule="exact"/>
        <w:ind w:firstLineChars="200" w:firstLine="640"/>
        <w:jc w:val="center"/>
        <w:rPr>
          <w:rFonts w:eastAsia="黑体"/>
          <w:sz w:val="32"/>
          <w:szCs w:val="32"/>
        </w:rPr>
      </w:pPr>
      <w:r>
        <w:rPr>
          <w:rFonts w:eastAsia="黑体" w:hint="eastAsia"/>
          <w:sz w:val="32"/>
          <w:szCs w:val="32"/>
        </w:rPr>
        <w:t>北京市交通委员会</w:t>
      </w:r>
    </w:p>
    <w:p w:rsidR="00412452" w:rsidRDefault="00AA329C" w:rsidP="00F52AB4">
      <w:pPr>
        <w:spacing w:line="560" w:lineRule="exact"/>
        <w:ind w:firstLineChars="200" w:firstLine="640"/>
        <w:jc w:val="center"/>
        <w:rPr>
          <w:rFonts w:eastAsia="黑体"/>
          <w:sz w:val="32"/>
          <w:szCs w:val="32"/>
        </w:rPr>
        <w:sectPr w:rsidR="00412452">
          <w:footerReference w:type="even" r:id="rId9"/>
          <w:footerReference w:type="default" r:id="rId10"/>
          <w:footerReference w:type="first" r:id="rId11"/>
          <w:pgSz w:w="11906" w:h="16838"/>
          <w:pgMar w:top="1440" w:right="1800" w:bottom="1440" w:left="1800" w:header="851" w:footer="992" w:gutter="0"/>
          <w:cols w:space="425"/>
          <w:docGrid w:type="lines" w:linePitch="312"/>
        </w:sectPr>
      </w:pPr>
      <w:r>
        <w:rPr>
          <w:rFonts w:eastAsia="黑体" w:hint="eastAsia"/>
          <w:sz w:val="32"/>
          <w:szCs w:val="32"/>
        </w:rPr>
        <w:t>二〇二三年五月</w:t>
      </w:r>
    </w:p>
    <w:p w:rsidR="001B6551" w:rsidRPr="001B6551" w:rsidRDefault="001B6551" w:rsidP="001B6551">
      <w:pPr>
        <w:spacing w:line="560" w:lineRule="exact"/>
        <w:ind w:firstLineChars="200" w:firstLine="800"/>
        <w:jc w:val="center"/>
        <w:rPr>
          <w:rFonts w:ascii="方正小标宋简体" w:eastAsia="方正小标宋简体" w:hAnsi="黑体" w:cs="黑体"/>
          <w:sz w:val="40"/>
          <w:szCs w:val="36"/>
        </w:rPr>
      </w:pPr>
      <w:r w:rsidRPr="001B6551">
        <w:rPr>
          <w:rFonts w:ascii="方正小标宋简体" w:eastAsia="方正小标宋简体" w:hAnsi="黑体" w:cs="黑体" w:hint="eastAsia"/>
          <w:sz w:val="40"/>
          <w:szCs w:val="36"/>
        </w:rPr>
        <w:lastRenderedPageBreak/>
        <w:t>北京市交通委员会</w:t>
      </w:r>
    </w:p>
    <w:p w:rsidR="001B6551" w:rsidRPr="001B6551" w:rsidRDefault="001B6551" w:rsidP="001B6551">
      <w:pPr>
        <w:spacing w:line="560" w:lineRule="exact"/>
        <w:ind w:firstLineChars="200" w:firstLine="800"/>
        <w:jc w:val="center"/>
        <w:rPr>
          <w:rFonts w:ascii="方正小标宋简体" w:eastAsia="方正小标宋简体" w:hAnsi="黑体" w:cs="黑体"/>
          <w:sz w:val="40"/>
          <w:szCs w:val="36"/>
        </w:rPr>
      </w:pPr>
      <w:r w:rsidRPr="001B6551">
        <w:rPr>
          <w:rFonts w:ascii="方正小标宋简体" w:eastAsia="方正小标宋简体" w:hAnsi="黑体" w:cs="黑体"/>
          <w:sz w:val="40"/>
          <w:szCs w:val="36"/>
        </w:rPr>
        <w:t>2022</w:t>
      </w:r>
      <w:r w:rsidRPr="001B6551">
        <w:rPr>
          <w:rFonts w:ascii="方正小标宋简体" w:eastAsia="方正小标宋简体" w:hAnsi="黑体" w:cs="黑体" w:hint="eastAsia"/>
          <w:sz w:val="40"/>
          <w:szCs w:val="36"/>
        </w:rPr>
        <w:t>年度部门整体绩效评价报告</w:t>
      </w:r>
    </w:p>
    <w:p w:rsidR="001B6551" w:rsidRDefault="001B6551" w:rsidP="001B6551">
      <w:pPr>
        <w:spacing w:line="560" w:lineRule="exact"/>
        <w:ind w:firstLineChars="200" w:firstLine="420"/>
        <w:jc w:val="center"/>
        <w:rPr>
          <w:rFonts w:ascii="仿宋_GB2312"/>
          <w:szCs w:val="30"/>
        </w:rPr>
      </w:pPr>
    </w:p>
    <w:p w:rsidR="001B6551" w:rsidRDefault="00AA329C" w:rsidP="001B6551">
      <w:pPr>
        <w:pStyle w:val="1"/>
        <w:keepNext w:val="0"/>
        <w:keepLines w:val="0"/>
        <w:spacing w:before="0" w:after="0" w:line="560" w:lineRule="exact"/>
        <w:ind w:firstLineChars="200" w:firstLine="640"/>
        <w:rPr>
          <w:rFonts w:ascii="黑体" w:eastAsia="黑体" w:hAnsi="黑体" w:cs="黑体"/>
          <w:b w:val="0"/>
          <w:bCs/>
          <w:sz w:val="32"/>
          <w:szCs w:val="32"/>
        </w:rPr>
      </w:pPr>
      <w:bookmarkStart w:id="0" w:name="_Toc10176"/>
      <w:r>
        <w:rPr>
          <w:rFonts w:ascii="黑体" w:eastAsia="黑体" w:hAnsi="黑体" w:cs="黑体" w:hint="eastAsia"/>
          <w:b w:val="0"/>
          <w:bCs/>
          <w:sz w:val="32"/>
          <w:szCs w:val="32"/>
        </w:rPr>
        <w:t>一、部门概况</w:t>
      </w:r>
      <w:bookmarkEnd w:id="0"/>
    </w:p>
    <w:p w:rsidR="001B6551" w:rsidRDefault="00AA329C" w:rsidP="001B6551">
      <w:pPr>
        <w:pStyle w:val="2"/>
        <w:keepNext w:val="0"/>
        <w:keepLines w:val="0"/>
        <w:spacing w:before="0" w:after="0" w:line="560" w:lineRule="exact"/>
        <w:ind w:firstLineChars="200" w:firstLine="640"/>
        <w:rPr>
          <w:rFonts w:ascii="楷体_GB2312" w:eastAsia="楷体_GB2312" w:hAnsi="楷体_GB2312" w:cs="楷体_GB2312"/>
          <w:b w:val="0"/>
          <w:bCs/>
        </w:rPr>
      </w:pPr>
      <w:bookmarkStart w:id="1" w:name="_Toc6273"/>
      <w:r>
        <w:rPr>
          <w:rFonts w:ascii="楷体_GB2312" w:eastAsia="楷体_GB2312" w:hAnsi="楷体_GB2312" w:cs="楷体_GB2312" w:hint="eastAsia"/>
          <w:b w:val="0"/>
          <w:bCs/>
        </w:rPr>
        <w:t>（一）机构设置及职责工作任务情况</w:t>
      </w:r>
      <w:bookmarkEnd w:id="1"/>
    </w:p>
    <w:p w:rsidR="001B6551" w:rsidRPr="001B6551" w:rsidRDefault="001B6551" w:rsidP="001B6551">
      <w:pPr>
        <w:spacing w:line="560" w:lineRule="exact"/>
        <w:ind w:firstLineChars="200" w:firstLine="643"/>
        <w:rPr>
          <w:rFonts w:ascii="仿宋_GB2312" w:eastAsia="仿宋_GB2312" w:hAnsi="仿宋_GB2312" w:cs="仿宋_GB2312"/>
          <w:b/>
          <w:sz w:val="32"/>
          <w:szCs w:val="32"/>
        </w:rPr>
      </w:pPr>
      <w:r w:rsidRPr="001B6551">
        <w:rPr>
          <w:rFonts w:ascii="仿宋_GB2312" w:eastAsia="仿宋_GB2312" w:hAnsi="仿宋_GB2312" w:cs="仿宋_GB2312"/>
          <w:b/>
          <w:sz w:val="32"/>
          <w:szCs w:val="32"/>
        </w:rPr>
        <w:t>1.机构设置</w:t>
      </w:r>
    </w:p>
    <w:p w:rsidR="001B6551" w:rsidRDefault="00AA329C" w:rsidP="001B65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北京市交通委员会（以下简称“市交通委”）根据《中共北京市委办公厅 北京市人民政府办公厅关于印发&lt;北京市交通委员会职能配置、内设机构和人员编制规定&gt;的通知》（京办字〔2019〕47号）等文件设立，是负责北京市城乡交通统筹发展、交通运输和交通基础设施综合管理的市政府组成部门。市交通委为一级预算部门，内设处室39个，部门预算共计32个单位。</w:t>
      </w:r>
    </w:p>
    <w:p w:rsidR="001B6551" w:rsidRDefault="00AA329C" w:rsidP="001B65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截至2022年底，我委在职人员3105人，其中：行政人员1171人，参照公务员法管理事业人员896人，</w:t>
      </w:r>
      <w:proofErr w:type="gramStart"/>
      <w:r>
        <w:rPr>
          <w:rFonts w:ascii="仿宋_GB2312" w:eastAsia="仿宋_GB2312" w:hAnsi="仿宋_GB2312" w:cs="仿宋_GB2312" w:hint="eastAsia"/>
          <w:sz w:val="32"/>
          <w:szCs w:val="32"/>
        </w:rPr>
        <w:t>非参公事</w:t>
      </w:r>
      <w:proofErr w:type="gramEnd"/>
      <w:r>
        <w:rPr>
          <w:rFonts w:ascii="仿宋_GB2312" w:eastAsia="仿宋_GB2312" w:hAnsi="仿宋_GB2312" w:cs="仿宋_GB2312" w:hint="eastAsia"/>
          <w:sz w:val="32"/>
          <w:szCs w:val="32"/>
        </w:rPr>
        <w:t>业人员1038人</w:t>
      </w:r>
      <w:r w:rsidR="00946CF8">
        <w:rPr>
          <w:rFonts w:ascii="仿宋_GB2312" w:eastAsia="仿宋_GB2312" w:hAnsi="仿宋_GB2312" w:cs="仿宋_GB2312" w:hint="eastAsia"/>
          <w:sz w:val="32"/>
          <w:szCs w:val="32"/>
        </w:rPr>
        <w:t>。</w:t>
      </w:r>
    </w:p>
    <w:p w:rsidR="001B6551" w:rsidRPr="001B6551" w:rsidRDefault="001B6551" w:rsidP="001B6551">
      <w:pPr>
        <w:spacing w:line="560" w:lineRule="exact"/>
        <w:ind w:firstLineChars="200" w:firstLine="643"/>
        <w:rPr>
          <w:rFonts w:ascii="仿宋_GB2312" w:eastAsia="仿宋_GB2312" w:hAnsi="仿宋_GB2312" w:cs="仿宋_GB2312"/>
          <w:b/>
          <w:sz w:val="32"/>
          <w:szCs w:val="32"/>
        </w:rPr>
      </w:pPr>
      <w:r w:rsidRPr="001B6551">
        <w:rPr>
          <w:rFonts w:ascii="仿宋_GB2312" w:eastAsia="仿宋_GB2312" w:hAnsi="仿宋_GB2312" w:cs="仿宋_GB2312"/>
          <w:b/>
          <w:sz w:val="32"/>
          <w:szCs w:val="32"/>
        </w:rPr>
        <w:t>2.部门主要职责及工作任务</w:t>
      </w:r>
    </w:p>
    <w:p w:rsidR="001B6551" w:rsidRDefault="00AA329C" w:rsidP="001B65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落实国家关于交通运输方面的法律法规、规章和政策，起草本市相关地方性法规草案、政府规章草案和政策措施，并组织实施。拟订交通运输发展战略，对交通运输行业改革与发展中的重大问题进行调查研究，并提出对策建议。</w:t>
      </w:r>
      <w:r>
        <w:rPr>
          <w:rFonts w:ascii="仿宋_GB2312" w:eastAsia="仿宋_GB2312" w:hAnsi="仿宋_GB2312" w:cs="仿宋_GB2312" w:hint="eastAsia"/>
          <w:sz w:val="32"/>
          <w:szCs w:val="32"/>
        </w:rPr>
        <w:br/>
        <w:t xml:space="preserve">　　（2）组织编制本市交通基础设施建设和交通运输行业的中长期发展规划。参与编制综合交通规划、交通专项规划、</w:t>
      </w:r>
      <w:r>
        <w:rPr>
          <w:rFonts w:ascii="仿宋_GB2312" w:eastAsia="仿宋_GB2312" w:hAnsi="仿宋_GB2312" w:cs="仿宋_GB2312" w:hint="eastAsia"/>
          <w:sz w:val="32"/>
          <w:szCs w:val="32"/>
        </w:rPr>
        <w:lastRenderedPageBreak/>
        <w:t>城市轨道交通建设规划及相关规划实施的评估工作。负责大型城建项目交通影响评价的审核。负责市管道路建设项目规划设计方案中交通内容的审查。参与市级交通基础设施建设项目初步设计的审查。统筹推进重大交通基础设施建设，会同相关部门建立交通基础设施建设项目库。</w:t>
      </w:r>
      <w:r>
        <w:rPr>
          <w:rFonts w:ascii="仿宋_GB2312" w:eastAsia="仿宋_GB2312" w:hAnsi="仿宋_GB2312" w:cs="仿宋_GB2312" w:hint="eastAsia"/>
          <w:sz w:val="32"/>
          <w:szCs w:val="32"/>
        </w:rPr>
        <w:br/>
        <w:t xml:space="preserve">　　（3）组织编制市级交通基础设施建设项目前期工作建议计划和年度建设建议计划。组织编制交通基础设施维修养护以及交通运输行业年度计划，并组织实施和监督管理。负责提出交通基础设施建设和维修养护财政性资金安排意见。参与交通发展建设投融资政策的研究和实施。负责城市轨道交通和其他公共交通特许经营项目的具体实施和监督管理工作。提出交通运输行业收费政策及标准的建议。</w:t>
      </w:r>
      <w:r>
        <w:rPr>
          <w:rFonts w:ascii="仿宋_GB2312" w:eastAsia="仿宋_GB2312" w:hAnsi="仿宋_GB2312" w:cs="仿宋_GB2312" w:hint="eastAsia"/>
          <w:sz w:val="32"/>
          <w:szCs w:val="32"/>
        </w:rPr>
        <w:br/>
        <w:t xml:space="preserve">　　（4）负责推进区域交通一体化协同发展。负责本行政区域内铁路、民航和邮政等综合运输的协调工作。组织拟订各类重点交通运输服务保障方案，并监督实施。参与编制现代物流业发展战略和规划，并提出有关政策和标准建议。</w:t>
      </w:r>
      <w:r>
        <w:rPr>
          <w:rFonts w:ascii="仿宋_GB2312" w:eastAsia="仿宋_GB2312" w:hAnsi="仿宋_GB2312" w:cs="仿宋_GB2312" w:hint="eastAsia"/>
          <w:sz w:val="32"/>
          <w:szCs w:val="32"/>
        </w:rPr>
        <w:br/>
        <w:t xml:space="preserve">　　（5）负责本市交通基础设施的监督管理和交通运输业的行业管理，拟订有关政策和标准。负责公路建设市场和道路、水路运输市场监督管理，协调推进交通运输产业发展。负责交通运输行业的行政许可和信用体系建设工作。指导交通运输行业节能减排工作。</w:t>
      </w:r>
      <w:r>
        <w:rPr>
          <w:rFonts w:ascii="仿宋_GB2312" w:eastAsia="仿宋_GB2312" w:hAnsi="仿宋_GB2312" w:cs="仿宋_GB2312" w:hint="eastAsia"/>
          <w:sz w:val="32"/>
          <w:szCs w:val="32"/>
        </w:rPr>
        <w:br/>
        <w:t xml:space="preserve">　　（6）负责本市交通基础设施和交通运输行业安全生产的监督管理。负责交通运输安全应急方面的组织协调，协助有关部门调查处理交通运输行业重大安全事故。负责重大突</w:t>
      </w:r>
      <w:r>
        <w:rPr>
          <w:rFonts w:ascii="仿宋_GB2312" w:eastAsia="仿宋_GB2312" w:hAnsi="仿宋_GB2312" w:cs="仿宋_GB2312" w:hint="eastAsia"/>
          <w:sz w:val="32"/>
          <w:szCs w:val="32"/>
        </w:rPr>
        <w:lastRenderedPageBreak/>
        <w:t>发事件中的运输组织和交通设施保障。负责铁路监护道口安全的管理工作。承担北京市交通安全应急指挥部的具体工作。</w:t>
      </w:r>
      <w:r>
        <w:rPr>
          <w:rFonts w:ascii="仿宋_GB2312" w:eastAsia="仿宋_GB2312" w:hAnsi="仿宋_GB2312" w:cs="仿宋_GB2312" w:hint="eastAsia"/>
          <w:sz w:val="32"/>
          <w:szCs w:val="32"/>
        </w:rPr>
        <w:br/>
        <w:t xml:space="preserve">　　（7）负责组织协调本市交通综合治理工作。负责统筹停车管理工作，负责互联网租赁自行车的行业管理。</w:t>
      </w:r>
      <w:r>
        <w:rPr>
          <w:rFonts w:ascii="仿宋_GB2312" w:eastAsia="仿宋_GB2312" w:hAnsi="仿宋_GB2312" w:cs="仿宋_GB2312" w:hint="eastAsia"/>
          <w:sz w:val="32"/>
          <w:szCs w:val="32"/>
        </w:rPr>
        <w:br/>
        <w:t xml:space="preserve">　　（8）负责本市地方海事工作。</w:t>
      </w:r>
      <w:r>
        <w:rPr>
          <w:rFonts w:ascii="仿宋_GB2312" w:eastAsia="仿宋_GB2312" w:hAnsi="仿宋_GB2312" w:cs="仿宋_GB2312" w:hint="eastAsia"/>
          <w:sz w:val="32"/>
          <w:szCs w:val="32"/>
        </w:rPr>
        <w:br/>
        <w:t xml:space="preserve">　　（9）制定本市交通运输科技和智能交通发展规划、年度计划、政策。组织指导交通运输信息化建设，推动智能交通系统建设。组织指导重大交通科技项目立项、研究、开发和成果推广、应用工作。</w:t>
      </w:r>
      <w:r>
        <w:rPr>
          <w:rFonts w:ascii="仿宋_GB2312" w:eastAsia="仿宋_GB2312" w:hAnsi="仿宋_GB2312" w:cs="仿宋_GB2312" w:hint="eastAsia"/>
          <w:sz w:val="32"/>
          <w:szCs w:val="32"/>
        </w:rPr>
        <w:br/>
        <w:t xml:space="preserve">　　（10）负责本市交通运输行业的宣传教育工作，组织开展交通运输行业精神文明建设工作。负责交通运输行业对外交流与合作。</w:t>
      </w:r>
      <w:r>
        <w:rPr>
          <w:rFonts w:ascii="仿宋_GB2312" w:eastAsia="仿宋_GB2312" w:hAnsi="仿宋_GB2312" w:cs="仿宋_GB2312" w:hint="eastAsia"/>
          <w:sz w:val="32"/>
          <w:szCs w:val="32"/>
        </w:rPr>
        <w:br/>
        <w:t xml:space="preserve">　　（11）指导本市交通运输综合执法工作。</w:t>
      </w:r>
      <w:r>
        <w:rPr>
          <w:rFonts w:ascii="仿宋_GB2312" w:eastAsia="仿宋_GB2312" w:hAnsi="仿宋_GB2312" w:cs="仿宋_GB2312" w:hint="eastAsia"/>
          <w:sz w:val="32"/>
          <w:szCs w:val="32"/>
        </w:rPr>
        <w:br/>
        <w:t xml:space="preserve">　　（12）指导、协调和监督各区的交通运输工作。</w:t>
      </w:r>
      <w:r>
        <w:rPr>
          <w:rFonts w:ascii="仿宋_GB2312" w:eastAsia="仿宋_GB2312" w:hAnsi="仿宋_GB2312" w:cs="仿宋_GB2312" w:hint="eastAsia"/>
          <w:sz w:val="32"/>
          <w:szCs w:val="32"/>
        </w:rPr>
        <w:br/>
        <w:t xml:space="preserve">　　（13）承担北京市国防动员委员会交通战备办公室工作。</w:t>
      </w:r>
      <w:r>
        <w:rPr>
          <w:rFonts w:ascii="仿宋_GB2312" w:eastAsia="仿宋_GB2312" w:hAnsi="仿宋_GB2312" w:cs="仿宋_GB2312" w:hint="eastAsia"/>
          <w:sz w:val="32"/>
          <w:szCs w:val="32"/>
        </w:rPr>
        <w:br/>
        <w:t xml:space="preserve">　　（14）完成市委、市政府交办的其他任务。</w:t>
      </w:r>
    </w:p>
    <w:p w:rsidR="001B6551" w:rsidRDefault="00AA329C" w:rsidP="001B6551">
      <w:pPr>
        <w:pStyle w:val="2"/>
        <w:keepNext w:val="0"/>
        <w:keepLines w:val="0"/>
        <w:spacing w:before="0" w:after="0" w:line="560" w:lineRule="exact"/>
        <w:ind w:firstLineChars="200" w:firstLine="640"/>
        <w:rPr>
          <w:rFonts w:ascii="楷体_GB2312" w:eastAsia="楷体_GB2312" w:hAnsi="楷体_GB2312" w:cs="楷体_GB2312"/>
          <w:b w:val="0"/>
          <w:bCs/>
        </w:rPr>
      </w:pPr>
      <w:bookmarkStart w:id="2" w:name="_Toc12401"/>
      <w:r>
        <w:rPr>
          <w:rFonts w:ascii="楷体_GB2312" w:eastAsia="楷体_GB2312" w:hAnsi="楷体_GB2312" w:cs="楷体_GB2312" w:hint="eastAsia"/>
          <w:b w:val="0"/>
          <w:bCs/>
        </w:rPr>
        <w:t>（二）部门整体绩效目标设立情况</w:t>
      </w:r>
      <w:bookmarkEnd w:id="2"/>
    </w:p>
    <w:p w:rsidR="00F24EF0" w:rsidRDefault="00F24EF0" w:rsidP="00F52A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2年市交通</w:t>
      </w:r>
      <w:proofErr w:type="gramStart"/>
      <w:r>
        <w:rPr>
          <w:rFonts w:ascii="仿宋_GB2312" w:eastAsia="仿宋_GB2312" w:hAnsi="仿宋_GB2312" w:cs="仿宋_GB2312" w:hint="eastAsia"/>
          <w:sz w:val="32"/>
          <w:szCs w:val="32"/>
        </w:rPr>
        <w:t>委部门</w:t>
      </w:r>
      <w:proofErr w:type="gramEnd"/>
      <w:r>
        <w:rPr>
          <w:rFonts w:ascii="仿宋_GB2312" w:eastAsia="仿宋_GB2312" w:hAnsi="仿宋_GB2312" w:cs="仿宋_GB2312" w:hint="eastAsia"/>
          <w:sz w:val="32"/>
          <w:szCs w:val="32"/>
        </w:rPr>
        <w:t>整体支出总目标分为</w:t>
      </w:r>
      <w:r w:rsidR="004C0779">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个方面，分别为：一、完成市委市政府实事、折子工程等重点工作。 二、健全交通运输行业法律法规及标准规范体系，做好本市交通运输行业行政许可和备案工作，行业管理水平得到进一步提升。 三、完善地面公交网络，提高轨道交通安全运营水平，提升公共交通服务保障能力，提高绿色出行比例，推动停车、旅游等行业健康发展。 四、完善行业科技创新体系，不断提升行业服务管理信息化水平，推进行业节能减排工作。</w:t>
      </w:r>
    </w:p>
    <w:p w:rsidR="00B44D1B" w:rsidRDefault="00AA32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市交通</w:t>
      </w:r>
      <w:proofErr w:type="gramStart"/>
      <w:r>
        <w:rPr>
          <w:rFonts w:ascii="仿宋_GB2312" w:eastAsia="仿宋_GB2312" w:hAnsi="仿宋_GB2312" w:cs="仿宋_GB2312" w:hint="eastAsia"/>
          <w:sz w:val="32"/>
          <w:szCs w:val="32"/>
        </w:rPr>
        <w:t>委部门</w:t>
      </w:r>
      <w:proofErr w:type="gramEnd"/>
      <w:r>
        <w:rPr>
          <w:rFonts w:ascii="仿宋_GB2312" w:eastAsia="仿宋_GB2312" w:hAnsi="仿宋_GB2312" w:cs="仿宋_GB2312" w:hint="eastAsia"/>
          <w:sz w:val="32"/>
          <w:szCs w:val="32"/>
        </w:rPr>
        <w:t>整体绩效目标，依据《北京城市总体规划（2016-2035年）》《北京市“十四五”时期交通发展建设规划》、市委市政府和交通运输部下达的年度重点任务，结合市交通委的交通建设、养护、管理、执法等职责而设置，依据充分、合理</w:t>
      </w:r>
      <w:r w:rsidR="00F03812">
        <w:rPr>
          <w:rFonts w:ascii="仿宋_GB2312" w:eastAsia="仿宋_GB2312" w:hAnsi="仿宋_GB2312" w:cs="仿宋_GB2312" w:hint="eastAsia"/>
          <w:sz w:val="32"/>
          <w:szCs w:val="32"/>
        </w:rPr>
        <w:t>，</w:t>
      </w:r>
      <w:r w:rsidR="00946CF8">
        <w:rPr>
          <w:rFonts w:ascii="仿宋_GB2312" w:eastAsia="仿宋_GB2312" w:hAnsi="仿宋_GB2312" w:cs="仿宋_GB2312" w:hint="eastAsia"/>
          <w:sz w:val="32"/>
          <w:szCs w:val="32"/>
        </w:rPr>
        <w:t>与市交通委的职责、任务良好匹配。</w:t>
      </w:r>
    </w:p>
    <w:p w:rsidR="001B6551" w:rsidRDefault="00AA329C" w:rsidP="001B6551">
      <w:pPr>
        <w:pStyle w:val="1"/>
        <w:keepNext w:val="0"/>
        <w:keepLines w:val="0"/>
        <w:spacing w:before="0" w:after="0" w:line="560" w:lineRule="exact"/>
        <w:ind w:firstLineChars="200" w:firstLine="640"/>
        <w:rPr>
          <w:rFonts w:ascii="黑体" w:eastAsia="黑体" w:hAnsi="黑体" w:cs="黑体"/>
          <w:b w:val="0"/>
          <w:bCs/>
          <w:sz w:val="32"/>
          <w:szCs w:val="32"/>
        </w:rPr>
      </w:pPr>
      <w:bookmarkStart w:id="3" w:name="_Toc11130"/>
      <w:r>
        <w:rPr>
          <w:rFonts w:ascii="黑体" w:eastAsia="黑体" w:hAnsi="黑体" w:cs="黑体" w:hint="eastAsia"/>
          <w:b w:val="0"/>
          <w:bCs/>
          <w:sz w:val="32"/>
          <w:szCs w:val="32"/>
        </w:rPr>
        <w:t>二、当年预算执行情况</w:t>
      </w:r>
      <w:bookmarkEnd w:id="3"/>
    </w:p>
    <w:p w:rsidR="00F52AB4" w:rsidRDefault="00AA329C" w:rsidP="00F52AB4">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2022年年初全年预算数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779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595.72</w:t>
      </w:r>
      <w:r>
        <w:rPr>
          <w:rFonts w:ascii="仿宋_GB2312" w:eastAsia="仿宋_GB2312" w:hAnsi="仿宋_GB2312" w:cs="仿宋_GB2312" w:hint="eastAsia"/>
          <w:sz w:val="32"/>
          <w:szCs w:val="32"/>
        </w:rPr>
        <w:t>万元，其中，基本支出预算数</w:t>
      </w:r>
      <w:r>
        <w:rPr>
          <w:rFonts w:ascii="仿宋_GB2312" w:eastAsia="仿宋_GB2312" w:hAnsi="仿宋_GB2312" w:cs="仿宋_GB2312"/>
          <w:sz w:val="32"/>
          <w:szCs w:val="32"/>
        </w:rPr>
        <w:t>123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288.05</w:t>
      </w:r>
      <w:r>
        <w:rPr>
          <w:rFonts w:ascii="仿宋_GB2312" w:eastAsia="仿宋_GB2312" w:hAnsi="仿宋_GB2312" w:cs="仿宋_GB2312" w:hint="eastAsia"/>
          <w:sz w:val="32"/>
          <w:szCs w:val="32"/>
        </w:rPr>
        <w:t>万元，项目支出预算数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651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718.0</w:t>
      </w:r>
      <w:r>
        <w:rPr>
          <w:rFonts w:ascii="仿宋_GB2312" w:eastAsia="仿宋_GB2312" w:hAnsi="仿宋_GB2312" w:cs="仿宋_GB2312" w:hint="eastAsia"/>
          <w:sz w:val="32"/>
          <w:szCs w:val="32"/>
        </w:rPr>
        <w:t>9万元，其他支出预算数</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589.5</w:t>
      </w:r>
      <w:r>
        <w:rPr>
          <w:rFonts w:ascii="仿宋_GB2312" w:eastAsia="仿宋_GB2312" w:hAnsi="仿宋_GB2312" w:cs="仿宋_GB2312" w:hint="eastAsia"/>
          <w:sz w:val="32"/>
          <w:szCs w:val="32"/>
        </w:rPr>
        <w:t>8万元。预算调整后全年预算</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万元，其中基本支出预算数</w:t>
      </w:r>
      <w:r>
        <w:rPr>
          <w:rFonts w:ascii="仿宋_GB2312" w:eastAsia="仿宋_GB2312" w:hAnsi="仿宋_GB2312" w:cs="仿宋_GB2312"/>
          <w:sz w:val="32"/>
          <w:szCs w:val="32"/>
        </w:rPr>
        <w:t>151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2万元，项目支出预算数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869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756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5万元，其他支出预算数</w:t>
      </w:r>
      <w:r>
        <w:rPr>
          <w:rFonts w:ascii="仿宋_GB2312" w:eastAsia="仿宋_GB2312" w:hAnsi="仿宋_GB2312" w:cs="仿宋_GB2312"/>
          <w:sz w:val="32"/>
          <w:szCs w:val="32"/>
        </w:rPr>
        <w:t>63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9万元。资金总体支出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948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098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2万元，其中基本支出</w:t>
      </w:r>
      <w:r>
        <w:rPr>
          <w:rFonts w:ascii="仿宋_GB2312" w:eastAsia="仿宋_GB2312" w:hAnsi="仿宋_GB2312" w:cs="仿宋_GB2312"/>
          <w:sz w:val="32"/>
          <w:szCs w:val="32"/>
        </w:rPr>
        <w:t>131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577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8万元，项目支出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489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万元，其他支出</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8万元。预算执行率为</w:t>
      </w:r>
      <w:r>
        <w:rPr>
          <w:rFonts w:ascii="仿宋_GB2312" w:eastAsia="仿宋_GB2312" w:hAnsi="仿宋_GB2312" w:cs="仿宋_GB2312"/>
          <w:sz w:val="32"/>
          <w:szCs w:val="32"/>
        </w:rPr>
        <w:t>96.40</w:t>
      </w:r>
      <w:r>
        <w:rPr>
          <w:rFonts w:ascii="仿宋_GB2312" w:eastAsia="仿宋_GB2312" w:hAnsi="仿宋_GB2312" w:cs="仿宋_GB2312" w:hint="eastAsia"/>
          <w:sz w:val="32"/>
          <w:szCs w:val="32"/>
        </w:rPr>
        <w:t>%。</w:t>
      </w:r>
    </w:p>
    <w:p w:rsidR="001B6551" w:rsidRPr="001B6551" w:rsidRDefault="00AA329C" w:rsidP="00A70C64">
      <w:pPr>
        <w:spacing w:line="560" w:lineRule="exact"/>
        <w:ind w:firstLineChars="200" w:firstLine="640"/>
        <w:rPr>
          <w:rFonts w:ascii="黑体" w:hAnsi="黑体" w:cs="宋体"/>
          <w:b/>
          <w:szCs w:val="32"/>
        </w:rPr>
      </w:pPr>
      <w:bookmarkStart w:id="4" w:name="_Toc11646"/>
      <w:r w:rsidRPr="00F52AB4">
        <w:rPr>
          <w:rFonts w:ascii="黑体" w:eastAsia="黑体" w:hAnsi="黑体" w:cs="宋体" w:hint="eastAsia"/>
          <w:sz w:val="32"/>
          <w:szCs w:val="32"/>
        </w:rPr>
        <w:t>三、整体绩效目标实现情况</w:t>
      </w:r>
      <w:bookmarkEnd w:id="4"/>
    </w:p>
    <w:p w:rsidR="001B6551" w:rsidRPr="001B6551" w:rsidRDefault="001B6551" w:rsidP="001B6551">
      <w:pPr>
        <w:spacing w:line="560" w:lineRule="exact"/>
        <w:ind w:firstLineChars="200" w:firstLine="640"/>
        <w:rPr>
          <w:rFonts w:ascii="楷体_GB2312" w:eastAsia="楷体_GB2312" w:hAnsi="Calibri" w:cs="宋体"/>
          <w:sz w:val="32"/>
          <w:szCs w:val="32"/>
        </w:rPr>
      </w:pPr>
      <w:r w:rsidRPr="001B6551">
        <w:rPr>
          <w:rFonts w:ascii="楷体_GB2312" w:eastAsia="楷体_GB2312" w:hAnsi="Calibri" w:cs="宋体" w:hint="eastAsia"/>
          <w:sz w:val="32"/>
          <w:szCs w:val="32"/>
        </w:rPr>
        <w:t>（一）</w:t>
      </w:r>
      <w:bookmarkStart w:id="5" w:name="_Toc23303"/>
      <w:r w:rsidRPr="001B6551">
        <w:rPr>
          <w:rFonts w:ascii="楷体_GB2312" w:eastAsia="楷体_GB2312" w:hAnsi="Calibri" w:cs="宋体" w:hint="eastAsia"/>
          <w:sz w:val="32"/>
          <w:szCs w:val="32"/>
        </w:rPr>
        <w:t>产出完成情况分析</w:t>
      </w:r>
    </w:p>
    <w:p w:rsidR="001B6551" w:rsidRPr="001B6551" w:rsidRDefault="001B6551" w:rsidP="001B6551">
      <w:pPr>
        <w:spacing w:line="560" w:lineRule="exact"/>
        <w:ind w:firstLineChars="200" w:firstLine="643"/>
        <w:rPr>
          <w:rFonts w:ascii="仿宋_GB2312" w:eastAsia="仿宋_GB2312" w:hAnsi="Calibri" w:cs="宋体"/>
          <w:b/>
          <w:sz w:val="32"/>
          <w:szCs w:val="32"/>
        </w:rPr>
      </w:pPr>
      <w:r w:rsidRPr="001B6551">
        <w:rPr>
          <w:rFonts w:ascii="仿宋_GB2312" w:eastAsia="仿宋_GB2312" w:hAnsi="Calibri" w:cs="宋体"/>
          <w:b/>
          <w:sz w:val="32"/>
          <w:szCs w:val="32"/>
        </w:rPr>
        <w:t>1</w:t>
      </w:r>
      <w:r w:rsidRPr="001B6551">
        <w:rPr>
          <w:rFonts w:ascii="仿宋_GB2312" w:eastAsia="仿宋_GB2312" w:hAnsi="Calibri" w:cs="宋体" w:hint="eastAsia"/>
          <w:b/>
          <w:sz w:val="32"/>
          <w:szCs w:val="32"/>
        </w:rPr>
        <w:t>．产出数量</w:t>
      </w:r>
    </w:p>
    <w:p w:rsidR="001B6551" w:rsidRP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（1）基础设施硬联通持续推进。我市迎来拥有</w:t>
      </w:r>
      <w:r w:rsidRPr="001B6551">
        <w:rPr>
          <w:rFonts w:ascii="仿宋_GB2312" w:eastAsia="仿宋_GB2312" w:hAnsi="Calibri" w:cs="宋体"/>
          <w:sz w:val="32"/>
          <w:szCs w:val="32"/>
        </w:rPr>
        <w:t>7</w:t>
      </w:r>
      <w:r w:rsidRPr="001B6551">
        <w:rPr>
          <w:rFonts w:ascii="仿宋_GB2312" w:eastAsia="仿宋_GB2312" w:hAnsi="Calibri" w:cs="宋体" w:hint="eastAsia"/>
          <w:sz w:val="32"/>
          <w:szCs w:val="32"/>
        </w:rPr>
        <w:t>座全国铁路客运枢纽和</w:t>
      </w:r>
      <w:r w:rsidRPr="001B6551">
        <w:rPr>
          <w:rFonts w:ascii="仿宋_GB2312" w:eastAsia="仿宋_GB2312" w:hAnsi="Calibri" w:cs="宋体"/>
          <w:sz w:val="32"/>
          <w:szCs w:val="32"/>
        </w:rPr>
        <w:t>2</w:t>
      </w:r>
      <w:r w:rsidRPr="001B6551">
        <w:rPr>
          <w:rFonts w:ascii="仿宋_GB2312" w:eastAsia="仿宋_GB2312" w:hAnsi="Calibri" w:cs="宋体" w:hint="eastAsia"/>
          <w:sz w:val="32"/>
          <w:szCs w:val="32"/>
        </w:rPr>
        <w:t>座国际机场的“七站两场”交通发展新时代，对外交通辐射能力大幅提升。东六环改造工程、厂通路等道路和朝阳站、丰台站等配套交通枢纽建设加快推进。</w:t>
      </w:r>
      <w:proofErr w:type="gramStart"/>
      <w:r w:rsidRPr="001B6551">
        <w:rPr>
          <w:rFonts w:ascii="仿宋_GB2312" w:eastAsia="仿宋_GB2312" w:hAnsi="Calibri" w:cs="宋体" w:hint="eastAsia"/>
          <w:sz w:val="32"/>
          <w:szCs w:val="32"/>
        </w:rPr>
        <w:t>开行北</w:t>
      </w:r>
      <w:proofErr w:type="gramEnd"/>
      <w:r w:rsidRPr="001B6551">
        <w:rPr>
          <w:rFonts w:ascii="仿宋_GB2312" w:eastAsia="仿宋_GB2312" w:hAnsi="Calibri" w:cs="宋体" w:hint="eastAsia"/>
          <w:sz w:val="32"/>
          <w:szCs w:val="32"/>
        </w:rPr>
        <w:t>三县直达国贸的通勤定制快巴，有效提升环京通勤效率。大运河京冀段全线</w:t>
      </w:r>
      <w:r w:rsidRPr="001B6551">
        <w:rPr>
          <w:rFonts w:ascii="仿宋_GB2312" w:eastAsia="仿宋_GB2312" w:hAnsi="Calibri" w:cs="宋体"/>
          <w:sz w:val="32"/>
          <w:szCs w:val="32"/>
        </w:rPr>
        <w:t>62</w:t>
      </w:r>
      <w:r w:rsidRPr="001B6551">
        <w:rPr>
          <w:rFonts w:ascii="仿宋_GB2312" w:eastAsia="仿宋_GB2312" w:hAnsi="Calibri" w:cs="宋体" w:hint="eastAsia"/>
          <w:sz w:val="32"/>
          <w:szCs w:val="32"/>
        </w:rPr>
        <w:t>公里实现游船互联互通。</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（2）制度规则软联通不断深化。</w:t>
      </w:r>
      <w:r w:rsidR="00AA329C">
        <w:rPr>
          <w:rFonts w:ascii="仿宋_GB2312" w:eastAsia="仿宋_GB2312" w:hAnsi="Calibri" w:cs="宋体" w:hint="eastAsia"/>
          <w:sz w:val="32"/>
          <w:szCs w:val="32"/>
        </w:rPr>
        <w:t>加强区域法制协作，完成规范性文件交叉备份22部。京津冀三省市交通部门联合印发实施《环京通勤定制快巴综合监管手册》，促进京津冀通勤定制快</w:t>
      </w:r>
      <w:proofErr w:type="gramStart"/>
      <w:r w:rsidR="00AA329C">
        <w:rPr>
          <w:rFonts w:ascii="仿宋_GB2312" w:eastAsia="仿宋_GB2312" w:hAnsi="Calibri" w:cs="宋体" w:hint="eastAsia"/>
          <w:sz w:val="32"/>
          <w:szCs w:val="32"/>
        </w:rPr>
        <w:t>巴行业</w:t>
      </w:r>
      <w:proofErr w:type="gramEnd"/>
      <w:r w:rsidR="00AA329C">
        <w:rPr>
          <w:rFonts w:ascii="仿宋_GB2312" w:eastAsia="仿宋_GB2312" w:hAnsi="Calibri" w:cs="宋体" w:hint="eastAsia"/>
          <w:sz w:val="32"/>
          <w:szCs w:val="32"/>
        </w:rPr>
        <w:t>健康规范发展。持续推进三省市联合执法、治超和应急联动等区域深度协作。</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（3）切实筑牢安全稳定底线。</w:t>
      </w:r>
      <w:r w:rsidR="00AA329C">
        <w:rPr>
          <w:rFonts w:ascii="仿宋_GB2312" w:eastAsia="仿宋_GB2312" w:hAnsi="Calibri" w:cs="宋体" w:hint="eastAsia"/>
          <w:sz w:val="32"/>
          <w:szCs w:val="32"/>
        </w:rPr>
        <w:t>圆满完成冬奥会和</w:t>
      </w:r>
      <w:proofErr w:type="gramStart"/>
      <w:r w:rsidR="00AA329C">
        <w:rPr>
          <w:rFonts w:ascii="仿宋_GB2312" w:eastAsia="仿宋_GB2312" w:hAnsi="Calibri" w:cs="宋体" w:hint="eastAsia"/>
          <w:sz w:val="32"/>
          <w:szCs w:val="32"/>
        </w:rPr>
        <w:t>冬残</w:t>
      </w:r>
      <w:proofErr w:type="gramEnd"/>
      <w:r w:rsidR="00AA329C">
        <w:rPr>
          <w:rFonts w:ascii="仿宋_GB2312" w:eastAsia="仿宋_GB2312" w:hAnsi="Calibri" w:cs="宋体" w:hint="eastAsia"/>
          <w:sz w:val="32"/>
          <w:szCs w:val="32"/>
        </w:rPr>
        <w:t>奥会交通保障任务。统筹推进“交通安全年”、安全生产专项整治三年行动“巩固提升年”等行动。强化应急基础建设，组织修订5部市级专项应急预案，有效应对汛期51场降雨，首都交通保持安全平稳运行。</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（4）助力文化中心建设。</w:t>
      </w:r>
      <w:r w:rsidR="00AA329C">
        <w:rPr>
          <w:rFonts w:ascii="仿宋_GB2312" w:eastAsia="仿宋_GB2312" w:hAnsi="Calibri" w:cs="宋体" w:hint="eastAsia"/>
          <w:sz w:val="32"/>
          <w:szCs w:val="32"/>
        </w:rPr>
        <w:t>以中轴线申</w:t>
      </w:r>
      <w:proofErr w:type="gramStart"/>
      <w:r w:rsidR="00AA329C">
        <w:rPr>
          <w:rFonts w:ascii="仿宋_GB2312" w:eastAsia="仿宋_GB2312" w:hAnsi="Calibri" w:cs="宋体" w:hint="eastAsia"/>
          <w:sz w:val="32"/>
          <w:szCs w:val="32"/>
        </w:rPr>
        <w:t>遗保护</w:t>
      </w:r>
      <w:proofErr w:type="gramEnd"/>
      <w:r w:rsidR="00AA329C">
        <w:rPr>
          <w:rFonts w:ascii="仿宋_GB2312" w:eastAsia="仿宋_GB2312" w:hAnsi="Calibri" w:cs="宋体" w:hint="eastAsia"/>
          <w:sz w:val="32"/>
          <w:szCs w:val="32"/>
        </w:rPr>
        <w:t>为引领，完成南中轴路建设；对万宁桥桥体、栏杆等采用古法进行保护性修复，完成桥面沥青摊铺和桥底、墙体封缝。积极推进“文明礼让、信用出行、志愿服务”三大文化品牌创建，北京电视台、北京交通广播平台开设专栏，宣传贯穿全年。进一步推进地铁志愿服务统一平台搭建，积极动员本行业参与志愿服务活动。</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（5）智慧交通建设加速推进。</w:t>
      </w:r>
      <w:r w:rsidR="00AA329C">
        <w:rPr>
          <w:rFonts w:ascii="仿宋_GB2312" w:eastAsia="仿宋_GB2312" w:hAnsi="Calibri" w:cs="宋体" w:hint="eastAsia"/>
          <w:sz w:val="32"/>
          <w:szCs w:val="32"/>
        </w:rPr>
        <w:t>发布“十四五”时期智慧交通建设规划，聚焦智慧交通基础设施、智慧交通大脑和智慧交通场景。稳步推进智慧交通大脑建设，编制北京MaaS2.0工作方案，持续拓展优化一体化绿色出行服务场景功能。智慧地铁、公交、高速、停车等应用场景建设进展顺利，</w:t>
      </w:r>
      <w:proofErr w:type="gramStart"/>
      <w:r w:rsidR="00AA329C">
        <w:rPr>
          <w:rFonts w:ascii="仿宋_GB2312" w:eastAsia="仿宋_GB2312" w:hAnsi="Calibri" w:cs="宋体" w:hint="eastAsia"/>
          <w:sz w:val="32"/>
          <w:szCs w:val="32"/>
        </w:rPr>
        <w:t>完成延崇智慧</w:t>
      </w:r>
      <w:proofErr w:type="gramEnd"/>
      <w:r w:rsidR="00AA329C">
        <w:rPr>
          <w:rFonts w:ascii="仿宋_GB2312" w:eastAsia="仿宋_GB2312" w:hAnsi="Calibri" w:cs="宋体" w:hint="eastAsia"/>
          <w:sz w:val="32"/>
          <w:szCs w:val="32"/>
        </w:rPr>
        <w:t>高速公路（北京段）建设，编制发布北京市《智慧高速公路建设技术指南》。</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（6）公共交通高质量发展加快推进。</w:t>
      </w:r>
      <w:r w:rsidR="00AA329C">
        <w:rPr>
          <w:rFonts w:ascii="仿宋_GB2312" w:eastAsia="仿宋_GB2312" w:hAnsi="Calibri" w:cs="宋体" w:hint="eastAsia"/>
          <w:sz w:val="32"/>
          <w:szCs w:val="32"/>
        </w:rPr>
        <w:t>全力推进轨道交通既有线网优化提升改造项目；</w:t>
      </w:r>
      <w:proofErr w:type="gramStart"/>
      <w:r w:rsidR="00AA329C">
        <w:rPr>
          <w:rFonts w:ascii="仿宋_GB2312" w:eastAsia="仿宋_GB2312" w:hAnsi="Calibri" w:cs="宋体" w:hint="eastAsia"/>
          <w:sz w:val="32"/>
          <w:szCs w:val="32"/>
        </w:rPr>
        <w:t>亦庄线与</w:t>
      </w:r>
      <w:proofErr w:type="gramEnd"/>
      <w:r w:rsidR="00AA329C">
        <w:rPr>
          <w:rFonts w:ascii="仿宋_GB2312" w:eastAsia="仿宋_GB2312" w:hAnsi="Calibri" w:cs="宋体" w:hint="eastAsia"/>
          <w:sz w:val="32"/>
          <w:szCs w:val="32"/>
        </w:rPr>
        <w:t>5号线、10号线联络线纳入轨道交通三期建设规划；房山线综合提速改造工程等4项加快可</w:t>
      </w:r>
      <w:proofErr w:type="gramStart"/>
      <w:r w:rsidR="00AA329C">
        <w:rPr>
          <w:rFonts w:ascii="仿宋_GB2312" w:eastAsia="仿宋_GB2312" w:hAnsi="Calibri" w:cs="宋体" w:hint="eastAsia"/>
          <w:sz w:val="32"/>
          <w:szCs w:val="32"/>
        </w:rPr>
        <w:t>研</w:t>
      </w:r>
      <w:proofErr w:type="gramEnd"/>
      <w:r w:rsidR="00AA329C">
        <w:rPr>
          <w:rFonts w:ascii="仿宋_GB2312" w:eastAsia="仿宋_GB2312" w:hAnsi="Calibri" w:cs="宋体" w:hint="eastAsia"/>
          <w:sz w:val="32"/>
          <w:szCs w:val="32"/>
        </w:rPr>
        <w:t>优化，1号线</w:t>
      </w:r>
      <w:proofErr w:type="gramStart"/>
      <w:r w:rsidR="00AA329C">
        <w:rPr>
          <w:rFonts w:ascii="仿宋_GB2312" w:eastAsia="仿宋_GB2312" w:hAnsi="Calibri" w:cs="宋体" w:hint="eastAsia"/>
          <w:sz w:val="32"/>
          <w:szCs w:val="32"/>
        </w:rPr>
        <w:t>四惠站电梯</w:t>
      </w:r>
      <w:proofErr w:type="gramEnd"/>
      <w:r w:rsidR="00AA329C">
        <w:rPr>
          <w:rFonts w:ascii="仿宋_GB2312" w:eastAsia="仿宋_GB2312" w:hAnsi="Calibri" w:cs="宋体" w:hint="eastAsia"/>
          <w:sz w:val="32"/>
          <w:szCs w:val="32"/>
        </w:rPr>
        <w:t>增设、5号线信号系统改造工程等10项加快立项推进。全力推进市郊铁路城市副中心</w:t>
      </w:r>
      <w:proofErr w:type="gramStart"/>
      <w:r w:rsidR="00AA329C">
        <w:rPr>
          <w:rFonts w:ascii="仿宋_GB2312" w:eastAsia="仿宋_GB2312" w:hAnsi="Calibri" w:cs="宋体" w:hint="eastAsia"/>
          <w:sz w:val="32"/>
          <w:szCs w:val="32"/>
        </w:rPr>
        <w:t>线整体</w:t>
      </w:r>
      <w:proofErr w:type="gramEnd"/>
      <w:r w:rsidR="00AA329C">
        <w:rPr>
          <w:rFonts w:ascii="仿宋_GB2312" w:eastAsia="仿宋_GB2312" w:hAnsi="Calibri" w:cs="宋体" w:hint="eastAsia"/>
          <w:sz w:val="32"/>
          <w:szCs w:val="32"/>
        </w:rPr>
        <w:t>提升工程、东北环线等重点项目前期。推动市郊铁路与</w:t>
      </w:r>
      <w:proofErr w:type="gramStart"/>
      <w:r w:rsidR="00AA329C">
        <w:rPr>
          <w:rFonts w:ascii="仿宋_GB2312" w:eastAsia="仿宋_GB2312" w:hAnsi="Calibri" w:cs="宋体" w:hint="eastAsia"/>
          <w:sz w:val="32"/>
          <w:szCs w:val="32"/>
        </w:rPr>
        <w:t>城轨两</w:t>
      </w:r>
      <w:proofErr w:type="gramEnd"/>
      <w:r w:rsidR="00AA329C">
        <w:rPr>
          <w:rFonts w:ascii="仿宋_GB2312" w:eastAsia="仿宋_GB2312" w:hAnsi="Calibri" w:cs="宋体" w:hint="eastAsia"/>
          <w:sz w:val="32"/>
          <w:szCs w:val="32"/>
        </w:rPr>
        <w:t>网融合，</w:t>
      </w:r>
      <w:proofErr w:type="gramStart"/>
      <w:r w:rsidR="00AA329C">
        <w:rPr>
          <w:rFonts w:ascii="仿宋_GB2312" w:eastAsia="仿宋_GB2312" w:hAnsi="Calibri" w:cs="宋体" w:hint="eastAsia"/>
          <w:sz w:val="32"/>
          <w:szCs w:val="32"/>
        </w:rPr>
        <w:t>实现城轨与</w:t>
      </w:r>
      <w:proofErr w:type="gramEnd"/>
      <w:r w:rsidR="00AA329C">
        <w:rPr>
          <w:rFonts w:ascii="仿宋_GB2312" w:eastAsia="仿宋_GB2312" w:hAnsi="Calibri" w:cs="宋体" w:hint="eastAsia"/>
          <w:sz w:val="32"/>
          <w:szCs w:val="32"/>
        </w:rPr>
        <w:t>国铁同一APP通乘。推进公交轨道融合发展，削减与地铁长距离并行线路，加强与轨道交通新线新站接驳；优化调整公交线路100条，新增定制公交144条，提升用户需求响应速度及服务体验。升级改造50处区域智能调度系统，实现30组60条线路跨线联运。</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（7）慢行系统持续优化提升。</w:t>
      </w:r>
      <w:r w:rsidR="00AA329C">
        <w:rPr>
          <w:rFonts w:ascii="仿宋_GB2312" w:eastAsia="仿宋_GB2312" w:hAnsi="Calibri" w:cs="宋体" w:hint="eastAsia"/>
          <w:sz w:val="32"/>
          <w:szCs w:val="32"/>
        </w:rPr>
        <w:t>完成《北京市“十四五”时期慢行交通品质提升规划》编制，优化完善慢行系统评价指标、考核体系和评价算法，</w:t>
      </w:r>
      <w:proofErr w:type="gramStart"/>
      <w:r w:rsidR="00AA329C">
        <w:rPr>
          <w:rFonts w:ascii="仿宋_GB2312" w:eastAsia="仿宋_GB2312" w:hAnsi="Calibri" w:cs="宋体" w:hint="eastAsia"/>
          <w:sz w:val="32"/>
          <w:szCs w:val="32"/>
        </w:rPr>
        <w:t>对城六区</w:t>
      </w:r>
      <w:proofErr w:type="gramEnd"/>
      <w:r w:rsidR="00AA329C">
        <w:rPr>
          <w:rFonts w:ascii="仿宋_GB2312" w:eastAsia="仿宋_GB2312" w:hAnsi="Calibri" w:cs="宋体" w:hint="eastAsia"/>
          <w:sz w:val="32"/>
          <w:szCs w:val="32"/>
        </w:rPr>
        <w:t>、城市副中心和亦庄新城实施评价。持续实施慢行系统品质提升行动，完成北四环重点路段慢行系统整治方案等。推进慢行优先示范街区建设，完成自专路南展工程。</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（8）道路建设养护稳步推进。</w:t>
      </w:r>
      <w:r w:rsidR="00AA329C">
        <w:rPr>
          <w:rFonts w:ascii="仿宋_GB2312" w:eastAsia="仿宋_GB2312" w:hAnsi="Calibri" w:cs="宋体" w:hint="eastAsia"/>
          <w:sz w:val="32"/>
          <w:szCs w:val="32"/>
        </w:rPr>
        <w:t>完成20项市级疏堵工程。完成457处桥下空间清理整治，三、四环路桥下空间移交属地管理，完成5处桥下空间改造提升试点工程。完成100万平米城市道路大修工程。出台《北京市公路养护作业单位资质管理实施细则》，推动构建“一地审批、全国通用”的公路养护市场准入、一体化监管机制。推进乡村公路提档升级，70公里改造全部完工。完成250公里美丽乡村路创建。</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（9）调节出行时间、空间分布。</w:t>
      </w:r>
      <w:r w:rsidR="00AA329C">
        <w:rPr>
          <w:rFonts w:ascii="仿宋_GB2312" w:eastAsia="仿宋_GB2312" w:hAnsi="Calibri" w:cs="宋体" w:hint="eastAsia"/>
          <w:sz w:val="32"/>
          <w:szCs w:val="32"/>
        </w:rPr>
        <w:t>实施京通、通燕、京哈三条道路收费调整，价格杠杆调节交通流量时间分布效果明显。加强核心区旅游包车监测和管理，关停前门旅游集散中心，实现功能外迁，在六里桥客运站、</w:t>
      </w:r>
      <w:proofErr w:type="gramStart"/>
      <w:r w:rsidR="00AA329C">
        <w:rPr>
          <w:rFonts w:ascii="仿宋_GB2312" w:eastAsia="仿宋_GB2312" w:hAnsi="Calibri" w:cs="宋体" w:hint="eastAsia"/>
          <w:sz w:val="32"/>
          <w:szCs w:val="32"/>
        </w:rPr>
        <w:t>四惠客运站</w:t>
      </w:r>
      <w:proofErr w:type="gramEnd"/>
      <w:r w:rsidR="00AA329C">
        <w:rPr>
          <w:rFonts w:ascii="仿宋_GB2312" w:eastAsia="仿宋_GB2312" w:hAnsi="Calibri" w:cs="宋体" w:hint="eastAsia"/>
          <w:sz w:val="32"/>
          <w:szCs w:val="32"/>
        </w:rPr>
        <w:t>新增发往八达岭、慕田峪长城的旅游客运班线。</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（10）以智能化手段强精治。</w:t>
      </w:r>
      <w:r w:rsidR="00AA329C">
        <w:rPr>
          <w:rFonts w:ascii="仿宋_GB2312" w:eastAsia="仿宋_GB2312" w:hAnsi="Calibri" w:cs="宋体" w:hint="eastAsia"/>
          <w:sz w:val="32"/>
          <w:szCs w:val="32"/>
        </w:rPr>
        <w:t>统筹推动行业标准化，发布8项地方标准，推进21项新立项和12项延续地方标准编制。深入推进道路停车改革，累计1046条道路、9.2万个车位实行电子收费；推广新增有偿错时共享车位8000余个；推进智慧停车建设，加快动态数据汇集，接入停车位动静态数据80.8万个。推广互联网租赁自行车电子围栏技术应用，进一步规范地面停放区设置。</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（11）以社会协同促共治。</w:t>
      </w:r>
      <w:r w:rsidR="00AA329C">
        <w:rPr>
          <w:rFonts w:ascii="仿宋_GB2312" w:eastAsia="仿宋_GB2312" w:hAnsi="Calibri" w:cs="宋体" w:hint="eastAsia"/>
          <w:sz w:val="32"/>
          <w:szCs w:val="32"/>
        </w:rPr>
        <w:t>统筹协调市相关单位印发中小学、医院、景区、商业综合体周边及火车站地区综合治理方案，积极推进重要节点周边交通治理各项工作。完善交通行业“接诉即办”工单办理、挂账、约谈等工作机制和配套政策，聚焦诉求反映集中的高频次共性问题开展主动治理，及时有效回应群众关切。深入拓展互动平台，“治堵大家谈”播出46期，紧密围绕交通重点工作和市民关注的热点话题开展访谈，引导网友建言献策、共议交通综合治理。</w:t>
      </w:r>
    </w:p>
    <w:p w:rsidR="001B6551" w:rsidRDefault="001B6551" w:rsidP="00A70C64">
      <w:pPr>
        <w:spacing w:line="560" w:lineRule="exact"/>
        <w:ind w:firstLineChars="200" w:firstLine="640"/>
        <w:rPr>
          <w:rFonts w:ascii="仿宋_GB2312" w:eastAsia="仿宋_GB2312" w:hAnsi="Calibri" w:cs="宋体"/>
          <w:sz w:val="32"/>
          <w:szCs w:val="32"/>
        </w:rPr>
      </w:pPr>
      <w:r w:rsidRPr="001B6551">
        <w:rPr>
          <w:rFonts w:ascii="仿宋_GB2312" w:eastAsia="仿宋_GB2312" w:hAnsi="Calibri" w:cs="宋体" w:hint="eastAsia"/>
          <w:sz w:val="32"/>
          <w:szCs w:val="32"/>
        </w:rPr>
        <w:t>（12）以规范管理强法治。</w:t>
      </w:r>
      <w:r w:rsidR="00AA329C">
        <w:rPr>
          <w:rFonts w:ascii="仿宋_GB2312" w:eastAsia="仿宋_GB2312" w:hAnsi="Calibri" w:cs="宋体" w:hint="eastAsia"/>
          <w:sz w:val="32"/>
          <w:szCs w:val="32"/>
        </w:rPr>
        <w:t>扎实推进法治政府部门建设，持续健全交通法律规范体系，推进出台《北京市铁路沿线安全管理规定》。构建“6+4”一体化综合监管体系，出台《北京市交通运输行业综合监管办法》和配套实施方案，推进驾培、机动车维修等7个试点领域编制合</w:t>
      </w:r>
      <w:proofErr w:type="gramStart"/>
      <w:r w:rsidR="00AA329C">
        <w:rPr>
          <w:rFonts w:ascii="仿宋_GB2312" w:eastAsia="仿宋_GB2312" w:hAnsi="Calibri" w:cs="宋体" w:hint="eastAsia"/>
          <w:sz w:val="32"/>
          <w:szCs w:val="32"/>
        </w:rPr>
        <w:t>规</w:t>
      </w:r>
      <w:proofErr w:type="gramEnd"/>
      <w:r w:rsidR="00AA329C">
        <w:rPr>
          <w:rFonts w:ascii="仿宋_GB2312" w:eastAsia="仿宋_GB2312" w:hAnsi="Calibri" w:cs="宋体" w:hint="eastAsia"/>
          <w:sz w:val="32"/>
          <w:szCs w:val="32"/>
        </w:rPr>
        <w:t>手册，推行“</w:t>
      </w:r>
      <w:proofErr w:type="gramStart"/>
      <w:r w:rsidR="00AA329C">
        <w:rPr>
          <w:rFonts w:ascii="仿宋_GB2312" w:eastAsia="仿宋_GB2312" w:hAnsi="Calibri" w:cs="宋体" w:hint="eastAsia"/>
          <w:sz w:val="32"/>
          <w:szCs w:val="32"/>
        </w:rPr>
        <w:t>一</w:t>
      </w:r>
      <w:proofErr w:type="gramEnd"/>
      <w:r w:rsidR="00AA329C">
        <w:rPr>
          <w:rFonts w:ascii="仿宋_GB2312" w:eastAsia="仿宋_GB2312" w:hAnsi="Calibri" w:cs="宋体" w:hint="eastAsia"/>
          <w:sz w:val="32"/>
          <w:szCs w:val="32"/>
        </w:rPr>
        <w:t>业</w:t>
      </w:r>
      <w:proofErr w:type="gramStart"/>
      <w:r w:rsidR="00AA329C">
        <w:rPr>
          <w:rFonts w:ascii="仿宋_GB2312" w:eastAsia="仿宋_GB2312" w:hAnsi="Calibri" w:cs="宋体" w:hint="eastAsia"/>
          <w:sz w:val="32"/>
          <w:szCs w:val="32"/>
        </w:rPr>
        <w:t>一</w:t>
      </w:r>
      <w:proofErr w:type="gramEnd"/>
      <w:r w:rsidR="00AA329C">
        <w:rPr>
          <w:rFonts w:ascii="仿宋_GB2312" w:eastAsia="仿宋_GB2312" w:hAnsi="Calibri" w:cs="宋体" w:hint="eastAsia"/>
          <w:sz w:val="32"/>
          <w:szCs w:val="32"/>
        </w:rPr>
        <w:t>策、</w:t>
      </w:r>
      <w:proofErr w:type="gramStart"/>
      <w:r w:rsidR="00AA329C">
        <w:rPr>
          <w:rFonts w:ascii="仿宋_GB2312" w:eastAsia="仿宋_GB2312" w:hAnsi="Calibri" w:cs="宋体" w:hint="eastAsia"/>
          <w:sz w:val="32"/>
          <w:szCs w:val="32"/>
        </w:rPr>
        <w:t>一</w:t>
      </w:r>
      <w:proofErr w:type="gramEnd"/>
      <w:r w:rsidR="00AA329C">
        <w:rPr>
          <w:rFonts w:ascii="仿宋_GB2312" w:eastAsia="仿宋_GB2312" w:hAnsi="Calibri" w:cs="宋体" w:hint="eastAsia"/>
          <w:sz w:val="32"/>
          <w:szCs w:val="32"/>
        </w:rPr>
        <w:t>业</w:t>
      </w:r>
      <w:proofErr w:type="gramStart"/>
      <w:r w:rsidR="00AA329C">
        <w:rPr>
          <w:rFonts w:ascii="仿宋_GB2312" w:eastAsia="仿宋_GB2312" w:hAnsi="Calibri" w:cs="宋体" w:hint="eastAsia"/>
          <w:sz w:val="32"/>
          <w:szCs w:val="32"/>
        </w:rPr>
        <w:t>一</w:t>
      </w:r>
      <w:proofErr w:type="gramEnd"/>
      <w:r w:rsidR="00AA329C">
        <w:rPr>
          <w:rFonts w:ascii="仿宋_GB2312" w:eastAsia="仿宋_GB2312" w:hAnsi="Calibri" w:cs="宋体" w:hint="eastAsia"/>
          <w:sz w:val="32"/>
          <w:szCs w:val="32"/>
        </w:rPr>
        <w:t>单、</w:t>
      </w:r>
      <w:proofErr w:type="gramStart"/>
      <w:r w:rsidR="00AA329C">
        <w:rPr>
          <w:rFonts w:ascii="仿宋_GB2312" w:eastAsia="仿宋_GB2312" w:hAnsi="Calibri" w:cs="宋体" w:hint="eastAsia"/>
          <w:sz w:val="32"/>
          <w:szCs w:val="32"/>
        </w:rPr>
        <w:t>一</w:t>
      </w:r>
      <w:proofErr w:type="gramEnd"/>
      <w:r w:rsidR="00AA329C">
        <w:rPr>
          <w:rFonts w:ascii="仿宋_GB2312" w:eastAsia="仿宋_GB2312" w:hAnsi="Calibri" w:cs="宋体" w:hint="eastAsia"/>
          <w:sz w:val="32"/>
          <w:szCs w:val="32"/>
        </w:rPr>
        <w:t>业一查、</w:t>
      </w:r>
      <w:proofErr w:type="gramStart"/>
      <w:r w:rsidR="00AA329C">
        <w:rPr>
          <w:rFonts w:ascii="仿宋_GB2312" w:eastAsia="仿宋_GB2312" w:hAnsi="Calibri" w:cs="宋体" w:hint="eastAsia"/>
          <w:sz w:val="32"/>
          <w:szCs w:val="32"/>
        </w:rPr>
        <w:t>一</w:t>
      </w:r>
      <w:proofErr w:type="gramEnd"/>
      <w:r w:rsidR="00AA329C">
        <w:rPr>
          <w:rFonts w:ascii="仿宋_GB2312" w:eastAsia="仿宋_GB2312" w:hAnsi="Calibri" w:cs="宋体" w:hint="eastAsia"/>
          <w:sz w:val="32"/>
          <w:szCs w:val="32"/>
        </w:rPr>
        <w:t>业一评”4项场景化监管措施。</w:t>
      </w:r>
    </w:p>
    <w:p w:rsidR="00651BFA" w:rsidRDefault="00AA329C" w:rsidP="00F52AB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2．产出质量</w:t>
      </w:r>
    </w:p>
    <w:p w:rsidR="00B44D1B" w:rsidRDefault="00AA329C">
      <w:pPr>
        <w:overflowPunct w:val="0"/>
        <w:spacing w:line="560" w:lineRule="exact"/>
        <w:ind w:firstLineChars="200" w:firstLine="640"/>
        <w:rPr>
          <w:rFonts w:ascii="仿宋_GB2312" w:eastAsia="仿宋_GB2312" w:hAnsi="Calibri" w:cs="宋体"/>
          <w:bCs/>
          <w:sz w:val="32"/>
          <w:szCs w:val="32"/>
        </w:rPr>
      </w:pPr>
      <w:r>
        <w:rPr>
          <w:rFonts w:ascii="仿宋_GB2312" w:eastAsia="仿宋_GB2312" w:hAnsi="Calibri" w:cs="宋体" w:hint="eastAsia"/>
          <w:bCs/>
          <w:sz w:val="32"/>
          <w:szCs w:val="32"/>
        </w:rPr>
        <w:t>京津</w:t>
      </w:r>
      <w:proofErr w:type="gramStart"/>
      <w:r>
        <w:rPr>
          <w:rFonts w:ascii="仿宋_GB2312" w:eastAsia="仿宋_GB2312" w:hAnsi="Calibri" w:cs="宋体" w:hint="eastAsia"/>
          <w:bCs/>
          <w:sz w:val="32"/>
          <w:szCs w:val="32"/>
        </w:rPr>
        <w:t>冀区域</w:t>
      </w:r>
      <w:proofErr w:type="gramEnd"/>
      <w:r>
        <w:rPr>
          <w:rFonts w:ascii="仿宋_GB2312" w:eastAsia="仿宋_GB2312" w:hAnsi="Calibri" w:cs="宋体" w:hint="eastAsia"/>
          <w:bCs/>
          <w:sz w:val="32"/>
          <w:szCs w:val="32"/>
        </w:rPr>
        <w:t>协同制度、规则更加软联通，我市交通法规、标准不断完善，交通建设、养护、运营、服务符合国家、本市相关标准、规范要求，达到人民群众基本要求，绿色出行比例不断提升，交通管理、科技水平保持全国前列。</w:t>
      </w:r>
    </w:p>
    <w:p w:rsidR="00B44D1B" w:rsidRDefault="00AA329C">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3．产出进度</w:t>
      </w:r>
    </w:p>
    <w:p w:rsidR="00B44D1B" w:rsidRDefault="00AA329C">
      <w:pPr>
        <w:overflowPunct w:val="0"/>
        <w:spacing w:line="560" w:lineRule="exact"/>
        <w:ind w:firstLineChars="200" w:firstLine="640"/>
        <w:rPr>
          <w:rFonts w:ascii="仿宋_GB2312" w:eastAsia="仿宋_GB2312" w:hAnsi="Calibri" w:cs="宋体"/>
          <w:bCs/>
          <w:sz w:val="32"/>
          <w:szCs w:val="32"/>
        </w:rPr>
      </w:pPr>
      <w:r>
        <w:rPr>
          <w:rFonts w:ascii="仿宋_GB2312" w:eastAsia="仿宋_GB2312" w:hAnsi="Calibri" w:cs="宋体" w:hint="eastAsia"/>
          <w:bCs/>
          <w:sz w:val="32"/>
          <w:szCs w:val="32"/>
        </w:rPr>
        <w:t>落实委内督查督办机制，全年跟踪重点事项进展情况</w:t>
      </w:r>
      <w:r w:rsidR="00C77FA4">
        <w:rPr>
          <w:rFonts w:ascii="仿宋_GB2312" w:eastAsia="仿宋_GB2312" w:hAnsi="Calibri" w:cs="宋体" w:hint="eastAsia"/>
          <w:bCs/>
          <w:sz w:val="32"/>
          <w:szCs w:val="32"/>
        </w:rPr>
        <w:t>；</w:t>
      </w:r>
      <w:r>
        <w:rPr>
          <w:rFonts w:ascii="仿宋_GB2312" w:eastAsia="仿宋_GB2312" w:hAnsi="Calibri" w:cs="宋体" w:hint="eastAsia"/>
          <w:bCs/>
          <w:sz w:val="32"/>
          <w:szCs w:val="32"/>
        </w:rPr>
        <w:t>加强调度，市政府实事、折子工程、重大活动保障等重点工作按期完成，工程项目按计划实施，管理和改革事项按计划推进，执法工作有序开展</w:t>
      </w:r>
      <w:r w:rsidR="00C77FA4">
        <w:rPr>
          <w:rFonts w:ascii="仿宋_GB2312" w:eastAsia="仿宋_GB2312" w:hAnsi="Calibri" w:cs="宋体" w:hint="eastAsia"/>
          <w:bCs/>
          <w:sz w:val="32"/>
          <w:szCs w:val="32"/>
        </w:rPr>
        <w:t>；</w:t>
      </w:r>
      <w:r>
        <w:rPr>
          <w:rFonts w:ascii="仿宋_GB2312" w:eastAsia="仿宋_GB2312" w:hAnsi="Calibri" w:cs="宋体" w:hint="eastAsia"/>
          <w:bCs/>
          <w:sz w:val="32"/>
          <w:szCs w:val="32"/>
        </w:rPr>
        <w:t>资金支付与项目推进相结合，预算执行率达到</w:t>
      </w:r>
      <w:r>
        <w:rPr>
          <w:rFonts w:ascii="仿宋_GB2312" w:eastAsia="仿宋_GB2312" w:hAnsi="Calibri" w:cs="宋体"/>
          <w:bCs/>
          <w:sz w:val="32"/>
          <w:szCs w:val="32"/>
        </w:rPr>
        <w:t>96.40</w:t>
      </w:r>
      <w:r>
        <w:rPr>
          <w:rFonts w:ascii="仿宋_GB2312" w:eastAsia="仿宋_GB2312" w:hAnsi="Calibri" w:cs="宋体" w:hint="eastAsia"/>
          <w:bCs/>
          <w:sz w:val="32"/>
          <w:szCs w:val="32"/>
        </w:rPr>
        <w:t>%。</w:t>
      </w:r>
    </w:p>
    <w:p w:rsidR="00B44D1B" w:rsidRDefault="00AA329C">
      <w:pPr>
        <w:overflowPunct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4．产出成本</w:t>
      </w:r>
    </w:p>
    <w:p w:rsidR="00F52AB4" w:rsidRDefault="00AA329C" w:rsidP="00F52AB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通过预算项目事前绩效评估、预算评审，工程项目概算审核、结算评审，规范开展招投标等工作，全面控制项目成本。2022年市交通委全年预算</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020</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837</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15</w:t>
      </w:r>
      <w:r>
        <w:rPr>
          <w:rFonts w:ascii="仿宋_GB2312" w:eastAsia="仿宋_GB2312" w:hAnsi="宋体" w:cs="宋体" w:hint="eastAsia"/>
          <w:color w:val="000000"/>
          <w:kern w:val="0"/>
          <w:sz w:val="32"/>
          <w:szCs w:val="32"/>
        </w:rPr>
        <w:t>万元，资金支出</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948</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098</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9</w:t>
      </w:r>
      <w:r>
        <w:rPr>
          <w:rFonts w:ascii="仿宋_GB2312" w:eastAsia="仿宋_GB2312" w:hAnsi="宋体" w:cs="宋体" w:hint="eastAsia"/>
          <w:color w:val="000000"/>
          <w:kern w:val="0"/>
          <w:sz w:val="32"/>
          <w:szCs w:val="32"/>
        </w:rPr>
        <w:t>2万元，预算执行率为</w:t>
      </w:r>
      <w:r>
        <w:rPr>
          <w:rFonts w:ascii="仿宋_GB2312" w:eastAsia="仿宋_GB2312" w:hAnsi="宋体" w:cs="宋体"/>
          <w:color w:val="000000"/>
          <w:kern w:val="0"/>
          <w:sz w:val="32"/>
          <w:szCs w:val="32"/>
        </w:rPr>
        <w:t>96.40%</w:t>
      </w:r>
      <w:r>
        <w:rPr>
          <w:rFonts w:ascii="仿宋_GB2312" w:eastAsia="仿宋_GB2312" w:hAnsi="宋体" w:cs="宋体" w:hint="eastAsia"/>
          <w:color w:val="000000"/>
          <w:kern w:val="0"/>
          <w:sz w:val="32"/>
          <w:szCs w:val="32"/>
        </w:rPr>
        <w:t>。</w:t>
      </w:r>
    </w:p>
    <w:p w:rsidR="001B6551" w:rsidRPr="001B6551" w:rsidRDefault="001B6551" w:rsidP="001B6551">
      <w:pPr>
        <w:spacing w:line="560" w:lineRule="exact"/>
        <w:ind w:firstLineChars="200" w:firstLine="640"/>
        <w:rPr>
          <w:rFonts w:ascii="楷体_GB2312" w:eastAsia="楷体_GB2312"/>
          <w:b/>
          <w:szCs w:val="32"/>
        </w:rPr>
      </w:pPr>
      <w:bookmarkStart w:id="6" w:name="_Toc20703"/>
      <w:bookmarkEnd w:id="5"/>
      <w:r w:rsidRPr="001B6551">
        <w:rPr>
          <w:rFonts w:ascii="楷体_GB2312" w:eastAsia="楷体_GB2312" w:hint="eastAsia"/>
          <w:sz w:val="32"/>
          <w:szCs w:val="32"/>
        </w:rPr>
        <w:t>（二）效果实现情况分析</w:t>
      </w:r>
      <w:bookmarkEnd w:id="6"/>
    </w:p>
    <w:p w:rsidR="001B6551" w:rsidRDefault="00AA329C" w:rsidP="001B6551">
      <w:pPr>
        <w:spacing w:line="560" w:lineRule="exact"/>
        <w:ind w:leftChars="50" w:left="105"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1.经济</w:t>
      </w:r>
      <w:r>
        <w:rPr>
          <w:rFonts w:ascii="仿宋_GB2312" w:eastAsia="仿宋_GB2312" w:hAnsi="宋体" w:cs="宋体"/>
          <w:b/>
          <w:bCs/>
          <w:color w:val="000000"/>
          <w:kern w:val="0"/>
          <w:sz w:val="32"/>
          <w:szCs w:val="32"/>
        </w:rPr>
        <w:t>效益</w:t>
      </w:r>
    </w:p>
    <w:p w:rsidR="00651BFA" w:rsidRDefault="00AA329C" w:rsidP="00F52AB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2022年,市交通</w:t>
      </w:r>
      <w:proofErr w:type="gramStart"/>
      <w:r>
        <w:rPr>
          <w:rFonts w:ascii="仿宋_GB2312" w:eastAsia="仿宋_GB2312" w:hAnsi="宋体" w:cs="宋体" w:hint="eastAsia"/>
          <w:color w:val="000000"/>
          <w:kern w:val="0"/>
          <w:sz w:val="32"/>
          <w:szCs w:val="32"/>
        </w:rPr>
        <w:t>委预算</w:t>
      </w:r>
      <w:proofErr w:type="gramEnd"/>
      <w:r>
        <w:rPr>
          <w:rFonts w:ascii="仿宋_GB2312" w:eastAsia="仿宋_GB2312" w:hAnsi="宋体" w:cs="宋体" w:hint="eastAsia"/>
          <w:color w:val="000000"/>
          <w:kern w:val="0"/>
          <w:sz w:val="32"/>
          <w:szCs w:val="32"/>
        </w:rPr>
        <w:t>支出资金</w:t>
      </w:r>
      <w:r>
        <w:rPr>
          <w:rFonts w:ascii="仿宋_GB2312" w:eastAsia="仿宋_GB2312" w:hAnsi="宋体" w:cs="宋体"/>
          <w:color w:val="000000"/>
          <w:kern w:val="0"/>
          <w:sz w:val="32"/>
          <w:szCs w:val="32"/>
        </w:rPr>
        <w:t>1,948,098.9</w:t>
      </w:r>
      <w:r>
        <w:rPr>
          <w:rFonts w:ascii="仿宋_GB2312" w:eastAsia="仿宋_GB2312" w:hAnsi="宋体" w:cs="宋体" w:hint="eastAsia"/>
          <w:color w:val="000000"/>
          <w:kern w:val="0"/>
          <w:sz w:val="32"/>
          <w:szCs w:val="32"/>
        </w:rPr>
        <w:t>2万元，交通设施改善，交通堵点减少，交通服务水平得以提高，努力降低人们出行的经济成本和时间成本，对完成全市经济发展目标、拉动投资、促进就业、提高居民收入起到了应有的作用。</w:t>
      </w:r>
    </w:p>
    <w:p w:rsidR="001B6551" w:rsidRDefault="00AA329C" w:rsidP="001B6551">
      <w:pPr>
        <w:spacing w:line="560" w:lineRule="exact"/>
        <w:ind w:leftChars="50" w:left="105"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2.社会效益</w:t>
      </w:r>
    </w:p>
    <w:p w:rsidR="00651BFA" w:rsidRDefault="00AA329C" w:rsidP="00F52AB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（1）全面实施“</w:t>
      </w:r>
      <w:proofErr w:type="gramStart"/>
      <w:r>
        <w:rPr>
          <w:rFonts w:ascii="仿宋_GB2312" w:eastAsia="仿宋_GB2312" w:hAnsi="宋体" w:cs="宋体" w:hint="eastAsia"/>
          <w:color w:val="000000"/>
          <w:kern w:val="0"/>
          <w:sz w:val="32"/>
          <w:szCs w:val="32"/>
        </w:rPr>
        <w:t>规</w:t>
      </w:r>
      <w:proofErr w:type="gramEnd"/>
      <w:r>
        <w:rPr>
          <w:rFonts w:ascii="仿宋_GB2312" w:eastAsia="仿宋_GB2312" w:hAnsi="宋体" w:cs="宋体" w:hint="eastAsia"/>
          <w:color w:val="000000"/>
          <w:kern w:val="0"/>
          <w:sz w:val="32"/>
          <w:szCs w:val="32"/>
        </w:rPr>
        <w:t>、建、管、限”各项政策措施，不断提高交通设施状况和服务水平，为保障首都经济社会发展、“四个服务”功能的发挥起到了良好的作用，对京津冀协同发展、城乡一体化发展起到了应有的作用。</w:t>
      </w:r>
    </w:p>
    <w:p w:rsidR="00B44D1B" w:rsidRDefault="00AA329C">
      <w:pPr>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宋体" w:cs="宋体" w:hint="eastAsia"/>
          <w:color w:val="000000"/>
          <w:kern w:val="0"/>
          <w:sz w:val="32"/>
          <w:szCs w:val="32"/>
        </w:rPr>
        <w:t>（2）全面落实安全生产管理责任，</w:t>
      </w:r>
      <w:r>
        <w:rPr>
          <w:rFonts w:ascii="仿宋_GB2312" w:eastAsia="仿宋_GB2312" w:hAnsi="仿宋_GB2312" w:cs="仿宋_GB2312" w:hint="eastAsia"/>
          <w:sz w:val="32"/>
          <w:szCs w:val="32"/>
        </w:rPr>
        <w:t>不断优化完善安全应急</w:t>
      </w:r>
      <w:proofErr w:type="gramStart"/>
      <w:r>
        <w:rPr>
          <w:rFonts w:ascii="仿宋_GB2312" w:eastAsia="仿宋_GB2312" w:hAnsi="仿宋_GB2312" w:cs="仿宋_GB2312" w:hint="eastAsia"/>
          <w:sz w:val="32"/>
          <w:szCs w:val="32"/>
        </w:rPr>
        <w:t>维稳责任</w:t>
      </w:r>
      <w:proofErr w:type="gramEnd"/>
      <w:r>
        <w:rPr>
          <w:rFonts w:ascii="仿宋_GB2312" w:eastAsia="仿宋_GB2312" w:hAnsi="仿宋_GB2312" w:cs="仿宋_GB2312" w:hint="eastAsia"/>
          <w:sz w:val="32"/>
          <w:szCs w:val="32"/>
        </w:rPr>
        <w:t>体系、制度体系、运转体系，安全生产企业主体责任和部门监管责任持续夯实，建立健全安全风险防范和隐患排查治理双重预防控制体系。成功应对多轮暴雨、暴雪等极端天气。交通行业安全生产突发事件数、亡人数、伤人数逐年下降，安全生产管理水平逐步提升。</w:t>
      </w:r>
    </w:p>
    <w:p w:rsidR="00B44D1B" w:rsidRDefault="00AA329C">
      <w:pPr>
        <w:spacing w:line="560" w:lineRule="exact"/>
        <w:ind w:firstLineChars="200" w:firstLine="640"/>
        <w:textAlignment w:val="baseline"/>
        <w:rPr>
          <w:rFonts w:ascii="仿宋_GB2312" w:eastAsia="仿宋_GB2312" w:hAnsi="Calibri" w:cs="宋体"/>
          <w:sz w:val="32"/>
          <w:szCs w:val="32"/>
        </w:rPr>
      </w:pPr>
      <w:r>
        <w:rPr>
          <w:rFonts w:ascii="仿宋_GB2312" w:eastAsia="仿宋_GB2312" w:hAnsi="仿宋_GB2312" w:cs="仿宋_GB2312" w:hint="eastAsia"/>
          <w:sz w:val="32"/>
          <w:szCs w:val="32"/>
        </w:rPr>
        <w:t>（3）交通行业疫情防控有力有效。</w:t>
      </w:r>
      <w:r>
        <w:rPr>
          <w:rFonts w:ascii="仿宋_GB2312" w:eastAsia="仿宋_GB2312" w:hAnsi="Calibri" w:cs="宋体" w:hint="eastAsia"/>
          <w:sz w:val="32"/>
          <w:szCs w:val="32"/>
        </w:rPr>
        <w:t>组织公交集团提供24小时不间断通勤运输方式，保障方舱医院医护工作人员通勤。组建爱心车队和应急车队，及时满足一线医护工作人员通勤和封管控区市民特殊就医出行保障。严格管控客运经营，暂停7天内有本土感染者县级行政区域的进京道路客运和出租车、顺风车服务。强化高速公路服务区疫情防控。强化道路货运保通</w:t>
      </w:r>
      <w:proofErr w:type="gramStart"/>
      <w:r>
        <w:rPr>
          <w:rFonts w:ascii="仿宋_GB2312" w:eastAsia="仿宋_GB2312" w:hAnsi="Calibri" w:cs="宋体" w:hint="eastAsia"/>
          <w:sz w:val="32"/>
          <w:szCs w:val="32"/>
        </w:rPr>
        <w:t>保畅和疫情</w:t>
      </w:r>
      <w:proofErr w:type="gramEnd"/>
      <w:r>
        <w:rPr>
          <w:rFonts w:ascii="仿宋_GB2312" w:eastAsia="仿宋_GB2312" w:hAnsi="Calibri" w:cs="宋体" w:hint="eastAsia"/>
          <w:sz w:val="32"/>
          <w:szCs w:val="32"/>
        </w:rPr>
        <w:t>防控，加强进京货车运行监测和落位管控，保障了首都供应链、产业链稳定。根据疫情防控形势变化，及时动态调整社会面交通运行。</w:t>
      </w:r>
    </w:p>
    <w:p w:rsidR="00B44D1B" w:rsidRDefault="00AA329C">
      <w:pPr>
        <w:spacing w:line="560" w:lineRule="exact"/>
        <w:ind w:firstLineChars="200" w:firstLine="640"/>
        <w:rPr>
          <w:rFonts w:ascii="仿宋_GB2312" w:eastAsia="仿宋_GB2312" w:hAnsi="Calibri" w:cs="宋体"/>
          <w:sz w:val="32"/>
          <w:szCs w:val="32"/>
        </w:rPr>
      </w:pPr>
      <w:r>
        <w:rPr>
          <w:rFonts w:ascii="仿宋_GB2312" w:eastAsia="仿宋_GB2312" w:hAnsi="宋体" w:cs="宋体" w:hint="eastAsia"/>
          <w:color w:val="000000"/>
          <w:kern w:val="0"/>
          <w:sz w:val="32"/>
          <w:szCs w:val="32"/>
        </w:rPr>
        <w:t>（4）</w:t>
      </w:r>
      <w:r>
        <w:rPr>
          <w:rFonts w:ascii="仿宋_GB2312" w:eastAsia="仿宋_GB2312" w:hAnsi="Calibri" w:cs="宋体" w:hint="eastAsia"/>
          <w:sz w:val="32"/>
          <w:szCs w:val="32"/>
        </w:rPr>
        <w:t>深入拓展互动平台，“治堵大家谈”播出</w:t>
      </w:r>
      <w:r>
        <w:rPr>
          <w:rFonts w:ascii="仿宋_GB2312" w:eastAsia="仿宋_GB2312" w:hAnsi="Calibri" w:cs="宋体"/>
          <w:sz w:val="32"/>
          <w:szCs w:val="32"/>
        </w:rPr>
        <w:t>46</w:t>
      </w:r>
      <w:r>
        <w:rPr>
          <w:rFonts w:ascii="仿宋_GB2312" w:eastAsia="仿宋_GB2312" w:hAnsi="Calibri" w:cs="宋体" w:hint="eastAsia"/>
          <w:sz w:val="32"/>
          <w:szCs w:val="32"/>
        </w:rPr>
        <w:t>期，“交通缓堵，我来说两句”网络互动平台开展话题互动</w:t>
      </w:r>
      <w:r>
        <w:rPr>
          <w:rFonts w:ascii="仿宋_GB2312" w:eastAsia="仿宋_GB2312" w:hAnsi="Calibri" w:cs="宋体"/>
          <w:sz w:val="32"/>
          <w:szCs w:val="32"/>
        </w:rPr>
        <w:t>30</w:t>
      </w:r>
      <w:r>
        <w:rPr>
          <w:rFonts w:ascii="仿宋_GB2312" w:eastAsia="仿宋_GB2312" w:hAnsi="Calibri" w:cs="宋体" w:hint="eastAsia"/>
          <w:sz w:val="32"/>
          <w:szCs w:val="32"/>
        </w:rPr>
        <w:t>次，整体曝光量超过</w:t>
      </w:r>
      <w:r>
        <w:rPr>
          <w:rFonts w:ascii="仿宋_GB2312" w:eastAsia="仿宋_GB2312" w:hAnsi="Calibri" w:cs="宋体"/>
          <w:sz w:val="32"/>
          <w:szCs w:val="32"/>
        </w:rPr>
        <w:t>7000</w:t>
      </w:r>
      <w:r>
        <w:rPr>
          <w:rFonts w:ascii="仿宋_GB2312" w:eastAsia="仿宋_GB2312" w:hAnsi="Calibri" w:cs="宋体" w:hint="eastAsia"/>
          <w:sz w:val="32"/>
          <w:szCs w:val="32"/>
        </w:rPr>
        <w:t>万，起到了良好的社会动员效果。持续加强交通宣讲，开展各类宣讲活动</w:t>
      </w:r>
      <w:r>
        <w:rPr>
          <w:rFonts w:ascii="仿宋_GB2312" w:eastAsia="仿宋_GB2312" w:hAnsi="Calibri" w:cs="宋体"/>
          <w:sz w:val="32"/>
          <w:szCs w:val="32"/>
        </w:rPr>
        <w:t>248</w:t>
      </w:r>
      <w:r>
        <w:rPr>
          <w:rFonts w:ascii="仿宋_GB2312" w:eastAsia="仿宋_GB2312" w:hAnsi="Calibri" w:cs="宋体" w:hint="eastAsia"/>
          <w:sz w:val="32"/>
          <w:szCs w:val="32"/>
        </w:rPr>
        <w:t>场，受众</w:t>
      </w:r>
      <w:r>
        <w:rPr>
          <w:rFonts w:ascii="仿宋_GB2312" w:eastAsia="仿宋_GB2312" w:hAnsi="Calibri" w:cs="宋体"/>
          <w:sz w:val="32"/>
          <w:szCs w:val="32"/>
        </w:rPr>
        <w:t>28</w:t>
      </w:r>
      <w:r>
        <w:rPr>
          <w:rFonts w:ascii="仿宋_GB2312" w:eastAsia="仿宋_GB2312" w:hAnsi="Calibri" w:cs="宋体" w:hint="eastAsia"/>
          <w:sz w:val="32"/>
          <w:szCs w:val="32"/>
        </w:rPr>
        <w:t>万人次。</w:t>
      </w:r>
      <w:r>
        <w:rPr>
          <w:rFonts w:ascii="仿宋_GB2312" w:eastAsia="仿宋_GB2312" w:hAnsi="宋体" w:cs="宋体" w:hint="eastAsia"/>
          <w:color w:val="000000"/>
          <w:kern w:val="0"/>
          <w:sz w:val="32"/>
          <w:szCs w:val="32"/>
        </w:rPr>
        <w:t>积极推进“文明礼让、信用出行、志愿服务”三大文化品牌创建，</w:t>
      </w:r>
      <w:r>
        <w:rPr>
          <w:rFonts w:ascii="仿宋_GB2312" w:eastAsia="仿宋_GB2312" w:hint="eastAsia"/>
          <w:sz w:val="32"/>
          <w:szCs w:val="32"/>
        </w:rPr>
        <w:t>首都交通文明形象持续提升。</w:t>
      </w:r>
    </w:p>
    <w:p w:rsidR="00B44D1B" w:rsidRDefault="00AA329C">
      <w:pPr>
        <w:spacing w:line="560" w:lineRule="exact"/>
        <w:ind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3.环境效益与可持续</w:t>
      </w:r>
      <w:r>
        <w:rPr>
          <w:rFonts w:ascii="仿宋_GB2312" w:eastAsia="仿宋_GB2312" w:hAnsi="宋体" w:cs="宋体"/>
          <w:b/>
          <w:bCs/>
          <w:color w:val="000000"/>
          <w:kern w:val="0"/>
          <w:sz w:val="32"/>
          <w:szCs w:val="32"/>
        </w:rPr>
        <w:t>性影响</w:t>
      </w:r>
    </w:p>
    <w:p w:rsidR="00B44D1B" w:rsidRDefault="00AA329C">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始终注重环境保护。道路规划中做好环境影响评价等工作，道路建设、养护中积极推广应用新材料、新工艺，提高废旧材料的再生利用率。加强道路绿化养护管理，实现绿环、美化、净化环境。加强道路噪声治理，推进重点路段噪声治理工作。</w:t>
      </w:r>
    </w:p>
    <w:p w:rsidR="00B44D1B" w:rsidRDefault="00AA329C">
      <w:pPr>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2）绿色低碳交通加速发展。高质量完成了北京市绿色出行创建工作，成为首批全国绿色出行创建城市。推进交通领域碳中和工作，研究编制推动交通领域机动车电动化方案。加大新能源汽车推广应用力度，投入运营新能源客车</w:t>
      </w:r>
      <w:r>
        <w:rPr>
          <w:rFonts w:ascii="仿宋_GB2312" w:eastAsia="仿宋_GB2312" w:hAnsi="Calibri" w:cs="宋体"/>
          <w:sz w:val="32"/>
          <w:szCs w:val="32"/>
        </w:rPr>
        <w:t>858</w:t>
      </w:r>
      <w:r>
        <w:rPr>
          <w:rFonts w:ascii="仿宋_GB2312" w:eastAsia="仿宋_GB2312" w:hAnsi="Calibri" w:cs="宋体" w:hint="eastAsia"/>
          <w:sz w:val="32"/>
          <w:szCs w:val="32"/>
        </w:rPr>
        <w:t>辆，新增和更新纯电动出租车</w:t>
      </w:r>
      <w:r>
        <w:rPr>
          <w:rFonts w:ascii="仿宋_GB2312" w:eastAsia="仿宋_GB2312" w:hAnsi="Calibri" w:cs="宋体"/>
          <w:sz w:val="32"/>
          <w:szCs w:val="32"/>
        </w:rPr>
        <w:t>8000</w:t>
      </w:r>
      <w:r>
        <w:rPr>
          <w:rFonts w:ascii="仿宋_GB2312" w:eastAsia="仿宋_GB2312" w:hAnsi="Calibri" w:cs="宋体" w:hint="eastAsia"/>
          <w:sz w:val="32"/>
          <w:szCs w:val="32"/>
        </w:rPr>
        <w:t>辆，</w:t>
      </w:r>
      <w:r>
        <w:rPr>
          <w:rFonts w:ascii="仿宋_GB2312" w:eastAsia="仿宋_GB2312" w:hAnsi="Calibri" w:cs="宋体"/>
          <w:sz w:val="32"/>
          <w:szCs w:val="32"/>
        </w:rPr>
        <w:t>654</w:t>
      </w:r>
      <w:r>
        <w:rPr>
          <w:rFonts w:ascii="仿宋_GB2312" w:eastAsia="仿宋_GB2312" w:hAnsi="Calibri" w:cs="宋体" w:hint="eastAsia"/>
          <w:sz w:val="32"/>
          <w:szCs w:val="32"/>
        </w:rPr>
        <w:t>部纯电动公交车已交付上牌。研究出台《北京市促进砂石骨料多式联运发展激励方案》。持续</w:t>
      </w:r>
      <w:proofErr w:type="gramStart"/>
      <w:r>
        <w:rPr>
          <w:rFonts w:ascii="仿宋_GB2312" w:eastAsia="仿宋_GB2312" w:hAnsi="Calibri" w:cs="宋体" w:hint="eastAsia"/>
          <w:sz w:val="32"/>
          <w:szCs w:val="32"/>
        </w:rPr>
        <w:t>开展碳普惠</w:t>
      </w:r>
      <w:proofErr w:type="gramEnd"/>
      <w:r>
        <w:rPr>
          <w:rFonts w:ascii="仿宋_GB2312" w:eastAsia="仿宋_GB2312" w:hAnsi="Calibri" w:cs="宋体" w:hint="eastAsia"/>
          <w:sz w:val="32"/>
          <w:szCs w:val="32"/>
        </w:rPr>
        <w:t>激励活动，Maas平台用户量超3000万，日均服务绿色出行450余万人，</w:t>
      </w:r>
      <w:proofErr w:type="gramStart"/>
      <w:r>
        <w:rPr>
          <w:rFonts w:ascii="仿宋_GB2312" w:eastAsia="仿宋_GB2312" w:hAnsi="Calibri" w:cs="宋体" w:hint="eastAsia"/>
          <w:sz w:val="32"/>
          <w:szCs w:val="32"/>
        </w:rPr>
        <w:t>碳普惠</w:t>
      </w:r>
      <w:proofErr w:type="gramEnd"/>
      <w:r>
        <w:rPr>
          <w:rFonts w:ascii="仿宋_GB2312" w:eastAsia="仿宋_GB2312" w:hAnsi="Calibri" w:cs="宋体" w:hint="eastAsia"/>
          <w:sz w:val="32"/>
          <w:szCs w:val="32"/>
        </w:rPr>
        <w:t>实名注册用户259万余人，累计出行量1.3亿人次。</w:t>
      </w:r>
      <w:r w:rsidR="008F0730" w:rsidDel="008F0730">
        <w:rPr>
          <w:rFonts w:ascii="仿宋_GB2312" w:eastAsia="仿宋_GB2312" w:hAnsi="Calibri" w:cs="宋体" w:hint="eastAsia"/>
          <w:sz w:val="32"/>
          <w:szCs w:val="32"/>
        </w:rPr>
        <w:t xml:space="preserve"> </w:t>
      </w:r>
    </w:p>
    <w:p w:rsidR="00B44D1B" w:rsidRDefault="00AA329C">
      <w:pPr>
        <w:spacing w:line="560" w:lineRule="exact"/>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4.服务对象</w:t>
      </w:r>
      <w:r>
        <w:rPr>
          <w:rFonts w:ascii="仿宋_GB2312" w:eastAsia="仿宋_GB2312" w:hAnsi="宋体" w:cs="宋体"/>
          <w:b/>
          <w:bCs/>
          <w:kern w:val="0"/>
          <w:sz w:val="32"/>
          <w:szCs w:val="32"/>
        </w:rPr>
        <w:t>满意度</w:t>
      </w:r>
    </w:p>
    <w:p w:rsidR="00B44D1B" w:rsidRDefault="00AA329C">
      <w:pPr>
        <w:spacing w:line="560" w:lineRule="exact"/>
        <w:ind w:firstLineChars="200" w:firstLine="640"/>
        <w:rPr>
          <w:rFonts w:ascii="仿宋_GB2312" w:eastAsia="仿宋_GB2312" w:hAnsi="Calibri" w:cs="宋体"/>
          <w:sz w:val="32"/>
          <w:szCs w:val="32"/>
        </w:rPr>
      </w:pPr>
      <w:r>
        <w:rPr>
          <w:rFonts w:ascii="仿宋_GB2312" w:eastAsia="仿宋_GB2312" w:hAnsi="仿宋_GB2312" w:cs="仿宋_GB2312" w:hint="eastAsia"/>
          <w:bCs/>
          <w:sz w:val="32"/>
          <w:szCs w:val="32"/>
        </w:rPr>
        <w:t>加强与中央单位、市属机关、企事业单位的沟通，努力达成共识，相互支持。坚持把</w:t>
      </w:r>
      <w:proofErr w:type="gramStart"/>
      <w:r>
        <w:rPr>
          <w:rFonts w:ascii="仿宋_GB2312" w:eastAsia="仿宋_GB2312" w:hAnsi="仿宋_GB2312" w:cs="仿宋_GB2312" w:hint="eastAsia"/>
          <w:bCs/>
          <w:sz w:val="32"/>
          <w:szCs w:val="32"/>
        </w:rPr>
        <w:t>接诉即办</w:t>
      </w:r>
      <w:proofErr w:type="gramEnd"/>
      <w:r>
        <w:rPr>
          <w:rFonts w:ascii="仿宋_GB2312" w:eastAsia="仿宋_GB2312" w:hAnsi="仿宋_GB2312" w:cs="仿宋_GB2312" w:hint="eastAsia"/>
          <w:bCs/>
          <w:sz w:val="32"/>
          <w:szCs w:val="32"/>
        </w:rPr>
        <w:t>作为推进交通共治的重要渠道，</w:t>
      </w:r>
      <w:r>
        <w:rPr>
          <w:rFonts w:ascii="仿宋_GB2312" w:eastAsia="仿宋_GB2312" w:hAnsi="Calibri" w:cs="宋体" w:hint="eastAsia"/>
          <w:sz w:val="32"/>
          <w:szCs w:val="32"/>
        </w:rPr>
        <w:t>完善交通行业“接诉即办”工单办理、挂账、约谈等工作机制和配套政策，聚焦诉求反映集中的高频次共性问题开展主动治理，及时有效回应群众关切，</w:t>
      </w:r>
      <w:r>
        <w:rPr>
          <w:rFonts w:ascii="仿宋_GB2312" w:eastAsia="仿宋_GB2312" w:hAnsi="Calibri" w:cs="华文中宋" w:hint="eastAsia"/>
          <w:sz w:val="32"/>
          <w:szCs w:val="32"/>
        </w:rPr>
        <w:t>12328热线考核成绩处于全国前列</w:t>
      </w:r>
      <w:r>
        <w:rPr>
          <w:rFonts w:ascii="仿宋_GB2312" w:eastAsia="仿宋_GB2312" w:hAnsi="Calibri" w:cs="宋体" w:hint="eastAsia"/>
          <w:sz w:val="32"/>
          <w:szCs w:val="32"/>
        </w:rPr>
        <w:t>。</w:t>
      </w:r>
    </w:p>
    <w:p w:rsidR="001B6551" w:rsidRDefault="00AA329C" w:rsidP="001B6551">
      <w:pPr>
        <w:pStyle w:val="1"/>
        <w:keepNext w:val="0"/>
        <w:keepLines w:val="0"/>
        <w:spacing w:before="0" w:after="0" w:line="560" w:lineRule="exact"/>
        <w:ind w:firstLineChars="200" w:firstLine="640"/>
        <w:rPr>
          <w:rFonts w:ascii="黑体" w:eastAsia="黑体" w:hAnsi="黑体" w:cs="黑体"/>
          <w:b w:val="0"/>
          <w:bCs/>
          <w:sz w:val="32"/>
          <w:szCs w:val="32"/>
        </w:rPr>
      </w:pPr>
      <w:bookmarkStart w:id="7" w:name="_Toc26736"/>
      <w:r>
        <w:rPr>
          <w:rFonts w:ascii="黑体" w:eastAsia="黑体" w:hAnsi="黑体" w:cs="黑体" w:hint="eastAsia"/>
          <w:b w:val="0"/>
          <w:bCs/>
          <w:sz w:val="32"/>
          <w:szCs w:val="32"/>
        </w:rPr>
        <w:t>四、预算管理情况分析</w:t>
      </w:r>
      <w:bookmarkEnd w:id="7"/>
    </w:p>
    <w:p w:rsidR="001B6551" w:rsidRDefault="00AA329C" w:rsidP="001B6551">
      <w:pPr>
        <w:pStyle w:val="2"/>
        <w:keepNext w:val="0"/>
        <w:keepLines w:val="0"/>
        <w:spacing w:before="0" w:after="0" w:line="560" w:lineRule="exact"/>
        <w:ind w:firstLineChars="200" w:firstLine="640"/>
        <w:rPr>
          <w:rFonts w:ascii="楷体_GB2312" w:eastAsia="楷体_GB2312" w:hAnsi="楷体_GB2312" w:cs="楷体_GB2312"/>
          <w:b w:val="0"/>
          <w:bCs/>
        </w:rPr>
      </w:pPr>
      <w:bookmarkStart w:id="8" w:name="_Toc6432"/>
      <w:r>
        <w:rPr>
          <w:rFonts w:ascii="楷体_GB2312" w:eastAsia="楷体_GB2312" w:hAnsi="楷体_GB2312" w:cs="楷体_GB2312" w:hint="eastAsia"/>
          <w:b w:val="0"/>
          <w:bCs/>
        </w:rPr>
        <w:t>（一）财务管理</w:t>
      </w:r>
      <w:bookmarkEnd w:id="8"/>
    </w:p>
    <w:p w:rsidR="001B6551" w:rsidRDefault="00AA329C" w:rsidP="001B6551">
      <w:pPr>
        <w:spacing w:line="560" w:lineRule="exact"/>
        <w:ind w:leftChars="50" w:left="105"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1.财务</w:t>
      </w:r>
      <w:r>
        <w:rPr>
          <w:rFonts w:ascii="仿宋_GB2312" w:eastAsia="仿宋_GB2312" w:hAnsi="宋体" w:cs="宋体"/>
          <w:b/>
          <w:bCs/>
          <w:color w:val="000000"/>
          <w:kern w:val="0"/>
          <w:sz w:val="32"/>
          <w:szCs w:val="32"/>
        </w:rPr>
        <w:t>管理制度健全性</w:t>
      </w:r>
    </w:p>
    <w:p w:rsidR="00651BFA" w:rsidRDefault="00AA329C" w:rsidP="00F52AB4">
      <w:pPr>
        <w:tabs>
          <w:tab w:val="left" w:pos="5250"/>
        </w:tabs>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市交通</w:t>
      </w:r>
      <w:proofErr w:type="gramStart"/>
      <w:r>
        <w:rPr>
          <w:rFonts w:ascii="仿宋_GB2312" w:eastAsia="仿宋_GB2312" w:hAnsi="宋体" w:cs="宋体" w:hint="eastAsia"/>
          <w:color w:val="000000"/>
          <w:kern w:val="0"/>
          <w:sz w:val="32"/>
          <w:szCs w:val="32"/>
        </w:rPr>
        <w:t>委建立</w:t>
      </w:r>
      <w:proofErr w:type="gramEnd"/>
      <w:r>
        <w:rPr>
          <w:rFonts w:ascii="仿宋_GB2312" w:eastAsia="仿宋_GB2312" w:hAnsi="宋体" w:cs="宋体" w:hint="eastAsia"/>
          <w:color w:val="000000"/>
          <w:kern w:val="0"/>
          <w:sz w:val="32"/>
          <w:szCs w:val="32"/>
        </w:rPr>
        <w:t>了较为完善的财务管理制度体系，包括《北京市交通委员会预算管理办法》《北京市交通委员会</w:t>
      </w:r>
      <w:r w:rsidR="008F0730" w:rsidRPr="008F0730">
        <w:rPr>
          <w:rFonts w:ascii="仿宋_GB2312" w:eastAsia="仿宋_GB2312" w:hAnsi="宋体" w:cs="宋体" w:hint="eastAsia"/>
          <w:color w:val="000000"/>
          <w:kern w:val="0"/>
          <w:sz w:val="32"/>
          <w:szCs w:val="32"/>
        </w:rPr>
        <w:t>机关经费支出管理办法</w:t>
      </w:r>
      <w:r>
        <w:rPr>
          <w:rFonts w:ascii="仿宋_GB2312" w:eastAsia="仿宋_GB2312" w:hAnsi="宋体" w:cs="宋体" w:hint="eastAsia"/>
          <w:color w:val="000000"/>
          <w:kern w:val="0"/>
          <w:sz w:val="32"/>
          <w:szCs w:val="32"/>
        </w:rPr>
        <w:t>》</w:t>
      </w:r>
      <w:r w:rsidR="008F073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北京市交通委员会系统政府采购管理办法》</w:t>
      </w:r>
      <w:r w:rsidR="008F073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小额资金项目采购管理办法（试行）</w:t>
      </w:r>
      <w:r w:rsidR="008F073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基本建设项目管理办法</w:t>
      </w:r>
      <w:r w:rsidR="008F0730">
        <w:rPr>
          <w:rFonts w:ascii="仿宋_GB2312" w:eastAsia="仿宋_GB2312" w:hAnsi="宋体" w:cs="宋体" w:hint="eastAsia"/>
          <w:color w:val="000000"/>
          <w:kern w:val="0"/>
          <w:sz w:val="32"/>
          <w:szCs w:val="32"/>
        </w:rPr>
        <w:t>》</w:t>
      </w:r>
      <w:bookmarkStart w:id="9" w:name="title"/>
      <w:r w:rsidR="008F073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北京市交通委员会合同管理暂行办法》</w:t>
      </w:r>
      <w:bookmarkEnd w:id="9"/>
      <w:r>
        <w:rPr>
          <w:rFonts w:ascii="仿宋_GB2312" w:eastAsia="仿宋_GB2312" w:hAnsi="宋体" w:cs="宋体" w:hint="eastAsia"/>
          <w:color w:val="000000"/>
          <w:kern w:val="0"/>
          <w:sz w:val="32"/>
          <w:szCs w:val="32"/>
        </w:rPr>
        <w:t>等一系列制度，以及</w:t>
      </w:r>
      <w:r w:rsidR="008F073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省际客运站落客安检人员专项补助资金使用管理办法》等专项资金管理办法，从预算管理、收支管理、政府采购、专项资金管理等方面进行规范约束，</w:t>
      </w:r>
      <w:r w:rsidR="008F0730">
        <w:rPr>
          <w:rFonts w:ascii="仿宋_GB2312" w:eastAsia="仿宋_GB2312" w:hAnsi="宋体" w:cs="宋体" w:hint="eastAsia"/>
          <w:color w:val="000000"/>
          <w:kern w:val="0"/>
          <w:sz w:val="32"/>
          <w:szCs w:val="32"/>
        </w:rPr>
        <w:t>从</w:t>
      </w:r>
      <w:r>
        <w:rPr>
          <w:rFonts w:ascii="仿宋_GB2312" w:eastAsia="仿宋_GB2312" w:hAnsi="宋体" w:cs="宋体" w:hint="eastAsia"/>
          <w:color w:val="000000"/>
          <w:kern w:val="0"/>
          <w:sz w:val="32"/>
          <w:szCs w:val="32"/>
        </w:rPr>
        <w:t>制度上保证了财务工作的规范有序开展。</w:t>
      </w:r>
    </w:p>
    <w:p w:rsidR="001B6551" w:rsidRDefault="00AA329C" w:rsidP="001B655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2.资金使用合</w:t>
      </w:r>
      <w:proofErr w:type="gramStart"/>
      <w:r>
        <w:rPr>
          <w:rFonts w:ascii="仿宋_GB2312" w:eastAsia="仿宋_GB2312" w:hAnsi="仿宋_GB2312" w:cs="仿宋_GB2312" w:hint="eastAsia"/>
          <w:b/>
          <w:sz w:val="32"/>
          <w:szCs w:val="32"/>
        </w:rPr>
        <w:t>规</w:t>
      </w:r>
      <w:proofErr w:type="gramEnd"/>
      <w:r>
        <w:rPr>
          <w:rFonts w:ascii="仿宋_GB2312" w:eastAsia="仿宋_GB2312" w:hAnsi="仿宋_GB2312" w:cs="仿宋_GB2312" w:hint="eastAsia"/>
          <w:b/>
          <w:sz w:val="32"/>
          <w:szCs w:val="32"/>
        </w:rPr>
        <w:t>性</w:t>
      </w:r>
      <w:r>
        <w:rPr>
          <w:rFonts w:ascii="仿宋_GB2312" w:eastAsia="仿宋_GB2312" w:hAnsi="仿宋_GB2312" w:cs="仿宋_GB2312"/>
          <w:b/>
          <w:sz w:val="32"/>
          <w:szCs w:val="32"/>
        </w:rPr>
        <w:t>和安全性</w:t>
      </w:r>
    </w:p>
    <w:p w:rsidR="00651BFA" w:rsidRDefault="00AA329C" w:rsidP="00F52AB4">
      <w:pPr>
        <w:tabs>
          <w:tab w:val="left" w:pos="525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交通委严格遵守《预算法》《预算法实施条例》等法律法规和财政部、市财政局有关财政、财务规章制度，并制定了适合本单位的制度，规范财政资金管理，量入为出，统筹兼顾，突出重点，讲究实效，防范风险，合理使用各项建设资金，建设项目预算支出整体受控。</w:t>
      </w:r>
    </w:p>
    <w:p w:rsidR="00651BFA" w:rsidRDefault="00AA329C" w:rsidP="00F52AB4">
      <w:pPr>
        <w:tabs>
          <w:tab w:val="left" w:pos="525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预算管理按照市财政局预算管理规定、《北京市交通委员会预算管理办法》规定，做好预算申报工作。按照</w:t>
      </w:r>
      <w:r w:rsidR="008F0730" w:rsidRPr="008F0730">
        <w:rPr>
          <w:rFonts w:ascii="仿宋_GB2312" w:eastAsia="仿宋_GB2312" w:hAnsi="宋体" w:hint="eastAsia"/>
          <w:sz w:val="32"/>
          <w:szCs w:val="32"/>
        </w:rPr>
        <w:t>《中共北京市交通委员会党组 “三重一大”事项决策制度（试行）》</w:t>
      </w:r>
      <w:r>
        <w:rPr>
          <w:rFonts w:ascii="仿宋_GB2312" w:eastAsia="仿宋_GB2312" w:hAnsi="宋体" w:hint="eastAsia"/>
          <w:sz w:val="32"/>
          <w:szCs w:val="32"/>
        </w:rPr>
        <w:t>、各</w:t>
      </w:r>
      <w:r w:rsidR="008F0730">
        <w:rPr>
          <w:rFonts w:ascii="仿宋_GB2312" w:eastAsia="仿宋_GB2312" w:hAnsi="宋体" w:hint="eastAsia"/>
          <w:sz w:val="32"/>
          <w:szCs w:val="32"/>
        </w:rPr>
        <w:t>所属</w:t>
      </w:r>
      <w:r>
        <w:rPr>
          <w:rFonts w:ascii="仿宋_GB2312" w:eastAsia="仿宋_GB2312" w:hAnsi="宋体" w:hint="eastAsia"/>
          <w:sz w:val="32"/>
          <w:szCs w:val="32"/>
        </w:rPr>
        <w:t>单位“三重一大”有关规定要求，年度预算经各单位党委会研究、市交通委汇总并报党组会审议后报市财政局审批。</w:t>
      </w:r>
    </w:p>
    <w:p w:rsidR="00B44D1B" w:rsidRDefault="00AA329C">
      <w:pPr>
        <w:tabs>
          <w:tab w:val="left" w:pos="525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预算批复后，严格执行市交通委</w:t>
      </w:r>
      <w:r w:rsidR="008F0730">
        <w:rPr>
          <w:rFonts w:ascii="仿宋_GB2312" w:eastAsia="仿宋_GB2312" w:hAnsi="宋体" w:cs="宋体" w:hint="eastAsia"/>
          <w:color w:val="000000"/>
          <w:kern w:val="0"/>
          <w:sz w:val="32"/>
          <w:szCs w:val="32"/>
        </w:rPr>
        <w:t>《北京市交通委员会</w:t>
      </w:r>
      <w:r w:rsidR="008F0730" w:rsidRPr="008F0730">
        <w:rPr>
          <w:rFonts w:ascii="仿宋_GB2312" w:eastAsia="仿宋_GB2312" w:hAnsi="宋体" w:cs="宋体" w:hint="eastAsia"/>
          <w:color w:val="000000"/>
          <w:kern w:val="0"/>
          <w:sz w:val="32"/>
          <w:szCs w:val="32"/>
        </w:rPr>
        <w:t>机关经费支出管理办法</w:t>
      </w:r>
      <w:r w:rsidR="008F0730">
        <w:rPr>
          <w:rFonts w:ascii="仿宋_GB2312" w:eastAsia="仿宋_GB2312" w:hAnsi="宋体" w:cs="宋体" w:hint="eastAsia"/>
          <w:color w:val="000000"/>
          <w:kern w:val="0"/>
          <w:sz w:val="32"/>
          <w:szCs w:val="32"/>
        </w:rPr>
        <w:t>》《北京市交通委员会合同管理暂行办法》</w:t>
      </w:r>
      <w:r>
        <w:rPr>
          <w:rFonts w:ascii="仿宋_GB2312" w:eastAsia="仿宋_GB2312" w:hAnsi="宋体" w:hint="eastAsia"/>
          <w:sz w:val="32"/>
          <w:szCs w:val="32"/>
        </w:rPr>
        <w:t>等要求，按照《政府采购法》的规定开展政府采购，严格按照相关制度办理项目资金收支，积极防范资金风险。资金的拨付有完整的审批程序和手续，基本支出、项目支出均符合部门预算批复的用途，无截留、挤占、挪用情况。</w:t>
      </w:r>
    </w:p>
    <w:p w:rsidR="00B44D1B" w:rsidRDefault="00AA329C">
      <w:pPr>
        <w:spacing w:line="560" w:lineRule="exact"/>
        <w:ind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3.会计基础信息完善性</w:t>
      </w:r>
    </w:p>
    <w:p w:rsidR="00B44D1B" w:rsidRDefault="00AA329C">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交通委严格按照《中华人民共和国预算法》《政府会计准则——基本准则》等法律、行政法规、规章和市财政局要求进行核算，采用财务会计、预算会计双轨并行的会计记账方式，全面、客观如实反映市交通委发生的各项经济业务，基础数据信息和会计信息资料真实、完整、准确。</w:t>
      </w:r>
    </w:p>
    <w:p w:rsidR="001B6551" w:rsidRDefault="00AA329C" w:rsidP="001B6551">
      <w:pPr>
        <w:pStyle w:val="2"/>
        <w:keepNext w:val="0"/>
        <w:keepLines w:val="0"/>
        <w:spacing w:before="0" w:after="0" w:line="560" w:lineRule="exact"/>
        <w:ind w:firstLineChars="200" w:firstLine="640"/>
        <w:rPr>
          <w:rFonts w:ascii="楷体_GB2312" w:eastAsia="楷体_GB2312" w:hAnsi="楷体_GB2312" w:cs="楷体_GB2312"/>
          <w:b w:val="0"/>
          <w:bCs/>
        </w:rPr>
      </w:pPr>
      <w:bookmarkStart w:id="10" w:name="_Toc14545"/>
      <w:r>
        <w:rPr>
          <w:rFonts w:ascii="楷体_GB2312" w:eastAsia="楷体_GB2312" w:hAnsi="楷体_GB2312" w:cs="楷体_GB2312" w:hint="eastAsia"/>
          <w:b w:val="0"/>
          <w:bCs/>
        </w:rPr>
        <w:t>（二）资产管理</w:t>
      </w:r>
      <w:bookmarkEnd w:id="10"/>
    </w:p>
    <w:p w:rsidR="001B6551" w:rsidRDefault="00AA329C" w:rsidP="001B6551">
      <w:pPr>
        <w:spacing w:line="560" w:lineRule="exact"/>
        <w:ind w:leftChars="50" w:left="105"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1.制度建设</w:t>
      </w:r>
    </w:p>
    <w:p w:rsidR="00651BFA" w:rsidRDefault="00AA329C" w:rsidP="00F52AB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严格落实国有资产管理相关要求，规范市交通委固定资产管理，制订了《北京市交通委员会固定资产管理暂行办法》《公路公共基础设施入账实施细则》《委机关固定资产更新工作实施方案》等制度，从资产购置、盘点、日常管理、处置、核算等方面明确了管理要求，为维护资产安全完整、提升资产使用效率、发挥资产功能价值方面提供了良好的制度保障。</w:t>
      </w:r>
    </w:p>
    <w:p w:rsidR="001B6551" w:rsidRDefault="00AA329C" w:rsidP="001B6551">
      <w:pPr>
        <w:spacing w:line="560" w:lineRule="exact"/>
        <w:ind w:leftChars="50" w:left="105"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2.管理措施</w:t>
      </w:r>
    </w:p>
    <w:p w:rsidR="001B6551" w:rsidRDefault="00AA329C" w:rsidP="001B6551">
      <w:pPr>
        <w:spacing w:line="560" w:lineRule="exact"/>
        <w:ind w:leftChars="50" w:left="105"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市交通委根据资产管理制度的规定，每年定期对资产进行盘点，确保账</w:t>
      </w:r>
      <w:proofErr w:type="gramStart"/>
      <w:r>
        <w:rPr>
          <w:rFonts w:ascii="仿宋_GB2312" w:eastAsia="仿宋_GB2312" w:hAnsi="仿宋_GB2312" w:cs="仿宋_GB2312" w:hint="eastAsia"/>
          <w:kern w:val="0"/>
          <w:sz w:val="32"/>
          <w:szCs w:val="32"/>
        </w:rPr>
        <w:t>账</w:t>
      </w:r>
      <w:proofErr w:type="gramEnd"/>
      <w:r>
        <w:rPr>
          <w:rFonts w:ascii="仿宋_GB2312" w:eastAsia="仿宋_GB2312" w:hAnsi="仿宋_GB2312" w:cs="仿宋_GB2312" w:hint="eastAsia"/>
          <w:kern w:val="0"/>
          <w:sz w:val="32"/>
          <w:szCs w:val="32"/>
        </w:rPr>
        <w:t>、账实、账表核对一致，做到摸清家底，并完善</w:t>
      </w:r>
      <w:proofErr w:type="gramStart"/>
      <w:r>
        <w:rPr>
          <w:rFonts w:ascii="仿宋_GB2312" w:eastAsia="仿宋_GB2312" w:hAnsi="仿宋_GB2312" w:cs="仿宋_GB2312" w:hint="eastAsia"/>
          <w:kern w:val="0"/>
          <w:sz w:val="32"/>
          <w:szCs w:val="32"/>
        </w:rPr>
        <w:t>资产台</w:t>
      </w:r>
      <w:proofErr w:type="gramEnd"/>
      <w:r>
        <w:rPr>
          <w:rFonts w:ascii="仿宋_GB2312" w:eastAsia="仿宋_GB2312" w:hAnsi="仿宋_GB2312" w:cs="仿宋_GB2312" w:hint="eastAsia"/>
          <w:kern w:val="0"/>
          <w:sz w:val="32"/>
          <w:szCs w:val="32"/>
        </w:rPr>
        <w:t>账。加强对固定资产的配置、采购、报废等环节的科学决策，实现资产管理的规范化、科学化、合理化。</w:t>
      </w:r>
    </w:p>
    <w:p w:rsidR="001B6551" w:rsidRDefault="00AA329C" w:rsidP="001B6551">
      <w:pPr>
        <w:pStyle w:val="2"/>
        <w:keepNext w:val="0"/>
        <w:keepLines w:val="0"/>
        <w:spacing w:before="0" w:after="0" w:line="560" w:lineRule="exact"/>
        <w:ind w:firstLineChars="200" w:firstLine="640"/>
        <w:rPr>
          <w:rFonts w:ascii="楷体_GB2312" w:eastAsia="楷体_GB2312" w:hAnsi="楷体_GB2312" w:cs="楷体_GB2312"/>
          <w:b w:val="0"/>
          <w:bCs/>
        </w:rPr>
      </w:pPr>
      <w:bookmarkStart w:id="11" w:name="_Toc15535"/>
      <w:r>
        <w:rPr>
          <w:rFonts w:ascii="楷体_GB2312" w:eastAsia="楷体_GB2312" w:hAnsi="楷体_GB2312" w:cs="楷体_GB2312" w:hint="eastAsia"/>
          <w:b w:val="0"/>
          <w:bCs/>
        </w:rPr>
        <w:t>（三）绩效管理</w:t>
      </w:r>
      <w:bookmarkEnd w:id="11"/>
    </w:p>
    <w:p w:rsidR="001B6551" w:rsidRDefault="00AA329C" w:rsidP="001B6551">
      <w:pPr>
        <w:spacing w:line="560" w:lineRule="exact"/>
        <w:ind w:leftChars="50" w:left="105"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1.组织架构</w:t>
      </w:r>
    </w:p>
    <w:p w:rsidR="00651BFA" w:rsidRDefault="00AA329C" w:rsidP="00F52AB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为按时、高质量地完成部门绩效评价工作，切实提高全</w:t>
      </w:r>
      <w:proofErr w:type="gramStart"/>
      <w:r>
        <w:rPr>
          <w:rFonts w:ascii="仿宋_GB2312" w:eastAsia="仿宋_GB2312" w:hint="eastAsia"/>
          <w:sz w:val="32"/>
          <w:szCs w:val="32"/>
        </w:rPr>
        <w:t>委预算</w:t>
      </w:r>
      <w:proofErr w:type="gramEnd"/>
      <w:r>
        <w:rPr>
          <w:rFonts w:ascii="仿宋_GB2312" w:eastAsia="仿宋_GB2312" w:hint="eastAsia"/>
          <w:sz w:val="32"/>
          <w:szCs w:val="32"/>
        </w:rPr>
        <w:t>管理水平，成立预算部门绩效评价领导小组，负责交通</w:t>
      </w:r>
      <w:proofErr w:type="gramStart"/>
      <w:r>
        <w:rPr>
          <w:rFonts w:ascii="仿宋_GB2312" w:eastAsia="仿宋_GB2312" w:hint="eastAsia"/>
          <w:sz w:val="32"/>
          <w:szCs w:val="32"/>
        </w:rPr>
        <w:t>委部门</w:t>
      </w:r>
      <w:proofErr w:type="gramEnd"/>
      <w:r>
        <w:rPr>
          <w:rFonts w:ascii="仿宋_GB2312" w:eastAsia="仿宋_GB2312" w:hint="eastAsia"/>
          <w:sz w:val="32"/>
          <w:szCs w:val="32"/>
        </w:rPr>
        <w:t>绩效评价的总体协调、监督。</w:t>
      </w:r>
    </w:p>
    <w:p w:rsidR="00B44D1B" w:rsidRDefault="00AA329C">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2.制度建设</w:t>
      </w:r>
    </w:p>
    <w:p w:rsidR="00B44D1B" w:rsidRDefault="00AA32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制定了预算绩效管理规定，按照项目类别制定了绩效目标模板，将绩效目标设定、</w:t>
      </w:r>
      <w:r w:rsidR="008F0730">
        <w:rPr>
          <w:rFonts w:ascii="仿宋_GB2312" w:eastAsia="仿宋_GB2312" w:hAnsi="仿宋_GB2312" w:cs="仿宋_GB2312" w:hint="eastAsia"/>
          <w:sz w:val="32"/>
          <w:szCs w:val="32"/>
        </w:rPr>
        <w:t>事前绩效评估、</w:t>
      </w:r>
      <w:r>
        <w:rPr>
          <w:rFonts w:ascii="仿宋_GB2312" w:eastAsia="仿宋_GB2312" w:hAnsi="仿宋_GB2312" w:cs="仿宋_GB2312" w:hint="eastAsia"/>
          <w:sz w:val="32"/>
          <w:szCs w:val="32"/>
        </w:rPr>
        <w:t>绩效监控、绩效评价及结果应用纳入预算编制、执行、监督全过程，以提高全面预算绩效管理水平。</w:t>
      </w:r>
    </w:p>
    <w:p w:rsidR="001B6551" w:rsidRDefault="00AA329C" w:rsidP="001B6551">
      <w:pPr>
        <w:spacing w:line="560" w:lineRule="exact"/>
        <w:ind w:leftChars="50" w:left="105"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3.2022年工作开展情况</w:t>
      </w:r>
    </w:p>
    <w:p w:rsidR="00651BFA" w:rsidRDefault="00AA329C" w:rsidP="00F52A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市交通委严格落实预算绩效管理主体责任，扎实开展了一系列部门预算绩效管理相关工作。</w:t>
      </w:r>
    </w:p>
    <w:p w:rsidR="00B44D1B" w:rsidRDefault="00AA32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一是开展项目事前绩效评审和预算评审。</w:t>
      </w:r>
      <w:r>
        <w:rPr>
          <w:rFonts w:ascii="仿宋_GB2312" w:eastAsia="仿宋_GB2312" w:hAnsi="仿宋_GB2312" w:cs="仿宋_GB2312" w:hint="eastAsia"/>
          <w:sz w:val="32"/>
          <w:szCs w:val="32"/>
        </w:rPr>
        <w:t>市交通</w:t>
      </w:r>
      <w:proofErr w:type="gramStart"/>
      <w:r>
        <w:rPr>
          <w:rFonts w:ascii="仿宋_GB2312" w:eastAsia="仿宋_GB2312" w:hAnsi="仿宋_GB2312" w:cs="仿宋_GB2312" w:hint="eastAsia"/>
          <w:sz w:val="32"/>
          <w:szCs w:val="32"/>
        </w:rPr>
        <w:t>委连续</w:t>
      </w:r>
      <w:proofErr w:type="gramEnd"/>
      <w:r>
        <w:rPr>
          <w:rFonts w:ascii="仿宋_GB2312" w:eastAsia="仿宋_GB2312" w:hAnsi="仿宋_GB2312" w:cs="仿宋_GB2312" w:hint="eastAsia"/>
          <w:sz w:val="32"/>
          <w:szCs w:val="32"/>
        </w:rPr>
        <w:t>多年聘请专业机构对部门预算项目开展事前绩效评估和预算评审工作，由重点项目逐步扩展到部门所有新增重点项目均纳入事前绩效评估工作，预算评审基本实现全覆盖。</w:t>
      </w:r>
    </w:p>
    <w:p w:rsidR="00B44D1B" w:rsidRDefault="00AA32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二是扎实推进部门绩效自评</w:t>
      </w:r>
      <w:r>
        <w:rPr>
          <w:rFonts w:ascii="仿宋_GB2312" w:eastAsia="仿宋_GB2312" w:hAnsi="仿宋_GB2312" w:cs="仿宋_GB2312" w:hint="eastAsia"/>
          <w:sz w:val="32"/>
          <w:szCs w:val="32"/>
        </w:rPr>
        <w:t>。纳入绩效评价的重点项目选取严格按照北京市全面预算绩效管理工作的要求，优先从2021年度部门预算中“委托外包”类、9月底预算执行进度不足75%的、年初预算进行调整的、中央直达资金、事前绩效评估存在问题的项目中选取，并采取轮换制，提高重点项目覆盖面。采用专家评议法、比较法等多种方式相结合对部门重点支出项目进行绩效评价，通过项目自评打分真实、客观反映项目预算执行情况和绩效目标完成情况。</w:t>
      </w:r>
    </w:p>
    <w:p w:rsidR="00B44D1B" w:rsidRDefault="00AA32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三是</w:t>
      </w:r>
      <w:r>
        <w:rPr>
          <w:rFonts w:ascii="仿宋_GB2312" w:eastAsia="仿宋_GB2312" w:hAnsi="仿宋_GB2312" w:cs="仿宋_GB2312" w:hint="eastAsia"/>
          <w:sz w:val="32"/>
          <w:szCs w:val="32"/>
        </w:rPr>
        <w:t>开展绩效运行监控工作。加强对项目执行过程、预算支出进度的动态监控，年度中期向市财政局报送绩效运行监控报告，对项目执行中的问题及时纠偏，密切关注财政资金使用效率，提前预判项目执行和预算支出情况，根据项目执行情况调整预算和绩效目标，提高财政资金使用效率。</w:t>
      </w:r>
    </w:p>
    <w:p w:rsidR="00B44D1B" w:rsidRDefault="00AA329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四是继续开展成本预算绩效分析，选取有代表性的项目按程序开展，并将分析评价结果与预算挂钩。</w:t>
      </w:r>
    </w:p>
    <w:p w:rsidR="00B44D1B" w:rsidRDefault="00AA32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是坚持通过公开接受监督。部门预决算及绩效评价情况在政府门户网站上进行公开，接受社会监督，以促进建立科学、规范、高效的财政资金分配管理体制和预算决策机制，合理配置政府财政资源，提高财政资金使用效益。</w:t>
      </w:r>
    </w:p>
    <w:p w:rsidR="001B6551" w:rsidRDefault="00AA329C" w:rsidP="001B6551">
      <w:pPr>
        <w:pStyle w:val="2"/>
        <w:keepNext w:val="0"/>
        <w:keepLines w:val="0"/>
        <w:spacing w:before="0" w:after="0" w:line="560" w:lineRule="exact"/>
        <w:ind w:firstLineChars="200" w:firstLine="643"/>
        <w:rPr>
          <w:rFonts w:ascii="楷体_GB2312" w:eastAsia="楷体_GB2312" w:hAnsi="楷体_GB2312" w:cs="楷体_GB2312"/>
          <w:bCs/>
        </w:rPr>
      </w:pPr>
      <w:bookmarkStart w:id="12" w:name="_Toc24503"/>
      <w:r>
        <w:rPr>
          <w:rFonts w:ascii="楷体_GB2312" w:eastAsia="楷体_GB2312" w:hAnsi="楷体_GB2312" w:cs="楷体_GB2312" w:hint="eastAsia"/>
          <w:bCs/>
        </w:rPr>
        <w:t>（四）结转结余率</w:t>
      </w:r>
      <w:bookmarkEnd w:id="12"/>
    </w:p>
    <w:p w:rsidR="00651BFA" w:rsidRDefault="00AA329C" w:rsidP="00F52A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2022年部门结转结余总额</w:t>
      </w:r>
      <w:r>
        <w:rPr>
          <w:rFonts w:ascii="仿宋_GB2312" w:eastAsia="仿宋_GB2312" w:hAnsi="仿宋_GB2312" w:cs="仿宋_GB2312"/>
          <w:sz w:val="32"/>
          <w:szCs w:val="32"/>
        </w:rPr>
        <w:t>72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728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8万元，全年支出预算数</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万元，结转结余率</w:t>
      </w:r>
      <w:r>
        <w:rPr>
          <w:rFonts w:ascii="仿宋_GB2312" w:eastAsia="仿宋_GB2312" w:hAnsi="仿宋_GB2312" w:cs="仿宋_GB2312"/>
          <w:sz w:val="32"/>
          <w:szCs w:val="32"/>
        </w:rPr>
        <w:t>3.60</w:t>
      </w:r>
      <w:r>
        <w:rPr>
          <w:rFonts w:ascii="仿宋_GB2312" w:eastAsia="仿宋_GB2312" w:hAnsi="仿宋_GB2312" w:cs="仿宋_GB2312" w:hint="eastAsia"/>
          <w:sz w:val="32"/>
          <w:szCs w:val="32"/>
        </w:rPr>
        <w:t>%</w:t>
      </w:r>
      <w:r w:rsidR="00982B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年内追加、调整的项目资金可以使用到2023年4月底</w:t>
      </w:r>
      <w:r w:rsidR="00982B91">
        <w:rPr>
          <w:rFonts w:ascii="仿宋_GB2312" w:eastAsia="仿宋_GB2312" w:hAnsi="仿宋_GB2312" w:cs="仿宋_GB2312" w:hint="eastAsia"/>
          <w:sz w:val="32"/>
          <w:szCs w:val="32"/>
        </w:rPr>
        <w:t>为结转结余的主要原因</w:t>
      </w:r>
      <w:r>
        <w:rPr>
          <w:rFonts w:ascii="仿宋_GB2312" w:eastAsia="仿宋_GB2312" w:hAnsi="仿宋_GB2312" w:cs="仿宋_GB2312" w:hint="eastAsia"/>
          <w:sz w:val="32"/>
          <w:szCs w:val="32"/>
        </w:rPr>
        <w:t>。</w:t>
      </w:r>
    </w:p>
    <w:p w:rsidR="001B6551" w:rsidRDefault="00AA329C" w:rsidP="001B6551">
      <w:pPr>
        <w:pStyle w:val="2"/>
        <w:keepNext w:val="0"/>
        <w:keepLines w:val="0"/>
        <w:spacing w:before="0" w:after="0" w:line="560" w:lineRule="exact"/>
        <w:ind w:firstLineChars="200" w:firstLine="643"/>
        <w:rPr>
          <w:rFonts w:ascii="楷体_GB2312" w:eastAsia="楷体_GB2312" w:hAnsi="楷体_GB2312" w:cs="楷体_GB2312"/>
          <w:bCs/>
        </w:rPr>
      </w:pPr>
      <w:bookmarkStart w:id="13" w:name="_Toc9318"/>
      <w:r>
        <w:rPr>
          <w:rFonts w:ascii="楷体_GB2312" w:eastAsia="楷体_GB2312" w:hAnsi="楷体_GB2312" w:cs="楷体_GB2312" w:hint="eastAsia"/>
          <w:bCs/>
        </w:rPr>
        <w:t>（五）部门预决算差异率</w:t>
      </w:r>
      <w:bookmarkEnd w:id="13"/>
    </w:p>
    <w:p w:rsidR="00651BFA" w:rsidRDefault="00AA329C" w:rsidP="00F52A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2022年部门决算数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948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098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2万元，与年初部门预算数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779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595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72</w:t>
      </w:r>
      <w:r>
        <w:rPr>
          <w:rFonts w:ascii="仿宋_GB2312" w:eastAsia="仿宋_GB2312" w:hAnsi="仿宋_GB2312" w:cs="仿宋_GB2312" w:hint="eastAsia"/>
          <w:sz w:val="32"/>
          <w:szCs w:val="32"/>
        </w:rPr>
        <w:t>万元相比，部门预决算差异率为</w:t>
      </w:r>
      <w:r>
        <w:rPr>
          <w:rFonts w:ascii="仿宋_GB2312" w:eastAsia="仿宋_GB2312" w:hAnsi="仿宋_GB2312" w:cs="仿宋_GB2312"/>
          <w:sz w:val="32"/>
          <w:szCs w:val="32"/>
        </w:rPr>
        <w:t>9.47</w:t>
      </w:r>
      <w:r>
        <w:rPr>
          <w:rFonts w:ascii="仿宋_GB2312" w:eastAsia="仿宋_GB2312" w:hAnsi="仿宋_GB2312" w:cs="仿宋_GB2312" w:hint="eastAsia"/>
          <w:sz w:val="32"/>
          <w:szCs w:val="32"/>
        </w:rPr>
        <w:t>%。主要原因是中央</w:t>
      </w:r>
      <w:proofErr w:type="gramStart"/>
      <w:r>
        <w:rPr>
          <w:rFonts w:ascii="仿宋_GB2312" w:eastAsia="仿宋_GB2312" w:hAnsi="仿宋_GB2312" w:cs="仿宋_GB2312" w:hint="eastAsia"/>
          <w:sz w:val="32"/>
          <w:szCs w:val="32"/>
        </w:rPr>
        <w:t>车购税补助</w:t>
      </w:r>
      <w:proofErr w:type="gramEnd"/>
      <w:r>
        <w:rPr>
          <w:rFonts w:ascii="仿宋_GB2312" w:eastAsia="仿宋_GB2312" w:hAnsi="仿宋_GB2312" w:cs="仿宋_GB2312" w:hint="eastAsia"/>
          <w:sz w:val="32"/>
          <w:szCs w:val="32"/>
        </w:rPr>
        <w:t>、公路养护等</w:t>
      </w:r>
      <w:r w:rsidR="00F22485">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资金年内陆续下达。</w:t>
      </w:r>
    </w:p>
    <w:p w:rsidR="001B6551" w:rsidRDefault="00AA329C" w:rsidP="001B6551">
      <w:pPr>
        <w:pStyle w:val="1"/>
        <w:keepNext w:val="0"/>
        <w:keepLines w:val="0"/>
        <w:spacing w:before="0" w:after="0" w:line="560" w:lineRule="exact"/>
        <w:ind w:firstLineChars="200" w:firstLine="640"/>
        <w:rPr>
          <w:rFonts w:ascii="黑体" w:eastAsia="黑体" w:hAnsi="黑体" w:cs="黑体"/>
          <w:b w:val="0"/>
          <w:bCs/>
          <w:sz w:val="32"/>
          <w:szCs w:val="32"/>
        </w:rPr>
      </w:pPr>
      <w:bookmarkStart w:id="14" w:name="_Toc24562"/>
      <w:r>
        <w:rPr>
          <w:rFonts w:ascii="黑体" w:eastAsia="黑体" w:hAnsi="黑体" w:cs="黑体" w:hint="eastAsia"/>
          <w:b w:val="0"/>
          <w:bCs/>
          <w:sz w:val="32"/>
          <w:szCs w:val="32"/>
        </w:rPr>
        <w:t>五、总体评价结论</w:t>
      </w:r>
      <w:bookmarkEnd w:id="14"/>
    </w:p>
    <w:p w:rsidR="001B6551" w:rsidRDefault="00AA329C" w:rsidP="001B6551">
      <w:pPr>
        <w:pStyle w:val="2"/>
        <w:keepNext w:val="0"/>
        <w:keepLines w:val="0"/>
        <w:spacing w:before="0" w:after="0" w:line="560" w:lineRule="exact"/>
        <w:ind w:firstLineChars="200" w:firstLine="640"/>
        <w:rPr>
          <w:rFonts w:ascii="楷体_GB2312" w:eastAsia="楷体_GB2312" w:hAnsi="楷体_GB2312" w:cs="楷体_GB2312"/>
          <w:b w:val="0"/>
          <w:bCs/>
        </w:rPr>
      </w:pPr>
      <w:bookmarkStart w:id="15" w:name="_Toc6069"/>
      <w:r>
        <w:rPr>
          <w:rFonts w:ascii="楷体_GB2312" w:eastAsia="楷体_GB2312" w:hAnsi="楷体_GB2312" w:cs="楷体_GB2312" w:hint="eastAsia"/>
          <w:b w:val="0"/>
          <w:bCs/>
        </w:rPr>
        <w:t>（一）评价得分情况</w:t>
      </w:r>
      <w:bookmarkEnd w:id="15"/>
    </w:p>
    <w:p w:rsidR="000B7529" w:rsidRPr="000B7529" w:rsidRDefault="001B6551" w:rsidP="00A70C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部门整体绩效评价得分为</w:t>
      </w:r>
      <w:r>
        <w:rPr>
          <w:rFonts w:ascii="仿宋_GB2312" w:eastAsia="仿宋_GB2312" w:hAnsi="仿宋_GB2312" w:cs="仿宋_GB2312"/>
          <w:sz w:val="32"/>
          <w:szCs w:val="32"/>
        </w:rPr>
        <w:t>93.28</w:t>
      </w:r>
      <w:r>
        <w:rPr>
          <w:rFonts w:ascii="仿宋_GB2312" w:eastAsia="仿宋_GB2312" w:hAnsi="仿宋_GB2312" w:cs="仿宋_GB2312" w:hint="eastAsia"/>
          <w:sz w:val="32"/>
          <w:szCs w:val="32"/>
        </w:rPr>
        <w:t>。</w:t>
      </w:r>
    </w:p>
    <w:p w:rsidR="001B6551" w:rsidRDefault="001B6551" w:rsidP="00A70C64">
      <w:pPr>
        <w:pStyle w:val="2"/>
        <w:keepNext w:val="0"/>
        <w:keepLines w:val="0"/>
        <w:spacing w:before="0" w:after="0" w:line="560" w:lineRule="exact"/>
        <w:ind w:firstLineChars="200" w:firstLine="640"/>
        <w:rPr>
          <w:rFonts w:ascii="楷体_GB2312" w:eastAsia="楷体_GB2312" w:hAnsi="楷体_GB2312" w:cs="楷体_GB2312"/>
          <w:b w:val="0"/>
          <w:bCs/>
        </w:rPr>
      </w:pPr>
      <w:bookmarkStart w:id="16" w:name="_Toc23461"/>
      <w:r w:rsidRPr="001B6551">
        <w:rPr>
          <w:rFonts w:ascii="楷体_GB2312" w:eastAsia="楷体_GB2312" w:hAnsi="楷体_GB2312" w:cs="楷体_GB2312" w:hint="eastAsia"/>
          <w:b w:val="0"/>
          <w:bCs/>
        </w:rPr>
        <w:t>（二）存在的问题及原因分析</w:t>
      </w:r>
      <w:bookmarkEnd w:id="16"/>
    </w:p>
    <w:p w:rsidR="00D47BBB" w:rsidRPr="00D47BBB" w:rsidRDefault="007532C6" w:rsidP="00D47BBB">
      <w:pPr>
        <w:spacing w:line="560" w:lineRule="exact"/>
        <w:ind w:firstLineChars="200" w:firstLine="640"/>
        <w:rPr>
          <w:rFonts w:ascii="仿宋_GB2312" w:eastAsia="仿宋_GB2312" w:hAnsi="仿宋_GB2312" w:cs="仿宋_GB2312"/>
          <w:sz w:val="32"/>
          <w:szCs w:val="32"/>
        </w:rPr>
      </w:pPr>
      <w:bookmarkStart w:id="17" w:name="_GoBack"/>
      <w:bookmarkEnd w:id="17"/>
      <w:r w:rsidRPr="007532C6">
        <w:rPr>
          <w:rFonts w:ascii="仿宋_GB2312" w:eastAsia="仿宋_GB2312" w:hAnsi="仿宋_GB2312" w:cs="仿宋_GB2312" w:hint="eastAsia"/>
          <w:sz w:val="32"/>
          <w:szCs w:val="32"/>
        </w:rPr>
        <w:t>部门整体绩效目标实现情况良好，完成了年初制定的各项重点工作任务</w:t>
      </w:r>
      <w:r>
        <w:rPr>
          <w:rFonts w:ascii="仿宋_GB2312" w:eastAsia="仿宋_GB2312" w:hAnsi="仿宋_GB2312" w:cs="仿宋_GB2312" w:hint="eastAsia"/>
          <w:sz w:val="32"/>
          <w:szCs w:val="32"/>
        </w:rPr>
        <w:t>；</w:t>
      </w:r>
      <w:r w:rsidRPr="007532C6">
        <w:rPr>
          <w:rFonts w:ascii="仿宋_GB2312" w:eastAsia="仿宋_GB2312" w:hAnsi="仿宋_GB2312" w:cs="仿宋_GB2312" w:hint="eastAsia"/>
          <w:sz w:val="32"/>
          <w:szCs w:val="32"/>
        </w:rPr>
        <w:t>财务管理制度健全，资</w:t>
      </w:r>
      <w:r>
        <w:rPr>
          <w:rFonts w:ascii="仿宋_GB2312" w:eastAsia="仿宋_GB2312" w:hAnsi="仿宋_GB2312" w:cs="仿宋_GB2312" w:hint="eastAsia"/>
          <w:sz w:val="32"/>
          <w:szCs w:val="32"/>
        </w:rPr>
        <w:t>金使用规范，资产使用及处置合</w:t>
      </w:r>
      <w:proofErr w:type="gramStart"/>
      <w:r>
        <w:rPr>
          <w:rFonts w:ascii="仿宋_GB2312" w:eastAsia="仿宋_GB2312" w:hAnsi="仿宋_GB2312" w:cs="仿宋_GB2312" w:hint="eastAsia"/>
          <w:sz w:val="32"/>
          <w:szCs w:val="32"/>
        </w:rPr>
        <w:t>规</w:t>
      </w:r>
      <w:proofErr w:type="gramEnd"/>
      <w:r w:rsidRPr="007532C6">
        <w:rPr>
          <w:rFonts w:ascii="仿宋_GB2312" w:eastAsia="仿宋_GB2312" w:hAnsi="仿宋_GB2312" w:cs="仿宋_GB2312" w:hint="eastAsia"/>
          <w:sz w:val="32"/>
          <w:szCs w:val="32"/>
        </w:rPr>
        <w:t>。</w:t>
      </w:r>
      <w:r w:rsidR="00D47BBB" w:rsidRPr="00D47BBB">
        <w:rPr>
          <w:rFonts w:ascii="仿宋_GB2312" w:eastAsia="仿宋_GB2312" w:hAnsi="仿宋_GB2312" w:cs="仿宋_GB2312" w:hint="eastAsia"/>
          <w:sz w:val="32"/>
          <w:szCs w:val="32"/>
        </w:rPr>
        <w:t>但在绩效评价</w:t>
      </w:r>
      <w:r w:rsidR="00D47BBB" w:rsidRPr="00D47BBB">
        <w:rPr>
          <w:rFonts w:ascii="仿宋_GB2312" w:eastAsia="仿宋_GB2312" w:hAnsi="仿宋_GB2312" w:cs="仿宋_GB2312"/>
          <w:sz w:val="32"/>
          <w:szCs w:val="32"/>
        </w:rPr>
        <w:t>过程中，</w:t>
      </w:r>
      <w:r w:rsidR="00D47BBB" w:rsidRPr="00D47BBB">
        <w:rPr>
          <w:rFonts w:ascii="仿宋_GB2312" w:eastAsia="仿宋_GB2312" w:hAnsi="仿宋_GB2312" w:cs="仿宋_GB2312" w:hint="eastAsia"/>
          <w:sz w:val="32"/>
          <w:szCs w:val="32"/>
        </w:rPr>
        <w:t>也发现个别绩效指标</w:t>
      </w:r>
      <w:r w:rsidR="00D47BBB" w:rsidRPr="00D47BBB">
        <w:rPr>
          <w:rFonts w:ascii="仿宋_GB2312" w:eastAsia="仿宋_GB2312" w:hAnsi="仿宋_GB2312" w:cs="仿宋_GB2312"/>
          <w:sz w:val="32"/>
          <w:szCs w:val="32"/>
        </w:rPr>
        <w:t>设置</w:t>
      </w:r>
      <w:r w:rsidR="00D47BBB" w:rsidRPr="00D47BBB">
        <w:rPr>
          <w:rFonts w:ascii="仿宋_GB2312" w:eastAsia="仿宋_GB2312" w:hAnsi="仿宋_GB2312" w:cs="仿宋_GB2312" w:hint="eastAsia"/>
          <w:sz w:val="32"/>
          <w:szCs w:val="32"/>
        </w:rPr>
        <w:t>的</w:t>
      </w:r>
      <w:r w:rsidR="00D47BBB" w:rsidRPr="00D47BBB">
        <w:rPr>
          <w:rFonts w:ascii="仿宋_GB2312" w:eastAsia="仿宋_GB2312" w:hAnsi="仿宋_GB2312" w:cs="仿宋_GB2312"/>
          <w:sz w:val="32"/>
          <w:szCs w:val="32"/>
        </w:rPr>
        <w:t>系统性</w:t>
      </w:r>
      <w:r w:rsidR="00D47BBB" w:rsidRPr="00D47BBB">
        <w:rPr>
          <w:rFonts w:ascii="仿宋_GB2312" w:eastAsia="仿宋_GB2312" w:hAnsi="仿宋_GB2312" w:cs="仿宋_GB2312" w:hint="eastAsia"/>
          <w:sz w:val="32"/>
          <w:szCs w:val="32"/>
        </w:rPr>
        <w:t>、</w:t>
      </w:r>
      <w:r w:rsidR="00D47BBB" w:rsidRPr="00D47BBB">
        <w:rPr>
          <w:rFonts w:ascii="仿宋_GB2312" w:eastAsia="仿宋_GB2312" w:hAnsi="仿宋_GB2312" w:cs="仿宋_GB2312"/>
          <w:sz w:val="32"/>
          <w:szCs w:val="32"/>
        </w:rPr>
        <w:t>完整性</w:t>
      </w:r>
      <w:r w:rsidR="00D47BBB" w:rsidRPr="00D47BBB">
        <w:rPr>
          <w:rFonts w:ascii="仿宋_GB2312" w:eastAsia="仿宋_GB2312" w:hAnsi="仿宋_GB2312" w:cs="仿宋_GB2312" w:hint="eastAsia"/>
          <w:sz w:val="32"/>
          <w:szCs w:val="32"/>
        </w:rPr>
        <w:t>还不够</w:t>
      </w:r>
      <w:r w:rsidR="00D47BBB" w:rsidRPr="00D47BBB">
        <w:rPr>
          <w:rFonts w:ascii="仿宋_GB2312" w:eastAsia="仿宋_GB2312" w:hAnsi="仿宋_GB2312" w:cs="仿宋_GB2312"/>
          <w:sz w:val="32"/>
          <w:szCs w:val="32"/>
        </w:rPr>
        <w:t>强，</w:t>
      </w:r>
      <w:r w:rsidR="00D47BBB" w:rsidRPr="00D47BBB">
        <w:rPr>
          <w:rFonts w:ascii="仿宋_GB2312" w:eastAsia="仿宋_GB2312" w:hAnsi="仿宋_GB2312" w:cs="仿宋_GB2312" w:hint="eastAsia"/>
          <w:sz w:val="32"/>
          <w:szCs w:val="32"/>
        </w:rPr>
        <w:t>需要进一步完善</w:t>
      </w:r>
      <w:r w:rsidR="00D47BBB" w:rsidRPr="00D47BBB">
        <w:rPr>
          <w:rFonts w:ascii="仿宋_GB2312" w:eastAsia="仿宋_GB2312" w:hAnsi="仿宋_GB2312" w:cs="仿宋_GB2312"/>
          <w:sz w:val="32"/>
          <w:szCs w:val="32"/>
        </w:rPr>
        <w:t>和改进</w:t>
      </w:r>
      <w:r w:rsidR="00CA3ADF">
        <w:rPr>
          <w:rFonts w:ascii="仿宋_GB2312" w:eastAsia="仿宋_GB2312" w:hAnsi="仿宋_GB2312" w:cs="仿宋_GB2312" w:hint="eastAsia"/>
          <w:sz w:val="32"/>
          <w:szCs w:val="32"/>
        </w:rPr>
        <w:t>；受疫情等因素影响，个别项目未达到预期绩效目标。</w:t>
      </w:r>
    </w:p>
    <w:p w:rsidR="001B6551" w:rsidRDefault="00AA329C" w:rsidP="001B6551">
      <w:pPr>
        <w:pStyle w:val="1"/>
        <w:keepNext w:val="0"/>
        <w:keepLines w:val="0"/>
        <w:spacing w:before="0" w:after="0" w:line="560" w:lineRule="exact"/>
        <w:ind w:firstLineChars="200" w:firstLine="640"/>
        <w:rPr>
          <w:rFonts w:ascii="黑体" w:eastAsia="黑体" w:hAnsi="黑体" w:cs="黑体"/>
          <w:b w:val="0"/>
          <w:bCs/>
          <w:sz w:val="32"/>
          <w:szCs w:val="32"/>
        </w:rPr>
      </w:pPr>
      <w:bookmarkStart w:id="18" w:name="_Toc3803"/>
      <w:r w:rsidRPr="00F52AB4">
        <w:rPr>
          <w:rFonts w:ascii="黑体" w:eastAsia="黑体" w:hAnsi="黑体" w:cs="黑体" w:hint="eastAsia"/>
          <w:b w:val="0"/>
          <w:bCs/>
          <w:sz w:val="32"/>
          <w:szCs w:val="32"/>
        </w:rPr>
        <w:t>六、</w:t>
      </w:r>
      <w:bookmarkEnd w:id="18"/>
      <w:r w:rsidR="007532C6">
        <w:rPr>
          <w:rFonts w:ascii="黑体" w:eastAsia="黑体" w:hAnsi="黑体" w:cs="黑体" w:hint="eastAsia"/>
          <w:b w:val="0"/>
          <w:bCs/>
          <w:sz w:val="32"/>
          <w:szCs w:val="32"/>
        </w:rPr>
        <w:t>措施建议</w:t>
      </w:r>
    </w:p>
    <w:p w:rsidR="00000000" w:rsidRDefault="001B6551">
      <w:pPr>
        <w:spacing w:line="560" w:lineRule="exact"/>
        <w:ind w:firstLineChars="200" w:firstLine="640"/>
        <w:rPr>
          <w:rFonts w:ascii="仿宋_GB2312" w:eastAsia="仿宋_GB2312" w:hAnsi="仿宋_GB2312" w:cs="仿宋_GB2312"/>
          <w:sz w:val="32"/>
          <w:szCs w:val="32"/>
        </w:rPr>
      </w:pPr>
      <w:r w:rsidRPr="001B6551">
        <w:rPr>
          <w:rFonts w:ascii="仿宋_GB2312" w:eastAsia="仿宋_GB2312" w:hAnsi="仿宋_GB2312" w:cs="仿宋_GB2312" w:hint="eastAsia"/>
          <w:sz w:val="32"/>
          <w:szCs w:val="32"/>
        </w:rPr>
        <w:t>（一）进一步宣</w:t>
      </w:r>
      <w:proofErr w:type="gramStart"/>
      <w:r w:rsidRPr="001B6551">
        <w:rPr>
          <w:rFonts w:ascii="仿宋_GB2312" w:eastAsia="仿宋_GB2312" w:hAnsi="仿宋_GB2312" w:cs="仿宋_GB2312" w:hint="eastAsia"/>
          <w:sz w:val="32"/>
          <w:szCs w:val="32"/>
        </w:rPr>
        <w:t>贯预算</w:t>
      </w:r>
      <w:proofErr w:type="gramEnd"/>
      <w:r w:rsidRPr="001B6551">
        <w:rPr>
          <w:rFonts w:ascii="仿宋_GB2312" w:eastAsia="仿宋_GB2312" w:hAnsi="仿宋_GB2312" w:cs="仿宋_GB2312" w:hint="eastAsia"/>
          <w:sz w:val="32"/>
          <w:szCs w:val="32"/>
        </w:rPr>
        <w:t>绩效管理理念，动态调整分类绩效目标模板，科学合理系统设置项目绩效目标。</w:t>
      </w:r>
    </w:p>
    <w:p w:rsidR="00000000" w:rsidRDefault="001B6551">
      <w:pPr>
        <w:spacing w:line="560" w:lineRule="exact"/>
        <w:ind w:firstLineChars="200" w:firstLine="640"/>
        <w:rPr>
          <w:rFonts w:ascii="仿宋_GB2312" w:eastAsia="仿宋_GB2312" w:hAnsi="仿宋_GB2312" w:cs="仿宋_GB2312"/>
          <w:sz w:val="32"/>
          <w:szCs w:val="32"/>
        </w:rPr>
      </w:pPr>
      <w:r w:rsidRPr="001B6551">
        <w:rPr>
          <w:rFonts w:ascii="仿宋_GB2312" w:eastAsia="仿宋_GB2312" w:hAnsi="仿宋_GB2312" w:cs="仿宋_GB2312" w:hint="eastAsia"/>
          <w:sz w:val="32"/>
          <w:szCs w:val="32"/>
        </w:rPr>
        <w:t>（二）发挥绩效评价结果导向性作用，项目执行出现偏差时，及时调整预算及绩效目标表，提升财政资金使用效益。</w:t>
      </w:r>
    </w:p>
    <w:p w:rsidR="001B6551" w:rsidRDefault="00AA329C" w:rsidP="001B6551">
      <w:pPr>
        <w:pStyle w:val="1"/>
        <w:keepNext w:val="0"/>
        <w:keepLines w:val="0"/>
        <w:spacing w:before="0" w:after="0" w:line="560" w:lineRule="exact"/>
        <w:ind w:firstLineChars="200" w:firstLine="640"/>
        <w:rPr>
          <w:rFonts w:ascii="黑体" w:eastAsia="黑体" w:hAnsi="黑体" w:cs="黑体"/>
          <w:b w:val="0"/>
          <w:bCs/>
          <w:sz w:val="32"/>
          <w:szCs w:val="32"/>
        </w:rPr>
      </w:pPr>
      <w:bookmarkStart w:id="19" w:name="_Toc103006301"/>
      <w:r w:rsidRPr="00F52AB4">
        <w:rPr>
          <w:rFonts w:ascii="黑体" w:eastAsia="黑体" w:hAnsi="黑体" w:cs="黑体" w:hint="eastAsia"/>
          <w:b w:val="0"/>
          <w:bCs/>
          <w:sz w:val="32"/>
          <w:szCs w:val="32"/>
        </w:rPr>
        <w:t>七、</w:t>
      </w:r>
      <w:r w:rsidR="00093C26" w:rsidRPr="00093C26">
        <w:rPr>
          <w:rFonts w:ascii="黑体" w:eastAsia="黑体" w:hAnsi="黑体" w:cs="黑体" w:hint="eastAsia"/>
          <w:b w:val="0"/>
          <w:bCs/>
          <w:sz w:val="32"/>
          <w:szCs w:val="32"/>
        </w:rPr>
        <w:t>2022年部门整体绩效评价指标体系评分表</w:t>
      </w:r>
      <w:bookmarkEnd w:id="19"/>
    </w:p>
    <w:p w:rsidR="00093C26" w:rsidRDefault="00093C26" w:rsidP="00093C26">
      <w:pPr>
        <w:spacing w:line="560" w:lineRule="exact"/>
        <w:rPr>
          <w:rFonts w:ascii="黑体" w:eastAsia="黑体" w:hAnsi="黑体" w:cs="黑体"/>
          <w:b/>
          <w:bCs/>
          <w:sz w:val="32"/>
          <w:szCs w:val="32"/>
        </w:rPr>
      </w:pPr>
    </w:p>
    <w:p w:rsidR="005E4203" w:rsidRDefault="005E4203" w:rsidP="00093C26">
      <w:pPr>
        <w:spacing w:line="560" w:lineRule="exact"/>
        <w:rPr>
          <w:rFonts w:ascii="黑体" w:eastAsia="黑体" w:hAnsi="黑体" w:cs="黑体"/>
          <w:b/>
          <w:bCs/>
          <w:sz w:val="32"/>
          <w:szCs w:val="32"/>
        </w:rPr>
        <w:sectPr w:rsidR="005E4203">
          <w:footerReference w:type="default" r:id="rId12"/>
          <w:pgSz w:w="11906" w:h="16838"/>
          <w:pgMar w:top="1440" w:right="1800" w:bottom="1440" w:left="1800" w:header="851" w:footer="964" w:gutter="0"/>
          <w:pgNumType w:start="1"/>
          <w:cols w:space="425"/>
          <w:docGrid w:type="lines" w:linePitch="435"/>
        </w:sectPr>
      </w:pPr>
    </w:p>
    <w:tbl>
      <w:tblPr>
        <w:tblW w:w="0" w:type="auto"/>
        <w:tblInd w:w="100" w:type="dxa"/>
        <w:tblLook w:val="04A0"/>
      </w:tblPr>
      <w:tblGrid>
        <w:gridCol w:w="710"/>
        <w:gridCol w:w="684"/>
        <w:gridCol w:w="1136"/>
        <w:gridCol w:w="2067"/>
        <w:gridCol w:w="1947"/>
        <w:gridCol w:w="476"/>
        <w:gridCol w:w="736"/>
        <w:gridCol w:w="3211"/>
        <w:gridCol w:w="3107"/>
      </w:tblGrid>
      <w:tr w:rsidR="005E4203" w:rsidRPr="005E4203" w:rsidTr="005E4203">
        <w:trPr>
          <w:trHeight w:val="225"/>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一、当年预算执行情况（</w:t>
            </w:r>
            <w:r w:rsidRPr="001B6551">
              <w:rPr>
                <w:rFonts w:ascii="宋体" w:hAnsi="宋体" w:cs="宋体"/>
                <w:color w:val="000000"/>
                <w:kern w:val="0"/>
                <w:sz w:val="13"/>
                <w:szCs w:val="20"/>
              </w:rPr>
              <w:t>20分）</w:t>
            </w:r>
          </w:p>
        </w:tc>
      </w:tr>
      <w:tr w:rsidR="005E4203" w:rsidRPr="005E4203" w:rsidTr="005E420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 xml:space="preserve">一级指标　</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 xml:space="preserve">二级指标　</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预算数（万元）</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执行数（万元）</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预算执行率</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得分</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指标解释</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评分标准</w:t>
            </w:r>
          </w:p>
        </w:tc>
      </w:tr>
      <w:tr w:rsidR="005E4203" w:rsidRPr="005E4203" w:rsidTr="005E4203">
        <w:trPr>
          <w:trHeight w:val="66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当年预算执行情况（</w:t>
            </w:r>
            <w:r w:rsidRPr="001B6551">
              <w:rPr>
                <w:rFonts w:ascii="宋体" w:hAnsi="宋体" w:cs="宋体"/>
                <w:color w:val="000000"/>
                <w:kern w:val="0"/>
                <w:sz w:val="13"/>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资金总体</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2,020,837.16</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1,948,098.92</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96.40%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20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 xml:space="preserve">   19.28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部门全年执行数与全年预算数的比率。资金总体</w:t>
            </w:r>
            <w:r w:rsidRPr="001B6551">
              <w:rPr>
                <w:rFonts w:ascii="宋体" w:hAnsi="宋体" w:cs="宋体"/>
                <w:color w:val="000000"/>
                <w:kern w:val="0"/>
                <w:sz w:val="13"/>
                <w:szCs w:val="20"/>
              </w:rPr>
              <w:t>=基本支出+项目支出+其他</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color w:val="000000"/>
                <w:kern w:val="0"/>
                <w:sz w:val="13"/>
                <w:szCs w:val="20"/>
              </w:rPr>
              <w:br/>
            </w:r>
            <w:r w:rsidRPr="001B6551">
              <w:rPr>
                <w:rFonts w:ascii="宋体" w:hAnsi="宋体" w:cs="宋体" w:hint="eastAsia"/>
                <w:color w:val="000000"/>
                <w:kern w:val="0"/>
                <w:sz w:val="13"/>
                <w:szCs w:val="20"/>
              </w:rPr>
              <w:t>①得分一档最高不能超过该指标分值上限（</w:t>
            </w:r>
            <w:r w:rsidRPr="001B6551">
              <w:rPr>
                <w:rFonts w:ascii="宋体" w:hAnsi="宋体" w:cs="宋体"/>
                <w:color w:val="000000"/>
                <w:kern w:val="0"/>
                <w:sz w:val="13"/>
                <w:szCs w:val="20"/>
              </w:rPr>
              <w:t>20分）。</w:t>
            </w:r>
            <w:r w:rsidRPr="001B6551">
              <w:rPr>
                <w:rFonts w:ascii="宋体" w:hAnsi="宋体" w:cs="宋体"/>
                <w:color w:val="000000"/>
                <w:kern w:val="0"/>
                <w:sz w:val="13"/>
                <w:szCs w:val="20"/>
              </w:rPr>
              <w:br/>
            </w:r>
            <w:r w:rsidRPr="001B6551">
              <w:rPr>
                <w:rFonts w:ascii="宋体" w:hAnsi="宋体" w:cs="宋体" w:hint="eastAsia"/>
                <w:color w:val="000000"/>
                <w:kern w:val="0"/>
                <w:sz w:val="13"/>
                <w:szCs w:val="20"/>
              </w:rPr>
              <w:t>②该指标若为正向指标，则得分计算方法应用全年实际值（</w:t>
            </w:r>
            <w:r w:rsidRPr="001B6551">
              <w:rPr>
                <w:rFonts w:ascii="宋体" w:hAnsi="宋体" w:cs="宋体"/>
                <w:color w:val="000000"/>
                <w:kern w:val="0"/>
                <w:sz w:val="13"/>
                <w:szCs w:val="20"/>
              </w:rPr>
              <w:t>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rsidR="005E4203" w:rsidRPr="005E4203" w:rsidTr="005E4203">
        <w:trPr>
          <w:trHeight w:val="668"/>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基本支出</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151,017.02</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131,577.88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000000"/>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668"/>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项目支出</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1,869,756.65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1,816,489.06</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000000"/>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668"/>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其他</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63.49</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31.98</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000000"/>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255"/>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二、整体绩效目标实现情况（</w:t>
            </w:r>
            <w:r w:rsidRPr="001B6551">
              <w:rPr>
                <w:rFonts w:ascii="宋体" w:hAnsi="宋体" w:cs="宋体"/>
                <w:color w:val="000000"/>
                <w:kern w:val="0"/>
                <w:sz w:val="13"/>
                <w:szCs w:val="20"/>
              </w:rPr>
              <w:t>60分）</w:t>
            </w:r>
          </w:p>
        </w:tc>
      </w:tr>
      <w:tr w:rsidR="005E4203" w:rsidRPr="005E4203" w:rsidTr="005E420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一级指标</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 xml:space="preserve">二级指标　</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 xml:space="preserve">三级指标　</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指标值</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完成值</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得分</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指标解释</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评分标准</w:t>
            </w:r>
          </w:p>
        </w:tc>
      </w:tr>
      <w:tr w:rsidR="005E4203" w:rsidRPr="005E4203" w:rsidTr="005E4203">
        <w:trPr>
          <w:trHeight w:val="4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整体绩效目标实现情况（</w:t>
            </w:r>
            <w:r w:rsidRPr="001B6551">
              <w:rPr>
                <w:rFonts w:ascii="宋体" w:hAnsi="宋体" w:cs="宋体"/>
                <w:color w:val="000000"/>
                <w:kern w:val="0"/>
                <w:sz w:val="13"/>
                <w:szCs w:val="20"/>
              </w:rPr>
              <w:t>60）</w:t>
            </w:r>
          </w:p>
        </w:tc>
        <w:tc>
          <w:tcPr>
            <w:tcW w:w="0" w:type="auto"/>
            <w:vMerge w:val="restart"/>
            <w:tcBorders>
              <w:top w:val="nil"/>
              <w:left w:val="single" w:sz="4" w:space="0" w:color="auto"/>
              <w:bottom w:val="nil"/>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w:t>
            </w:r>
            <w:r w:rsidRPr="001B6551">
              <w:rPr>
                <w:rFonts w:ascii="宋体" w:hAnsi="宋体" w:cs="宋体"/>
                <w:color w:val="000000"/>
                <w:kern w:val="0"/>
                <w:sz w:val="13"/>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产出数量</w:t>
            </w:r>
            <w:r w:rsidRPr="001B6551">
              <w:rPr>
                <w:rFonts w:ascii="宋体" w:hAnsi="宋体" w:cs="宋体"/>
                <w:color w:val="000000"/>
                <w:kern w:val="0"/>
                <w:sz w:val="13"/>
                <w:szCs w:val="20"/>
              </w:rPr>
              <w:t>-制度</w:t>
            </w:r>
            <w:proofErr w:type="gramStart"/>
            <w:r w:rsidRPr="001B6551">
              <w:rPr>
                <w:rFonts w:ascii="宋体" w:hAnsi="宋体" w:cs="宋体" w:hint="eastAsia"/>
                <w:color w:val="000000"/>
                <w:kern w:val="0"/>
                <w:sz w:val="13"/>
                <w:szCs w:val="20"/>
              </w:rPr>
              <w:t>规则</w:t>
            </w:r>
            <w:r w:rsidR="005E4203">
              <w:rPr>
                <w:rFonts w:ascii="宋体" w:hAnsi="宋体" w:cs="宋体" w:hint="eastAsia"/>
                <w:color w:val="000000"/>
                <w:kern w:val="0"/>
                <w:sz w:val="13"/>
                <w:szCs w:val="20"/>
              </w:rPr>
              <w:t>建设</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proofErr w:type="gramStart"/>
            <w:r w:rsidRPr="001B6551">
              <w:rPr>
                <w:rFonts w:ascii="宋体" w:hAnsi="宋体" w:cs="宋体" w:hint="eastAsia"/>
                <w:color w:val="000000"/>
                <w:kern w:val="0"/>
                <w:sz w:val="13"/>
                <w:szCs w:val="20"/>
              </w:rPr>
              <w:t>推进四</w:t>
            </w:r>
            <w:proofErr w:type="gramEnd"/>
            <w:r w:rsidRPr="001B6551">
              <w:rPr>
                <w:rFonts w:ascii="宋体" w:hAnsi="宋体" w:cs="宋体" w:hint="eastAsia"/>
                <w:color w:val="000000"/>
                <w:kern w:val="0"/>
                <w:sz w:val="13"/>
                <w:szCs w:val="20"/>
              </w:rPr>
              <w:t>网融合安检互认至少</w:t>
            </w:r>
            <w:r w:rsidRPr="001B6551">
              <w:rPr>
                <w:rFonts w:ascii="宋体" w:hAnsi="宋体" w:cs="宋体"/>
                <w:color w:val="000000"/>
                <w:kern w:val="0"/>
                <w:sz w:val="13"/>
                <w:szCs w:val="20"/>
              </w:rPr>
              <w:t>1项</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proofErr w:type="gramStart"/>
            <w:r w:rsidRPr="001B6551">
              <w:rPr>
                <w:rFonts w:ascii="宋体" w:hAnsi="宋体" w:cs="宋体" w:hint="eastAsia"/>
                <w:color w:val="000000"/>
                <w:kern w:val="0"/>
                <w:sz w:val="13"/>
                <w:szCs w:val="20"/>
              </w:rPr>
              <w:t>推进四</w:t>
            </w:r>
            <w:proofErr w:type="gramEnd"/>
            <w:r w:rsidRPr="001B6551">
              <w:rPr>
                <w:rFonts w:ascii="宋体" w:hAnsi="宋体" w:cs="宋体" w:hint="eastAsia"/>
                <w:color w:val="000000"/>
                <w:kern w:val="0"/>
                <w:sz w:val="13"/>
                <w:szCs w:val="20"/>
              </w:rPr>
              <w:t>网融合安检互认，丰台火车站换乘轨道交通</w:t>
            </w:r>
            <w:r w:rsidRPr="001B6551">
              <w:rPr>
                <w:rFonts w:ascii="宋体" w:hAnsi="宋体" w:cs="宋体"/>
                <w:color w:val="000000"/>
                <w:kern w:val="0"/>
                <w:sz w:val="13"/>
                <w:szCs w:val="20"/>
              </w:rPr>
              <w:t>10号</w:t>
            </w:r>
            <w:proofErr w:type="gramStart"/>
            <w:r w:rsidRPr="001B6551">
              <w:rPr>
                <w:rFonts w:ascii="宋体" w:hAnsi="宋体" w:cs="宋体" w:hint="eastAsia"/>
                <w:color w:val="000000"/>
                <w:kern w:val="0"/>
                <w:sz w:val="13"/>
                <w:szCs w:val="20"/>
              </w:rPr>
              <w:t>线取消</w:t>
            </w:r>
            <w:proofErr w:type="gramEnd"/>
            <w:r w:rsidRPr="001B6551">
              <w:rPr>
                <w:rFonts w:ascii="宋体" w:hAnsi="宋体" w:cs="宋体" w:hint="eastAsia"/>
                <w:color w:val="000000"/>
                <w:kern w:val="0"/>
                <w:sz w:val="13"/>
                <w:szCs w:val="20"/>
              </w:rPr>
              <w:t>二次安检。</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b/>
                <w:bCs/>
                <w:color w:val="000000"/>
                <w:kern w:val="0"/>
                <w:sz w:val="13"/>
                <w:szCs w:val="20"/>
              </w:rPr>
            </w:pPr>
            <w:r w:rsidRPr="001B6551">
              <w:rPr>
                <w:rFonts w:ascii="宋体" w:hAnsi="宋体" w:cs="宋体" w:hint="eastAsia"/>
                <w:b/>
                <w:bCs/>
                <w:color w:val="000000"/>
                <w:kern w:val="0"/>
                <w:sz w:val="13"/>
                <w:szCs w:val="20"/>
              </w:rPr>
              <w:t>产出数量</w:t>
            </w:r>
            <w:r w:rsidRPr="001B6551">
              <w:rPr>
                <w:rFonts w:ascii="宋体" w:hAnsi="宋体" w:cs="宋体" w:hint="eastAsia"/>
                <w:color w:val="000000"/>
                <w:kern w:val="0"/>
                <w:sz w:val="13"/>
                <w:szCs w:val="20"/>
              </w:rPr>
              <w:t>：计划完成率</w:t>
            </w:r>
            <w:r w:rsidRPr="001B6551">
              <w:rPr>
                <w:rFonts w:ascii="宋体" w:hAnsi="宋体" w:cs="宋体"/>
                <w:color w:val="000000"/>
                <w:kern w:val="0"/>
                <w:sz w:val="13"/>
                <w:szCs w:val="20"/>
              </w:rPr>
              <w:t>=（实际完成工作数/计划工作数）×100%。实际完成工作数：一定时期（年度或规划期）内部门（单位）实际完成工作任务的数量。计划工作数：部门（单位）整体绩效目标确定的一定时期（年度或规划期）内预计完成工作任务的数量。</w:t>
            </w:r>
            <w:r w:rsidRPr="001B6551">
              <w:rPr>
                <w:rFonts w:ascii="宋体" w:hAnsi="宋体" w:cs="宋体" w:hint="eastAsia"/>
                <w:b/>
                <w:bCs/>
                <w:color w:val="000000"/>
                <w:kern w:val="0"/>
                <w:sz w:val="13"/>
                <w:szCs w:val="20"/>
              </w:rPr>
              <w:t>产出质量</w:t>
            </w:r>
            <w:r w:rsidRPr="001B6551">
              <w:rPr>
                <w:rFonts w:ascii="宋体" w:hAnsi="宋体" w:cs="宋体" w:hint="eastAsia"/>
                <w:color w:val="000000"/>
                <w:kern w:val="0"/>
                <w:sz w:val="13"/>
                <w:szCs w:val="20"/>
              </w:rPr>
              <w:t>：质量达标率</w:t>
            </w:r>
            <w:r w:rsidRPr="001B6551">
              <w:rPr>
                <w:rFonts w:ascii="宋体" w:hAnsi="宋体" w:cs="宋体"/>
                <w:color w:val="000000"/>
                <w:kern w:val="0"/>
                <w:sz w:val="13"/>
                <w:szCs w:val="20"/>
              </w:rPr>
              <w:t>=质量达标工作数/实际完成工作数×100%。质量达标工作数：一定时期（年度或规划期）内部门（单位）实际完成工作数中达到部门绩效目标要求（绩效标准值）的工作任务数量。</w:t>
            </w:r>
            <w:r w:rsidRPr="001B6551">
              <w:rPr>
                <w:rFonts w:ascii="宋体" w:hAnsi="宋体" w:cs="宋体" w:hint="eastAsia"/>
                <w:b/>
                <w:bCs/>
                <w:color w:val="000000"/>
                <w:kern w:val="0"/>
                <w:sz w:val="13"/>
                <w:szCs w:val="20"/>
              </w:rPr>
              <w:t>产出进度：</w:t>
            </w:r>
            <w:r w:rsidRPr="001B6551">
              <w:rPr>
                <w:rFonts w:ascii="宋体" w:hAnsi="宋体" w:cs="宋体" w:hint="eastAsia"/>
                <w:color w:val="000000"/>
                <w:kern w:val="0"/>
                <w:sz w:val="13"/>
                <w:szCs w:val="20"/>
              </w:rPr>
              <w:t>按时完成率</w:t>
            </w:r>
            <w:r w:rsidRPr="001B6551">
              <w:rPr>
                <w:rFonts w:ascii="宋体" w:hAnsi="宋体" w:cs="宋体"/>
                <w:color w:val="000000"/>
                <w:kern w:val="0"/>
                <w:sz w:val="13"/>
                <w:szCs w:val="20"/>
              </w:rPr>
              <w:t>=（按时完成工作数/实际完成工作数）×100%。按时完成工作数：部门（单位）按照整体绩效目标确定的时限实际完成的工作任务数量。</w:t>
            </w:r>
            <w:r w:rsidRPr="001B6551">
              <w:rPr>
                <w:rFonts w:ascii="宋体" w:hAnsi="宋体" w:cs="宋体" w:hint="eastAsia"/>
                <w:b/>
                <w:bCs/>
                <w:color w:val="000000"/>
                <w:kern w:val="0"/>
                <w:sz w:val="13"/>
                <w:szCs w:val="20"/>
              </w:rPr>
              <w:t>产出成本</w:t>
            </w:r>
            <w:r w:rsidRPr="001B6551">
              <w:rPr>
                <w:rFonts w:ascii="宋体" w:hAnsi="宋体" w:cs="宋体" w:hint="eastAsia"/>
                <w:color w:val="000000"/>
                <w:kern w:val="0"/>
                <w:sz w:val="13"/>
                <w:szCs w:val="20"/>
              </w:rPr>
              <w:t>：单位产出相对于上一年度的节约额；②单位产出相对于市场同类产出的节约额；③部门公用经费的控制情况。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部门根据本单位情况自行确定并选择产出指标，合理确定各项指标权重。可量化的指标按照比率</w:t>
            </w:r>
            <w:r w:rsidRPr="001B6551">
              <w:rPr>
                <w:rFonts w:ascii="宋体" w:hAnsi="宋体" w:cs="宋体"/>
                <w:color w:val="000000"/>
                <w:kern w:val="0"/>
                <w:sz w:val="13"/>
                <w:szCs w:val="20"/>
              </w:rPr>
              <w:t>*单项指标分值即为该指标得分。如果不能定量评价，则以定性的方式进行自评。</w:t>
            </w:r>
          </w:p>
        </w:tc>
      </w:tr>
      <w:tr w:rsidR="005E4203" w:rsidRPr="005E4203" w:rsidTr="005E4203">
        <w:trPr>
          <w:trHeight w:val="48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nil"/>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产出数量</w:t>
            </w:r>
            <w:r w:rsidRPr="001B6551">
              <w:rPr>
                <w:rFonts w:ascii="宋体" w:hAnsi="宋体" w:cs="宋体"/>
                <w:color w:val="000000"/>
                <w:kern w:val="0"/>
                <w:sz w:val="13"/>
                <w:szCs w:val="20"/>
              </w:rPr>
              <w:t>-安全稳定</w:t>
            </w:r>
            <w:r w:rsidR="005E4203">
              <w:rPr>
                <w:rFonts w:ascii="宋体" w:hAnsi="宋体" w:cs="宋体" w:hint="eastAsia"/>
                <w:color w:val="000000"/>
                <w:kern w:val="0"/>
                <w:sz w:val="13"/>
                <w:szCs w:val="20"/>
              </w:rPr>
              <w:t>方面</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组织修订市级专项应急预案不少于</w:t>
            </w:r>
            <w:r w:rsidRPr="001B6551">
              <w:rPr>
                <w:rFonts w:ascii="宋体" w:hAnsi="宋体" w:cs="宋体"/>
                <w:color w:val="000000"/>
                <w:kern w:val="0"/>
                <w:sz w:val="13"/>
                <w:szCs w:val="20"/>
              </w:rPr>
              <w:t>5部</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强化应急基础建设，组织修订完成了</w:t>
            </w:r>
            <w:r w:rsidRPr="001B6551">
              <w:rPr>
                <w:rFonts w:ascii="宋体" w:hAnsi="宋体" w:cs="宋体"/>
                <w:color w:val="000000"/>
                <w:kern w:val="0"/>
                <w:sz w:val="13"/>
                <w:szCs w:val="20"/>
              </w:rPr>
              <w:t>5部市级专项应急预案。</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795"/>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nil"/>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产出数量</w:t>
            </w:r>
            <w:r w:rsidRPr="001B6551">
              <w:rPr>
                <w:rFonts w:ascii="宋体" w:hAnsi="宋体" w:cs="宋体"/>
                <w:color w:val="000000"/>
                <w:kern w:val="0"/>
                <w:sz w:val="13"/>
                <w:szCs w:val="20"/>
              </w:rPr>
              <w:t>-智慧交通建设</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编制发布北京市《智慧高速公路建设技术指南》</w:t>
            </w:r>
            <w:r w:rsidRPr="001B6551">
              <w:rPr>
                <w:rFonts w:ascii="宋体" w:hAnsi="宋体" w:cs="宋体"/>
                <w:color w:val="000000"/>
                <w:kern w:val="0"/>
                <w:sz w:val="13"/>
                <w:szCs w:val="20"/>
              </w:rPr>
              <w:t>1部</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智慧地铁、公交、高速、停车等应用场景建设进展顺利，编制发布北京市《智慧高速公路建设技术指南》</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66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nil"/>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产出数量</w:t>
            </w:r>
            <w:r w:rsidRPr="001B6551">
              <w:rPr>
                <w:rFonts w:ascii="宋体" w:hAnsi="宋体" w:cs="宋体"/>
                <w:color w:val="000000"/>
                <w:kern w:val="0"/>
                <w:sz w:val="13"/>
                <w:szCs w:val="20"/>
              </w:rPr>
              <w:t>-道路建设养护</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完成不少于</w:t>
            </w:r>
            <w:r w:rsidRPr="001B6551">
              <w:rPr>
                <w:rFonts w:ascii="宋体" w:hAnsi="宋体" w:cs="宋体"/>
                <w:color w:val="000000"/>
                <w:kern w:val="0"/>
                <w:sz w:val="13"/>
                <w:szCs w:val="20"/>
              </w:rPr>
              <w:t>20项市级疏堵工程。</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完成了</w:t>
            </w:r>
            <w:r w:rsidRPr="001B6551">
              <w:rPr>
                <w:rFonts w:ascii="宋体" w:hAnsi="宋体" w:cs="宋体"/>
                <w:color w:val="000000"/>
                <w:kern w:val="0"/>
                <w:sz w:val="13"/>
                <w:szCs w:val="20"/>
              </w:rPr>
              <w:t>20项市级疏堵工程。</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72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nil"/>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产出数量</w:t>
            </w:r>
            <w:r w:rsidRPr="001B6551">
              <w:rPr>
                <w:rFonts w:ascii="宋体" w:hAnsi="宋体" w:cs="宋体"/>
                <w:color w:val="000000"/>
                <w:kern w:val="0"/>
                <w:sz w:val="13"/>
                <w:szCs w:val="20"/>
              </w:rPr>
              <w:t>-出行时间、空间</w:t>
            </w:r>
            <w:r w:rsidR="005E4203">
              <w:rPr>
                <w:rFonts w:ascii="宋体" w:hAnsi="宋体" w:cs="宋体" w:hint="eastAsia"/>
                <w:color w:val="000000"/>
                <w:kern w:val="0"/>
                <w:sz w:val="13"/>
                <w:szCs w:val="20"/>
              </w:rPr>
              <w:t>调节</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调节不少于</w:t>
            </w:r>
            <w:r w:rsidRPr="001B6551">
              <w:rPr>
                <w:rFonts w:ascii="宋体" w:hAnsi="宋体" w:cs="宋体"/>
                <w:color w:val="000000"/>
                <w:kern w:val="0"/>
                <w:sz w:val="13"/>
                <w:szCs w:val="20"/>
              </w:rPr>
              <w:t>3条道路收费</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完成京通、通燕、京哈三条道路收费调整，价格杠杆调节交通流量时间分布效果明显，京通快速、</w:t>
            </w:r>
            <w:proofErr w:type="gramStart"/>
            <w:r w:rsidRPr="001B6551">
              <w:rPr>
                <w:rFonts w:ascii="宋体" w:hAnsi="宋体" w:cs="宋体" w:hint="eastAsia"/>
                <w:color w:val="000000"/>
                <w:kern w:val="0"/>
                <w:sz w:val="13"/>
                <w:szCs w:val="20"/>
              </w:rPr>
              <w:t>通燕高速</w:t>
            </w:r>
            <w:proofErr w:type="gramEnd"/>
            <w:r w:rsidRPr="001B6551">
              <w:rPr>
                <w:rFonts w:ascii="宋体" w:hAnsi="宋体" w:cs="宋体" w:hint="eastAsia"/>
                <w:color w:val="000000"/>
                <w:kern w:val="0"/>
                <w:sz w:val="13"/>
                <w:szCs w:val="20"/>
              </w:rPr>
              <w:t>早高峰收费时段交通量分别减少</w:t>
            </w:r>
            <w:r w:rsidRPr="001B6551">
              <w:rPr>
                <w:rFonts w:ascii="宋体" w:hAnsi="宋体" w:cs="宋体"/>
                <w:color w:val="000000"/>
                <w:kern w:val="0"/>
                <w:sz w:val="13"/>
                <w:szCs w:val="20"/>
              </w:rPr>
              <w:t>10%、22%，非收费时段交通量有所上升</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96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nil"/>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产出质量</w:t>
            </w:r>
            <w:r w:rsidRPr="001B6551">
              <w:rPr>
                <w:rFonts w:ascii="宋体" w:hAnsi="宋体" w:cs="宋体"/>
                <w:color w:val="000000"/>
                <w:kern w:val="0"/>
                <w:sz w:val="13"/>
                <w:szCs w:val="20"/>
              </w:rPr>
              <w:t>-区域协同发展战略</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推进京津</w:t>
            </w:r>
            <w:proofErr w:type="gramStart"/>
            <w:r w:rsidRPr="001B6551">
              <w:rPr>
                <w:rFonts w:ascii="宋体" w:hAnsi="宋体" w:cs="宋体" w:hint="eastAsia"/>
                <w:color w:val="000000"/>
                <w:kern w:val="0"/>
                <w:sz w:val="13"/>
                <w:szCs w:val="20"/>
              </w:rPr>
              <w:t>冀区域</w:t>
            </w:r>
            <w:proofErr w:type="gramEnd"/>
            <w:r w:rsidRPr="001B6551">
              <w:rPr>
                <w:rFonts w:ascii="宋体" w:hAnsi="宋体" w:cs="宋体" w:hint="eastAsia"/>
                <w:color w:val="000000"/>
                <w:kern w:val="0"/>
                <w:sz w:val="13"/>
                <w:szCs w:val="20"/>
              </w:rPr>
              <w:t>协同制度、规则软联通</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京津</w:t>
            </w:r>
            <w:proofErr w:type="gramStart"/>
            <w:r w:rsidRPr="001B6551">
              <w:rPr>
                <w:rFonts w:ascii="宋体" w:hAnsi="宋体" w:cs="宋体" w:hint="eastAsia"/>
                <w:color w:val="000000"/>
                <w:kern w:val="0"/>
                <w:sz w:val="13"/>
                <w:szCs w:val="20"/>
              </w:rPr>
              <w:t>冀区域</w:t>
            </w:r>
            <w:proofErr w:type="gramEnd"/>
            <w:r w:rsidRPr="001B6551">
              <w:rPr>
                <w:rFonts w:ascii="宋体" w:hAnsi="宋体" w:cs="宋体" w:hint="eastAsia"/>
                <w:color w:val="000000"/>
                <w:kern w:val="0"/>
                <w:sz w:val="13"/>
                <w:szCs w:val="20"/>
              </w:rPr>
              <w:t>协同制度、规则更加软联通，北京市交通法规、标准不断完善，交通建设、养护、运营、服务符合国家、本市相关标准、规范要求，达到人民群众基本要求，绿色出行比例不断提升，交通管理、科技水平保持全国前列。</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72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nil"/>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产出进度</w:t>
            </w:r>
            <w:r w:rsidRPr="001B6551">
              <w:rPr>
                <w:rFonts w:ascii="宋体" w:hAnsi="宋体" w:cs="宋体"/>
                <w:color w:val="000000"/>
                <w:kern w:val="0"/>
                <w:sz w:val="13"/>
                <w:szCs w:val="20"/>
              </w:rPr>
              <w:t>-重点工作</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重点工作按期完成</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落实委内督查督办机制，全年跟踪重点事项进展情况，加强调度，市政府实事、折子工程、重大活动保障等重点工作按期完成，工程项目按计划实施，管理和改革事项按计划推进。</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48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nil"/>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产出成本</w:t>
            </w:r>
            <w:r w:rsidRPr="001B6551">
              <w:rPr>
                <w:rFonts w:ascii="宋体" w:hAnsi="宋体" w:cs="宋体"/>
                <w:color w:val="000000"/>
                <w:kern w:val="0"/>
                <w:sz w:val="13"/>
                <w:szCs w:val="20"/>
              </w:rPr>
              <w:t>-全面控制项目成本</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全面控制项目成本</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通过预算项目事前绩效评估、预算评审，工程项目概算审核、结算评审，规范开展招投标等工作，全面控制项目成本。</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等线" w:eastAsia="等线" w:hAnsi="等线" w:cs="宋体"/>
                <w:color w:val="000000"/>
                <w:kern w:val="0"/>
                <w:sz w:val="13"/>
                <w:szCs w:val="20"/>
              </w:rPr>
            </w:pPr>
            <w:r w:rsidRPr="001B6551">
              <w:rPr>
                <w:rFonts w:ascii="等线" w:eastAsia="等线" w:hAnsi="等线" w:cs="宋体"/>
                <w:color w:val="000000"/>
                <w:kern w:val="0"/>
                <w:sz w:val="13"/>
                <w:szCs w:val="20"/>
              </w:rPr>
              <w:t>3.75</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105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效果（</w:t>
            </w:r>
            <w:r w:rsidRPr="001B6551">
              <w:rPr>
                <w:rFonts w:ascii="宋体" w:hAnsi="宋体" w:cs="宋体"/>
                <w:color w:val="000000"/>
                <w:kern w:val="0"/>
                <w:sz w:val="13"/>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经济效益</w:t>
            </w:r>
            <w:r w:rsidRPr="001B6551">
              <w:rPr>
                <w:rFonts w:ascii="宋体" w:hAnsi="宋体" w:cs="宋体"/>
                <w:color w:val="000000"/>
                <w:kern w:val="0"/>
                <w:sz w:val="13"/>
                <w:szCs w:val="20"/>
              </w:rPr>
              <w:t>-交通设施改善，服务水平提高</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交通设施改善，交通服务水平提高</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交通设施改善，交通堵点减少，交通服务水平得以提高，努力降低人们出行的经济成本和时间成本，对完成全市经济发展目标、拉动投资、促进就业、提高居民收入起到了应有的作用。</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b/>
                <w:bCs/>
                <w:color w:val="000000"/>
                <w:kern w:val="0"/>
                <w:sz w:val="13"/>
                <w:szCs w:val="20"/>
              </w:rPr>
            </w:pPr>
            <w:r w:rsidRPr="001B6551">
              <w:rPr>
                <w:rFonts w:ascii="宋体" w:hAnsi="宋体" w:cs="宋体" w:hint="eastAsia"/>
                <w:b/>
                <w:bCs/>
                <w:color w:val="000000"/>
                <w:kern w:val="0"/>
                <w:sz w:val="13"/>
                <w:szCs w:val="20"/>
              </w:rPr>
              <w:t>经济效益</w:t>
            </w:r>
            <w:r w:rsidRPr="001B6551">
              <w:rPr>
                <w:rFonts w:ascii="宋体" w:hAnsi="宋体" w:cs="宋体" w:hint="eastAsia"/>
                <w:color w:val="000000"/>
                <w:kern w:val="0"/>
                <w:sz w:val="13"/>
                <w:szCs w:val="20"/>
              </w:rPr>
              <w:t>：部门（单位）履行职责对经济发展所带来的直接或间接影响。</w:t>
            </w:r>
            <w:r w:rsidRPr="001B6551">
              <w:rPr>
                <w:rFonts w:ascii="宋体" w:hAnsi="宋体" w:cs="宋体" w:hint="eastAsia"/>
                <w:b/>
                <w:bCs/>
                <w:color w:val="000000"/>
                <w:kern w:val="0"/>
                <w:sz w:val="13"/>
                <w:szCs w:val="20"/>
              </w:rPr>
              <w:t>社会效益</w:t>
            </w:r>
            <w:r w:rsidRPr="001B6551">
              <w:rPr>
                <w:rFonts w:ascii="宋体" w:hAnsi="宋体" w:cs="宋体" w:hint="eastAsia"/>
                <w:color w:val="000000"/>
                <w:kern w:val="0"/>
                <w:sz w:val="13"/>
                <w:szCs w:val="20"/>
              </w:rPr>
              <w:t>：部门（单位）履行职责对社会发展所带来的直接或间接影响。</w:t>
            </w:r>
            <w:r w:rsidRPr="001B6551">
              <w:rPr>
                <w:rFonts w:ascii="宋体" w:hAnsi="宋体" w:cs="宋体" w:hint="eastAsia"/>
                <w:b/>
                <w:bCs/>
                <w:color w:val="000000"/>
                <w:kern w:val="0"/>
                <w:sz w:val="13"/>
                <w:szCs w:val="20"/>
              </w:rPr>
              <w:t>环境效益</w:t>
            </w:r>
            <w:r w:rsidRPr="001B6551">
              <w:rPr>
                <w:rFonts w:ascii="宋体" w:hAnsi="宋体" w:cs="宋体" w:hint="eastAsia"/>
                <w:color w:val="000000"/>
                <w:kern w:val="0"/>
                <w:sz w:val="13"/>
                <w:szCs w:val="20"/>
              </w:rPr>
              <w:t>：部门（单位）履行职责对环境所带来的直接或间接影响。</w:t>
            </w:r>
            <w:r w:rsidRPr="001B6551">
              <w:rPr>
                <w:rFonts w:ascii="宋体" w:hAnsi="宋体" w:cs="宋体" w:hint="eastAsia"/>
                <w:b/>
                <w:bCs/>
                <w:color w:val="000000"/>
                <w:kern w:val="0"/>
                <w:sz w:val="13"/>
                <w:szCs w:val="20"/>
              </w:rPr>
              <w:t>可持续性影响：</w:t>
            </w:r>
            <w:r w:rsidRPr="001B6551">
              <w:rPr>
                <w:rFonts w:ascii="宋体" w:hAnsi="宋体" w:cs="宋体" w:hint="eastAsia"/>
                <w:color w:val="000000"/>
                <w:kern w:val="0"/>
                <w:sz w:val="13"/>
                <w:szCs w:val="20"/>
              </w:rPr>
              <w:t>部门绩效目标实现的长效机制建设情况，部门工作效率提升措施的创新。</w:t>
            </w:r>
            <w:r w:rsidRPr="001B6551">
              <w:rPr>
                <w:rFonts w:ascii="宋体" w:hAnsi="宋体" w:cs="宋体" w:hint="eastAsia"/>
                <w:b/>
                <w:bCs/>
                <w:color w:val="000000"/>
                <w:kern w:val="0"/>
                <w:sz w:val="13"/>
                <w:szCs w:val="20"/>
              </w:rPr>
              <w:t>服务对象满意度</w:t>
            </w:r>
            <w:r w:rsidRPr="001B6551">
              <w:rPr>
                <w:rFonts w:ascii="宋体" w:hAnsi="宋体" w:cs="宋体" w:hint="eastAsia"/>
                <w:color w:val="000000"/>
                <w:kern w:val="0"/>
                <w:sz w:val="13"/>
                <w:szCs w:val="20"/>
              </w:rPr>
              <w:t>：部门（单位）的服务对象对部门履职效果的满意程度。</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部门根据实际情况选择指标进行填写，并将其细化为相应的个性化指标。对于效益类指标可从受益对象瞄准度、受益广度和受益深度上进行设计分析。</w:t>
            </w:r>
          </w:p>
        </w:tc>
      </w:tr>
      <w:tr w:rsidR="005E4203" w:rsidRPr="005E4203" w:rsidTr="005E4203">
        <w:trPr>
          <w:trHeight w:val="48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社会效益</w:t>
            </w:r>
            <w:r w:rsidRPr="001B6551">
              <w:rPr>
                <w:rFonts w:ascii="宋体" w:hAnsi="宋体" w:cs="宋体"/>
                <w:color w:val="000000"/>
                <w:kern w:val="0"/>
                <w:sz w:val="13"/>
                <w:szCs w:val="20"/>
              </w:rPr>
              <w:t>-保障首都经济发展</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保障首都经济社会发展</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全面实施“</w:t>
            </w:r>
            <w:proofErr w:type="gramStart"/>
            <w:r w:rsidRPr="001B6551">
              <w:rPr>
                <w:rFonts w:ascii="宋体" w:hAnsi="宋体" w:cs="宋体" w:hint="eastAsia"/>
                <w:color w:val="000000"/>
                <w:kern w:val="0"/>
                <w:sz w:val="13"/>
                <w:szCs w:val="20"/>
              </w:rPr>
              <w:t>规</w:t>
            </w:r>
            <w:proofErr w:type="gramEnd"/>
            <w:r w:rsidRPr="001B6551">
              <w:rPr>
                <w:rFonts w:ascii="宋体" w:hAnsi="宋体" w:cs="宋体" w:hint="eastAsia"/>
                <w:color w:val="000000"/>
                <w:kern w:val="0"/>
                <w:sz w:val="13"/>
                <w:szCs w:val="20"/>
              </w:rPr>
              <w:t>、建、管、限”各项政策措施，不断提高交通设施状况和服务水平，为保障首都经济社会发展起到了良好的作用。</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48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社会效益</w:t>
            </w:r>
            <w:r w:rsidRPr="001B6551">
              <w:rPr>
                <w:rFonts w:ascii="宋体" w:hAnsi="宋体" w:cs="宋体"/>
                <w:color w:val="000000"/>
                <w:kern w:val="0"/>
                <w:sz w:val="13"/>
                <w:szCs w:val="20"/>
              </w:rPr>
              <w:t>-全面落实安全生产管理责任</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全面落实安全生产管理责任</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全面落实安全生产管理责任，不断优化完善安全应急</w:t>
            </w:r>
            <w:proofErr w:type="gramStart"/>
            <w:r w:rsidRPr="001B6551">
              <w:rPr>
                <w:rFonts w:ascii="宋体" w:hAnsi="宋体" w:cs="宋体" w:hint="eastAsia"/>
                <w:color w:val="000000"/>
                <w:kern w:val="0"/>
                <w:sz w:val="13"/>
                <w:szCs w:val="20"/>
              </w:rPr>
              <w:t>维稳责任</w:t>
            </w:r>
            <w:proofErr w:type="gramEnd"/>
            <w:r w:rsidRPr="001B6551">
              <w:rPr>
                <w:rFonts w:ascii="宋体" w:hAnsi="宋体" w:cs="宋体" w:hint="eastAsia"/>
                <w:color w:val="000000"/>
                <w:kern w:val="0"/>
                <w:sz w:val="13"/>
                <w:szCs w:val="20"/>
              </w:rPr>
              <w:t>体系、制度体系、运转体系，安全生产管理水平逐步提升。</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48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环境效益与可持续性影响</w:t>
            </w:r>
            <w:r w:rsidRPr="001B6551">
              <w:rPr>
                <w:rFonts w:ascii="宋体" w:hAnsi="宋体" w:cs="宋体"/>
                <w:color w:val="000000"/>
                <w:kern w:val="0"/>
                <w:sz w:val="13"/>
                <w:szCs w:val="20"/>
              </w:rPr>
              <w:t>-环境保护方面</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注重环境保护</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始终注重环境保护。道路规划中做好环境影响评价等工作，道路建设、养护中积极推广应用新材料、新工艺，提高废旧材料的再生利用率。</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72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环境效益与可持续性影响</w:t>
            </w:r>
            <w:r w:rsidRPr="001B6551">
              <w:rPr>
                <w:rFonts w:ascii="宋体" w:hAnsi="宋体" w:cs="宋体"/>
                <w:color w:val="000000"/>
                <w:kern w:val="0"/>
                <w:sz w:val="13"/>
                <w:szCs w:val="20"/>
              </w:rPr>
              <w:t>-绿色低碳交通方面</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绿色低碳交通加速发展</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高质量完成了北京市绿色出行创建工作，成为首批全国绿色出行创建城市。</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96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服务对象满意度</w:t>
            </w:r>
            <w:r w:rsidRPr="001B6551">
              <w:rPr>
                <w:rFonts w:ascii="宋体" w:hAnsi="宋体" w:cs="宋体"/>
                <w:color w:val="000000"/>
                <w:kern w:val="0"/>
                <w:sz w:val="13"/>
                <w:szCs w:val="20"/>
              </w:rPr>
              <w:t>-服务对象满意度</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服务对象满意度</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坚持把</w:t>
            </w:r>
            <w:proofErr w:type="gramStart"/>
            <w:r w:rsidRPr="001B6551">
              <w:rPr>
                <w:rFonts w:ascii="宋体" w:hAnsi="宋体" w:cs="宋体" w:hint="eastAsia"/>
                <w:color w:val="000000"/>
                <w:kern w:val="0"/>
                <w:sz w:val="13"/>
                <w:szCs w:val="20"/>
              </w:rPr>
              <w:t>接诉即办</w:t>
            </w:r>
            <w:proofErr w:type="gramEnd"/>
            <w:r w:rsidRPr="001B6551">
              <w:rPr>
                <w:rFonts w:ascii="宋体" w:hAnsi="宋体" w:cs="宋体" w:hint="eastAsia"/>
                <w:color w:val="000000"/>
                <w:kern w:val="0"/>
                <w:sz w:val="13"/>
                <w:szCs w:val="20"/>
              </w:rPr>
              <w:t>作为推进交通共治的重要渠道，完善交通行业“接诉即办”工单办理、挂账、约谈等工作机制和配套政策，聚焦诉求反映集中的高频次共性问题开展主动治理，及时有效回应群众关切，</w:t>
            </w:r>
            <w:r w:rsidRPr="001B6551">
              <w:rPr>
                <w:rFonts w:ascii="宋体" w:hAnsi="宋体" w:cs="宋体"/>
                <w:color w:val="000000"/>
                <w:kern w:val="0"/>
                <w:sz w:val="13"/>
                <w:szCs w:val="20"/>
              </w:rPr>
              <w:t>12328热线考核成绩处于全国前列。</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b/>
                <w:bCs/>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255"/>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三、预算管理情况（</w:t>
            </w:r>
            <w:r w:rsidRPr="001B6551">
              <w:rPr>
                <w:rFonts w:ascii="宋体" w:hAnsi="宋体" w:cs="宋体"/>
                <w:color w:val="000000"/>
                <w:kern w:val="0"/>
                <w:sz w:val="13"/>
                <w:szCs w:val="20"/>
              </w:rPr>
              <w:t>20分）</w:t>
            </w:r>
          </w:p>
        </w:tc>
      </w:tr>
      <w:tr w:rsidR="005E4203" w:rsidRPr="005E4203" w:rsidTr="005E420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一级指标</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二级指标</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三级指标</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指标值</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完成值</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分值</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得分</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指标解释</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评分标准</w:t>
            </w:r>
          </w:p>
        </w:tc>
      </w:tr>
      <w:tr w:rsidR="005E4203" w:rsidRPr="005E4203" w:rsidTr="005E4203">
        <w:trPr>
          <w:trHeight w:val="107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预算管理情况（</w:t>
            </w:r>
            <w:r w:rsidRPr="001B6551">
              <w:rPr>
                <w:rFonts w:ascii="宋体" w:hAnsi="宋体" w:cs="宋体"/>
                <w:color w:val="000000"/>
                <w:kern w:val="0"/>
                <w:sz w:val="13"/>
                <w:szCs w:val="20"/>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财务管理（</w:t>
            </w: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财务管理制度健全性</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建立健全预算资金管理办法、绩效跟踪管理办法、资产管理办法等各项制度。保证部门内部财务管理制度、会计核算制度完整、合</w:t>
            </w:r>
            <w:proofErr w:type="gramStart"/>
            <w:r w:rsidRPr="001B6551">
              <w:rPr>
                <w:rFonts w:ascii="宋体" w:hAnsi="宋体" w:cs="宋体" w:hint="eastAsia"/>
                <w:color w:val="000000"/>
                <w:kern w:val="0"/>
                <w:sz w:val="13"/>
                <w:szCs w:val="20"/>
              </w:rPr>
              <w:t>规</w:t>
            </w:r>
            <w:proofErr w:type="gramEnd"/>
            <w:r w:rsidRPr="001B6551">
              <w:rPr>
                <w:rFonts w:ascii="宋体" w:hAnsi="宋体" w:cs="宋体" w:hint="eastAsia"/>
                <w:color w:val="000000"/>
                <w:kern w:val="0"/>
                <w:sz w:val="13"/>
                <w:szCs w:val="20"/>
              </w:rPr>
              <w:t>。</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市交通</w:t>
            </w:r>
            <w:proofErr w:type="gramStart"/>
            <w:r w:rsidRPr="001B6551">
              <w:rPr>
                <w:rFonts w:ascii="宋体" w:hAnsi="宋体" w:cs="宋体" w:hint="eastAsia"/>
                <w:color w:val="000000"/>
                <w:kern w:val="0"/>
                <w:sz w:val="13"/>
                <w:szCs w:val="20"/>
              </w:rPr>
              <w:t>委建立</w:t>
            </w:r>
            <w:proofErr w:type="gramEnd"/>
            <w:r w:rsidRPr="001B6551">
              <w:rPr>
                <w:rFonts w:ascii="宋体" w:hAnsi="宋体" w:cs="宋体" w:hint="eastAsia"/>
                <w:color w:val="000000"/>
                <w:kern w:val="0"/>
                <w:sz w:val="13"/>
                <w:szCs w:val="20"/>
              </w:rPr>
              <w:t>了较为完善的财务管理制度体系，包括《北京市交通委员会预算管理办法》《北京市交通委员会关于印发北京市交通委员会系统政府采购管理办法的通知》等一系列制度，从预算管理、收支管理、政府采购、专项资金管理等方面进行规范约束，在制度上保证了财务工作的规范有序开展。</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b/>
                <w:bCs/>
                <w:color w:val="000000"/>
                <w:kern w:val="0"/>
                <w:sz w:val="13"/>
                <w:szCs w:val="20"/>
              </w:rPr>
            </w:pPr>
            <w:r w:rsidRPr="001B6551">
              <w:rPr>
                <w:rFonts w:ascii="宋体" w:hAnsi="宋体" w:cs="宋体" w:hint="eastAsia"/>
                <w:b/>
                <w:bCs/>
                <w:color w:val="000000"/>
                <w:kern w:val="0"/>
                <w:sz w:val="13"/>
                <w:szCs w:val="20"/>
              </w:rPr>
              <w:t>财务管理制度健全性</w:t>
            </w:r>
            <w:r w:rsidRPr="001B6551">
              <w:rPr>
                <w:rFonts w:ascii="宋体" w:hAnsi="宋体" w:cs="宋体"/>
                <w:b/>
                <w:bCs/>
                <w:color w:val="000000"/>
                <w:kern w:val="0"/>
                <w:sz w:val="13"/>
                <w:szCs w:val="20"/>
              </w:rPr>
              <w:t>:</w:t>
            </w:r>
            <w:r w:rsidRPr="001B6551">
              <w:rPr>
                <w:rFonts w:ascii="宋体" w:hAnsi="宋体" w:cs="宋体" w:hint="eastAsia"/>
                <w:color w:val="000000"/>
                <w:kern w:val="0"/>
                <w:sz w:val="13"/>
                <w:szCs w:val="20"/>
              </w:rPr>
              <w:t>部门（单位）为加强财务管理、规范财务行为而制定的管理制度。</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①预算资金管理办法、绩效跟踪管理办法、资产管理办法等各项制度是否健全；②部门内部财务管理制度是否完整、合</w:t>
            </w:r>
            <w:proofErr w:type="gramStart"/>
            <w:r w:rsidRPr="001B6551">
              <w:rPr>
                <w:rFonts w:ascii="宋体" w:hAnsi="宋体" w:cs="宋体" w:hint="eastAsia"/>
                <w:color w:val="000000"/>
                <w:kern w:val="0"/>
                <w:sz w:val="13"/>
                <w:szCs w:val="20"/>
              </w:rPr>
              <w:t>规</w:t>
            </w:r>
            <w:proofErr w:type="gramEnd"/>
            <w:r w:rsidRPr="001B6551">
              <w:rPr>
                <w:rFonts w:ascii="宋体" w:hAnsi="宋体" w:cs="宋体" w:hint="eastAsia"/>
                <w:color w:val="000000"/>
                <w:kern w:val="0"/>
                <w:sz w:val="13"/>
                <w:szCs w:val="20"/>
              </w:rPr>
              <w:t>；③会计核算制度是否完整、合</w:t>
            </w:r>
            <w:proofErr w:type="gramStart"/>
            <w:r w:rsidRPr="001B6551">
              <w:rPr>
                <w:rFonts w:ascii="宋体" w:hAnsi="宋体" w:cs="宋体" w:hint="eastAsia"/>
                <w:color w:val="000000"/>
                <w:kern w:val="0"/>
                <w:sz w:val="13"/>
                <w:szCs w:val="20"/>
              </w:rPr>
              <w:t>规</w:t>
            </w:r>
            <w:proofErr w:type="gramEnd"/>
            <w:r w:rsidRPr="001B6551">
              <w:rPr>
                <w:rFonts w:ascii="宋体" w:hAnsi="宋体" w:cs="宋体" w:hint="eastAsia"/>
                <w:color w:val="000000"/>
                <w:kern w:val="0"/>
                <w:sz w:val="13"/>
                <w:szCs w:val="20"/>
              </w:rPr>
              <w:t>。每有一项不合格扣</w:t>
            </w:r>
            <w:r w:rsidRPr="001B6551">
              <w:rPr>
                <w:rFonts w:ascii="宋体" w:hAnsi="宋体" w:cs="宋体"/>
                <w:color w:val="000000"/>
                <w:kern w:val="0"/>
                <w:sz w:val="13"/>
                <w:szCs w:val="20"/>
              </w:rPr>
              <w:t>0.5分，扣完为止。</w:t>
            </w:r>
          </w:p>
        </w:tc>
      </w:tr>
      <w:tr w:rsidR="005E4203" w:rsidRPr="005E4203" w:rsidTr="005E4203">
        <w:trPr>
          <w:trHeight w:val="168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资金使用合</w:t>
            </w:r>
            <w:proofErr w:type="gramStart"/>
            <w:r w:rsidRPr="001B6551">
              <w:rPr>
                <w:rFonts w:ascii="宋体" w:hAnsi="宋体" w:cs="宋体" w:hint="eastAsia"/>
                <w:color w:val="000000"/>
                <w:kern w:val="0"/>
                <w:sz w:val="13"/>
                <w:szCs w:val="20"/>
              </w:rPr>
              <w:t>规</w:t>
            </w:r>
            <w:proofErr w:type="gramEnd"/>
            <w:r w:rsidRPr="001B6551">
              <w:rPr>
                <w:rFonts w:ascii="宋体" w:hAnsi="宋体" w:cs="宋体" w:hint="eastAsia"/>
                <w:color w:val="000000"/>
                <w:kern w:val="0"/>
                <w:sz w:val="13"/>
                <w:szCs w:val="20"/>
              </w:rPr>
              <w:t>性和安全性</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资金支出符合预算财务管理制度、专项资金管理办法、政府采购管理办法等相关制度的规定。使用预算资金符合相关规定的开支范围，不超范围列支。资金拨付按照审批程序和手续严格执行，无审批不拨付资金。严格杜绝资金被截留、挤占、挪用。</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严格遵守《预算法》《预算法实施条例》等法律法规和财政部、市财政局有关财政、财务规章制度，并制定了适合本单位的制度，规范财政资金管理，建设项目预算支出整体受控。</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b/>
                <w:bCs/>
                <w:color w:val="000000"/>
                <w:kern w:val="0"/>
                <w:sz w:val="13"/>
                <w:szCs w:val="20"/>
              </w:rPr>
            </w:pPr>
            <w:r w:rsidRPr="001B6551">
              <w:rPr>
                <w:rFonts w:ascii="宋体" w:hAnsi="宋体" w:cs="宋体" w:hint="eastAsia"/>
                <w:b/>
                <w:bCs/>
                <w:color w:val="000000"/>
                <w:kern w:val="0"/>
                <w:sz w:val="13"/>
                <w:szCs w:val="20"/>
              </w:rPr>
              <w:t>资金使用合</w:t>
            </w:r>
            <w:proofErr w:type="gramStart"/>
            <w:r w:rsidRPr="001B6551">
              <w:rPr>
                <w:rFonts w:ascii="宋体" w:hAnsi="宋体" w:cs="宋体" w:hint="eastAsia"/>
                <w:b/>
                <w:bCs/>
                <w:color w:val="000000"/>
                <w:kern w:val="0"/>
                <w:sz w:val="13"/>
                <w:szCs w:val="20"/>
              </w:rPr>
              <w:t>规</w:t>
            </w:r>
            <w:proofErr w:type="gramEnd"/>
            <w:r w:rsidRPr="001B6551">
              <w:rPr>
                <w:rFonts w:ascii="宋体" w:hAnsi="宋体" w:cs="宋体" w:hint="eastAsia"/>
                <w:b/>
                <w:bCs/>
                <w:color w:val="000000"/>
                <w:kern w:val="0"/>
                <w:sz w:val="13"/>
                <w:szCs w:val="20"/>
              </w:rPr>
              <w:t>性和安全性</w:t>
            </w:r>
            <w:r w:rsidRPr="001B6551">
              <w:rPr>
                <w:rFonts w:ascii="宋体" w:hAnsi="宋体" w:cs="宋体"/>
                <w:b/>
                <w:bCs/>
                <w:color w:val="000000"/>
                <w:kern w:val="0"/>
                <w:sz w:val="13"/>
                <w:szCs w:val="20"/>
              </w:rPr>
              <w:t>:</w:t>
            </w:r>
            <w:r w:rsidRPr="001B6551">
              <w:rPr>
                <w:rFonts w:ascii="宋体" w:hAnsi="宋体" w:cs="宋体" w:hint="eastAsia"/>
                <w:color w:val="000000"/>
                <w:kern w:val="0"/>
                <w:sz w:val="13"/>
                <w:szCs w:val="20"/>
              </w:rPr>
              <w:t>部门（单位）使用预算资金是否符合相关的预算财务管理制度的规定，是否符合相关规定的开支范围，用以反映考核部门（单位）预算资金的规范运行和安全运行情况。</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w:t>
            </w:r>
            <w:r w:rsidRPr="001B6551">
              <w:rPr>
                <w:rFonts w:ascii="宋体" w:hAnsi="宋体" w:cs="宋体"/>
                <w:color w:val="000000"/>
                <w:kern w:val="0"/>
                <w:sz w:val="13"/>
                <w:szCs w:val="20"/>
              </w:rPr>
              <w:t>0.5分，扣完为止。</w:t>
            </w:r>
          </w:p>
        </w:tc>
      </w:tr>
      <w:tr w:rsidR="005E4203" w:rsidRPr="005E4203" w:rsidTr="005E4203">
        <w:trPr>
          <w:trHeight w:val="72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会计基础信息完善性</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会计基础数据信息和会计信息资料真实、完整、准确</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市交通委严格按照相关法律法规要求进行核算，全面、客观如实反映市交通委发生的各项经济业务，基础数据信息和会计信息资料真实、完整、准确。</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b/>
                <w:bCs/>
                <w:color w:val="000000"/>
                <w:kern w:val="0"/>
                <w:sz w:val="13"/>
                <w:szCs w:val="20"/>
              </w:rPr>
            </w:pPr>
            <w:r w:rsidRPr="001B6551">
              <w:rPr>
                <w:rFonts w:ascii="宋体" w:hAnsi="宋体" w:cs="宋体" w:hint="eastAsia"/>
                <w:b/>
                <w:bCs/>
                <w:color w:val="000000"/>
                <w:kern w:val="0"/>
                <w:sz w:val="13"/>
                <w:szCs w:val="20"/>
              </w:rPr>
              <w:t>会计基础信息完善性</w:t>
            </w:r>
            <w:r w:rsidRPr="001B6551">
              <w:rPr>
                <w:rFonts w:ascii="宋体" w:hAnsi="宋体" w:cs="宋体"/>
                <w:b/>
                <w:bCs/>
                <w:color w:val="000000"/>
                <w:kern w:val="0"/>
                <w:sz w:val="13"/>
                <w:szCs w:val="20"/>
              </w:rPr>
              <w:t>:</w:t>
            </w:r>
            <w:r w:rsidRPr="001B6551">
              <w:rPr>
                <w:rFonts w:ascii="宋体" w:hAnsi="宋体" w:cs="宋体" w:hint="eastAsia"/>
                <w:color w:val="000000"/>
                <w:kern w:val="0"/>
                <w:sz w:val="13"/>
                <w:szCs w:val="20"/>
              </w:rPr>
              <w:t>部门（单位）会计基础信息情况。</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①基础数据信息和会计信息资料是否真实；②基础数据信息和会计信息资料是否完整；③基础数据信息和会计信息资料是否准确。每有一项不合格扣</w:t>
            </w:r>
            <w:r w:rsidRPr="001B6551">
              <w:rPr>
                <w:rFonts w:ascii="宋体" w:hAnsi="宋体" w:cs="宋体"/>
                <w:color w:val="000000"/>
                <w:kern w:val="0"/>
                <w:sz w:val="13"/>
                <w:szCs w:val="20"/>
              </w:rPr>
              <w:t>0.5分，扣完为止。</w:t>
            </w:r>
          </w:p>
        </w:tc>
      </w:tr>
      <w:tr w:rsidR="005E4203" w:rsidRPr="005E4203" w:rsidTr="005E4203">
        <w:trPr>
          <w:trHeight w:val="144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资产管理（</w:t>
            </w: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资产管理规范性</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严格执行资产管理制度，对资产进行规范化管理，防范资产出现损失和丢失的情况出现，无特殊情况不超标准配置资产，资产出租出借履行审批手续。资产处置按照要求履行报批、处置程序。</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制订《北京市交通委员会固定资产管理暂行办法》《公路公共基础设施入账实施细则》《委机关固定资产更新工作实施方案》等制度，为维护资产安全完整、提升资产使用效率、发挥资产功能价值方面提供了良好的制度保障。</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b/>
                <w:bCs/>
                <w:color w:val="000000"/>
                <w:kern w:val="0"/>
                <w:sz w:val="13"/>
                <w:szCs w:val="20"/>
              </w:rPr>
            </w:pPr>
            <w:r w:rsidRPr="001B6551">
              <w:rPr>
                <w:rFonts w:ascii="宋体" w:hAnsi="宋体" w:cs="宋体" w:hint="eastAsia"/>
                <w:b/>
                <w:bCs/>
                <w:color w:val="000000"/>
                <w:kern w:val="0"/>
                <w:sz w:val="13"/>
                <w:szCs w:val="20"/>
              </w:rPr>
              <w:t>资产管理规范性</w:t>
            </w:r>
            <w:r w:rsidRPr="001B6551">
              <w:rPr>
                <w:rFonts w:ascii="宋体" w:hAnsi="宋体" w:cs="宋体"/>
                <w:b/>
                <w:bCs/>
                <w:color w:val="000000"/>
                <w:kern w:val="0"/>
                <w:sz w:val="13"/>
                <w:szCs w:val="20"/>
              </w:rPr>
              <w:t>:</w:t>
            </w:r>
            <w:r w:rsidRPr="001B6551">
              <w:rPr>
                <w:rFonts w:ascii="宋体" w:hAnsi="宋体" w:cs="宋体" w:hint="eastAsia"/>
                <w:color w:val="000000"/>
                <w:kern w:val="0"/>
                <w:sz w:val="13"/>
                <w:szCs w:val="20"/>
              </w:rPr>
              <w:t>部门（单位）的资产是否保持安全完整，资产配置是否合理，资产使用和资产处理是否规范，用以反映和考核部门（单位）资产管理的整体水平。</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w:t>
            </w:r>
            <w:r w:rsidRPr="001B6551">
              <w:rPr>
                <w:rFonts w:ascii="宋体" w:hAnsi="宋体" w:cs="宋体"/>
                <w:color w:val="000000"/>
                <w:kern w:val="0"/>
                <w:sz w:val="13"/>
                <w:szCs w:val="20"/>
              </w:rPr>
              <w:t>0.8分，扣完为止。</w:t>
            </w:r>
          </w:p>
        </w:tc>
      </w:tr>
      <w:tr w:rsidR="005E4203" w:rsidRPr="005E4203" w:rsidTr="005E4203">
        <w:trPr>
          <w:trHeight w:val="72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绩效管理（</w:t>
            </w: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绩效管理情况</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kern w:val="0"/>
                <w:sz w:val="13"/>
                <w:szCs w:val="20"/>
              </w:rPr>
            </w:pPr>
            <w:r w:rsidRPr="001B6551">
              <w:rPr>
                <w:rFonts w:ascii="宋体" w:hAnsi="宋体" w:cs="宋体" w:hint="eastAsia"/>
                <w:kern w:val="0"/>
                <w:sz w:val="13"/>
                <w:szCs w:val="20"/>
              </w:rPr>
              <w:t>及时对绩效信息进行汇总分析理，对绩效目标偏离情况及时进行正。</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 xml:space="preserve">　市交通委严格落实预算绩效管理主体责任，扎实推进北京市在预算绩效管理方面的各类工作要求，开展了一系列部门预算绩效管理相关工作。包括绩效目标编制、绩效运行监控、成本绩效分析、绩效评价等。</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b/>
                <w:bCs/>
                <w:color w:val="000000"/>
                <w:kern w:val="0"/>
                <w:sz w:val="13"/>
                <w:szCs w:val="20"/>
              </w:rPr>
            </w:pPr>
            <w:r w:rsidRPr="001B6551">
              <w:rPr>
                <w:rFonts w:ascii="宋体" w:hAnsi="宋体" w:cs="宋体" w:hint="eastAsia"/>
                <w:b/>
                <w:bCs/>
                <w:color w:val="000000"/>
                <w:kern w:val="0"/>
                <w:sz w:val="13"/>
                <w:szCs w:val="20"/>
              </w:rPr>
              <w:t>绩效管理情况</w:t>
            </w:r>
            <w:r w:rsidRPr="001B6551">
              <w:rPr>
                <w:rFonts w:ascii="宋体" w:hAnsi="宋体" w:cs="宋体"/>
                <w:b/>
                <w:bCs/>
                <w:color w:val="000000"/>
                <w:kern w:val="0"/>
                <w:sz w:val="13"/>
                <w:szCs w:val="20"/>
              </w:rPr>
              <w:t>:</w:t>
            </w:r>
            <w:r w:rsidRPr="001B6551">
              <w:rPr>
                <w:rFonts w:ascii="宋体" w:hAnsi="宋体" w:cs="宋体" w:hint="eastAsia"/>
                <w:color w:val="000000"/>
                <w:kern w:val="0"/>
                <w:sz w:val="13"/>
                <w:szCs w:val="20"/>
              </w:rPr>
              <w:t>考核部门（单位）在绩效管理信息的汇总和应用情况。</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①部门（单位）是否及时对绩效信息进行汇总分析整理；②部门（单位）是否对绩效目标偏离情况及时进行矫正。每有一项不合格扣</w:t>
            </w:r>
            <w:r w:rsidRPr="001B6551">
              <w:rPr>
                <w:rFonts w:ascii="宋体" w:hAnsi="宋体" w:cs="宋体"/>
                <w:color w:val="000000"/>
                <w:kern w:val="0"/>
                <w:sz w:val="13"/>
                <w:szCs w:val="20"/>
              </w:rPr>
              <w:t>2分。</w:t>
            </w:r>
          </w:p>
        </w:tc>
      </w:tr>
      <w:tr w:rsidR="005E4203" w:rsidRPr="005E4203" w:rsidTr="005E4203">
        <w:trPr>
          <w:trHeight w:val="255"/>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 xml:space="preserve">指标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2021年</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2022年</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分值</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得分</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指标解释</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评分标准</w:t>
            </w:r>
          </w:p>
        </w:tc>
      </w:tr>
      <w:tr w:rsidR="005E4203" w:rsidRPr="005E4203" w:rsidTr="005E4203">
        <w:trPr>
          <w:trHeight w:val="255"/>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rPr>
                <w:rFonts w:ascii="宋体" w:hAnsi="宋体" w:cs="宋体"/>
                <w:color w:val="000000"/>
                <w:kern w:val="0"/>
                <w:sz w:val="13"/>
                <w:szCs w:val="20"/>
              </w:rPr>
            </w:pPr>
            <w:r w:rsidRPr="001B6551">
              <w:rPr>
                <w:rFonts w:ascii="宋体" w:hAnsi="宋体" w:cs="宋体" w:hint="eastAsia"/>
                <w:color w:val="000000"/>
                <w:kern w:val="0"/>
                <w:sz w:val="13"/>
                <w:szCs w:val="20"/>
              </w:rPr>
              <w:t>结转结余率（</w:t>
            </w:r>
            <w:r w:rsidRPr="001B6551">
              <w:rPr>
                <w:rFonts w:ascii="宋体" w:hAnsi="宋体" w:cs="宋体"/>
                <w:color w:val="000000"/>
                <w:kern w:val="0"/>
                <w:sz w:val="13"/>
                <w:szCs w:val="20"/>
              </w:rPr>
              <w:t>4）</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5.15%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3.60%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结转结余率</w:t>
            </w:r>
            <w:r w:rsidRPr="001B6551">
              <w:rPr>
                <w:rFonts w:ascii="宋体" w:hAnsi="宋体" w:cs="宋体"/>
                <w:color w:val="000000"/>
                <w:kern w:val="0"/>
                <w:sz w:val="13"/>
                <w:szCs w:val="20"/>
              </w:rPr>
              <w:t>=结转结余总额/支出预算数×100%。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部门结转结余率低于上年的不扣分；高于上年结余率，每高出</w:t>
            </w:r>
            <w:r w:rsidRPr="001B6551">
              <w:rPr>
                <w:rFonts w:ascii="宋体" w:hAnsi="宋体" w:cs="宋体"/>
                <w:color w:val="000000"/>
                <w:kern w:val="0"/>
                <w:sz w:val="13"/>
                <w:szCs w:val="20"/>
              </w:rPr>
              <w:t>1个百分点扣0.4分，扣完为止。（说明：预算调整和结转结余指标，如</w:t>
            </w:r>
            <w:proofErr w:type="gramStart"/>
            <w:r w:rsidRPr="001B6551">
              <w:rPr>
                <w:rFonts w:ascii="宋体" w:hAnsi="宋体" w:cs="宋体" w:hint="eastAsia"/>
                <w:color w:val="000000"/>
                <w:kern w:val="0"/>
                <w:sz w:val="13"/>
                <w:szCs w:val="20"/>
              </w:rPr>
              <w:t>非预算</w:t>
            </w:r>
            <w:proofErr w:type="gramEnd"/>
            <w:r w:rsidRPr="001B6551">
              <w:rPr>
                <w:rFonts w:ascii="宋体" w:hAnsi="宋体" w:cs="宋体" w:hint="eastAsia"/>
                <w:color w:val="000000"/>
                <w:kern w:val="0"/>
                <w:sz w:val="13"/>
                <w:szCs w:val="20"/>
              </w:rPr>
              <w:t>部门主观因素导致扣分的，在评分结果征求意见环节，经与相关部门预算主管处室共同研究，可作为例外情况酌情考虑。）</w:t>
            </w:r>
          </w:p>
        </w:tc>
      </w:tr>
      <w:tr w:rsidR="005E4203" w:rsidRPr="005E4203" w:rsidTr="005E4203">
        <w:trPr>
          <w:trHeight w:val="48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结转结余总额：部门（单位）本年度的结转资金与结余资金之</w:t>
            </w:r>
            <w:proofErr w:type="gramStart"/>
            <w:r w:rsidRPr="001B6551">
              <w:rPr>
                <w:rFonts w:ascii="宋体" w:hAnsi="宋体" w:cs="宋体" w:hint="eastAsia"/>
                <w:color w:val="000000"/>
                <w:kern w:val="0"/>
                <w:sz w:val="13"/>
                <w:szCs w:val="20"/>
              </w:rPr>
              <w:t>和</w:t>
            </w:r>
            <w:proofErr w:type="gramEnd"/>
            <w:r w:rsidRPr="001B6551">
              <w:rPr>
                <w:rFonts w:ascii="宋体" w:hAnsi="宋体" w:cs="宋体" w:hint="eastAsia"/>
                <w:color w:val="000000"/>
                <w:kern w:val="0"/>
                <w:sz w:val="13"/>
                <w:szCs w:val="20"/>
              </w:rPr>
              <w:t>。</w:t>
            </w:r>
          </w:p>
        </w:tc>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r>
      <w:tr w:rsidR="005E4203" w:rsidRPr="005E4203" w:rsidTr="005E4203">
        <w:trPr>
          <w:trHeight w:val="480"/>
        </w:trPr>
        <w:tc>
          <w:tcPr>
            <w:tcW w:w="0" w:type="auto"/>
            <w:vMerge/>
            <w:tcBorders>
              <w:top w:val="nil"/>
              <w:left w:val="single" w:sz="4" w:space="0" w:color="auto"/>
              <w:bottom w:val="single" w:sz="4" w:space="0" w:color="auto"/>
              <w:right w:val="single" w:sz="4" w:space="0" w:color="auto"/>
            </w:tcBorders>
            <w:vAlign w:val="center"/>
            <w:hideMark/>
          </w:tcPr>
          <w:p w:rsidR="00000000" w:rsidRDefault="00A70C64">
            <w:pPr>
              <w:widowControl/>
              <w:jc w:val="left"/>
              <w:rPr>
                <w:rFonts w:ascii="宋体" w:hAnsi="宋体" w:cs="宋体"/>
                <w:color w:val="000000"/>
                <w:kern w:val="0"/>
                <w:sz w:val="13"/>
                <w:szCs w:val="20"/>
              </w:rPr>
            </w:pP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rPr>
                <w:rFonts w:ascii="宋体" w:hAnsi="宋体" w:cs="宋体"/>
                <w:color w:val="000000"/>
                <w:kern w:val="0"/>
                <w:sz w:val="13"/>
                <w:szCs w:val="20"/>
              </w:rPr>
            </w:pPr>
            <w:r w:rsidRPr="001B6551">
              <w:rPr>
                <w:rFonts w:ascii="宋体" w:hAnsi="宋体" w:cs="宋体" w:hint="eastAsia"/>
                <w:color w:val="000000"/>
                <w:kern w:val="0"/>
                <w:sz w:val="13"/>
                <w:szCs w:val="20"/>
              </w:rPr>
              <w:t>部门预决算差异率（</w:t>
            </w:r>
            <w:r w:rsidRPr="001B6551">
              <w:rPr>
                <w:rFonts w:ascii="宋体" w:hAnsi="宋体" w:cs="宋体"/>
                <w:color w:val="000000"/>
                <w:kern w:val="0"/>
                <w:sz w:val="13"/>
                <w:szCs w:val="20"/>
              </w:rPr>
              <w:t>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9.47%</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通过年度部门决算与年初部门预算对比，对部门的年度支出情况进行考核，衡量部门预算的约束力。</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left"/>
              <w:rPr>
                <w:rFonts w:ascii="宋体" w:hAnsi="宋体" w:cs="宋体"/>
                <w:color w:val="000000"/>
                <w:kern w:val="0"/>
                <w:sz w:val="13"/>
                <w:szCs w:val="20"/>
              </w:rPr>
            </w:pPr>
            <w:r w:rsidRPr="001B6551">
              <w:rPr>
                <w:rFonts w:ascii="宋体" w:hAnsi="宋体" w:cs="宋体" w:hint="eastAsia"/>
                <w:color w:val="000000"/>
                <w:kern w:val="0"/>
                <w:sz w:val="13"/>
                <w:szCs w:val="20"/>
              </w:rPr>
              <w:t>部门预决算差异率高于市级平均差异率（</w:t>
            </w:r>
            <w:r w:rsidRPr="001B6551">
              <w:rPr>
                <w:rFonts w:ascii="宋体" w:hAnsi="宋体" w:cs="宋体"/>
                <w:color w:val="000000"/>
                <w:kern w:val="0"/>
                <w:sz w:val="13"/>
                <w:szCs w:val="20"/>
              </w:rPr>
              <w:t>28.3%）的，每高出10%（含），扣0.4分，扣完为止。</w:t>
            </w:r>
          </w:p>
        </w:tc>
      </w:tr>
      <w:tr w:rsidR="005E4203" w:rsidRPr="005E4203" w:rsidTr="005E4203">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color w:val="000000"/>
                <w:kern w:val="0"/>
                <w:sz w:val="13"/>
                <w:szCs w:val="20"/>
              </w:rPr>
              <w:t xml:space="preserve">   93.28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00000" w:rsidRDefault="001B6551">
            <w:pPr>
              <w:widowControl/>
              <w:jc w:val="center"/>
              <w:rPr>
                <w:rFonts w:ascii="宋体" w:hAnsi="宋体" w:cs="宋体"/>
                <w:color w:val="000000"/>
                <w:kern w:val="0"/>
                <w:sz w:val="13"/>
                <w:szCs w:val="20"/>
              </w:rPr>
            </w:pPr>
            <w:r w:rsidRPr="001B6551">
              <w:rPr>
                <w:rFonts w:ascii="宋体" w:hAnsi="宋体" w:cs="宋体" w:hint="eastAsia"/>
                <w:color w:val="000000"/>
                <w:kern w:val="0"/>
                <w:sz w:val="13"/>
                <w:szCs w:val="20"/>
              </w:rPr>
              <w:t xml:space="preserve">　</w:t>
            </w:r>
          </w:p>
        </w:tc>
      </w:tr>
    </w:tbl>
    <w:p w:rsidR="00000000" w:rsidRDefault="00A70C64">
      <w:pPr>
        <w:spacing w:line="560" w:lineRule="exact"/>
        <w:rPr>
          <w:rFonts w:ascii="仿宋_GB2312" w:eastAsia="仿宋_GB2312" w:hAnsi="仿宋_GB2312" w:cs="仿宋_GB2312"/>
          <w:sz w:val="32"/>
          <w:szCs w:val="32"/>
        </w:rPr>
      </w:pPr>
    </w:p>
    <w:sectPr w:rsidR="00000000" w:rsidSect="005E4203">
      <w:footerReference w:type="default" r:id="rId13"/>
      <w:pgSz w:w="16838" w:h="11906" w:orient="landscape"/>
      <w:pgMar w:top="1800" w:right="1440" w:bottom="1800" w:left="1440" w:header="851" w:footer="964"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BFA" w:rsidRDefault="00651BFA" w:rsidP="00651BFA">
      <w:r>
        <w:separator/>
      </w:r>
    </w:p>
  </w:endnote>
  <w:endnote w:type="continuationSeparator" w:id="0">
    <w:p w:rsidR="00651BFA" w:rsidRDefault="00651BFA" w:rsidP="00651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FA" w:rsidRDefault="001B6551">
    <w:pPr>
      <w:pStyle w:val="a5"/>
      <w:framePr w:wrap="around" w:vAnchor="text" w:hAnchor="margin" w:xAlign="center" w:y="1"/>
      <w:rPr>
        <w:rStyle w:val="a7"/>
      </w:rPr>
    </w:pPr>
    <w:r>
      <w:fldChar w:fldCharType="begin"/>
    </w:r>
    <w:r w:rsidR="00AA329C">
      <w:rPr>
        <w:rStyle w:val="a7"/>
      </w:rPr>
      <w:instrText xml:space="preserve">PAGE  </w:instrText>
    </w:r>
    <w:r>
      <w:fldChar w:fldCharType="end"/>
    </w:r>
  </w:p>
  <w:p w:rsidR="00651BFA" w:rsidRDefault="00651B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FA" w:rsidRDefault="00651BFA">
    <w:pPr>
      <w:pStyle w:val="a5"/>
      <w:jc w:val="center"/>
    </w:pPr>
  </w:p>
  <w:p w:rsidR="00651BFA" w:rsidRDefault="00651BFA">
    <w:pPr>
      <w:pStyle w:val="a5"/>
      <w:tabs>
        <w:tab w:val="clear" w:pos="4153"/>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FA" w:rsidRDefault="001B6551">
    <w:pPr>
      <w:pStyle w:val="a5"/>
    </w:pPr>
    <w:r>
      <w:fldChar w:fldCharType="begin"/>
    </w:r>
    <w:r w:rsidR="00AA329C">
      <w:instrText xml:space="preserve"> PAGE   \* MERGEFORMAT </w:instrText>
    </w:r>
    <w:r>
      <w:fldChar w:fldCharType="separate"/>
    </w:r>
    <w:r w:rsidR="00AA329C">
      <w:rPr>
        <w:lang w:val="zh-CN"/>
      </w:rPr>
      <w:t>1</w:t>
    </w:r>
    <w:r>
      <w:fldChar w:fldCharType="end"/>
    </w:r>
  </w:p>
  <w:p w:rsidR="00651BFA" w:rsidRDefault="00651BF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FA" w:rsidRDefault="001B6551">
    <w:pPr>
      <w:pStyle w:val="a5"/>
      <w:ind w:firstLine="360"/>
      <w:jc w:val="center"/>
      <w:rPr>
        <w:sz w:val="21"/>
        <w:szCs w:val="21"/>
      </w:rPr>
    </w:pPr>
    <w:r w:rsidRPr="001B6551">
      <w:rPr>
        <w:szCs w:val="20"/>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0288;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next-textbox:#_x0000_s1029;mso-fit-shape-to-text:t" inset="0,0,0,0">
            <w:txbxContent>
              <w:p w:rsidR="00651BFA" w:rsidRDefault="001B6551">
                <w:pPr>
                  <w:pStyle w:val="a5"/>
                </w:pPr>
                <w:r>
                  <w:fldChar w:fldCharType="begin"/>
                </w:r>
                <w:r w:rsidR="00AA329C">
                  <w:instrText xml:space="preserve"> PAGE  \* MERGEFORMAT </w:instrText>
                </w:r>
                <w:r>
                  <w:fldChar w:fldCharType="separate"/>
                </w:r>
                <w:r w:rsidR="00A70C64">
                  <w:rPr>
                    <w:noProof/>
                  </w:rPr>
                  <w:t>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FA" w:rsidRDefault="001B6551">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9.05pt;height:10.35pt;z-index:251659264;mso-wrap-style:none;mso-position-horizontal:center;mso-position-horizontal-relative:margin;mso-width-relative:page;mso-height-relative:page"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snaWyzYCAABhBAAADgAAAAAAAAABACAAAAAhAQAAZHJzL2Uyb0RvYy54&#10;bWxQSwUGAAAAAAYABgBZAQAAyQUAAAAA&#10;" filled="f" stroked="f" strokeweight=".5pt">
          <v:textbox style="mso-fit-shape-to-text:t" inset="0,0,0,0">
            <w:txbxContent>
              <w:p w:rsidR="00651BFA" w:rsidRDefault="001B6551">
                <w:pPr>
                  <w:pStyle w:val="a5"/>
                </w:pPr>
                <w:r>
                  <w:fldChar w:fldCharType="begin"/>
                </w:r>
                <w:r w:rsidR="00AA329C">
                  <w:instrText xml:space="preserve"> PAGE  \* MERGEFORMAT </w:instrText>
                </w:r>
                <w:r>
                  <w:fldChar w:fldCharType="separate"/>
                </w:r>
                <w:r w:rsidR="00A70C64">
                  <w:rPr>
                    <w:noProof/>
                  </w:rPr>
                  <w:t>8</w:t>
                </w:r>
                <w:r>
                  <w:fldChar w:fldCharType="end"/>
                </w:r>
              </w:p>
            </w:txbxContent>
          </v:textbox>
          <w10:wrap anchorx="margin"/>
        </v:shape>
      </w:pict>
    </w:r>
  </w:p>
  <w:p w:rsidR="00651BFA" w:rsidRDefault="00651BFA">
    <w:pPr>
      <w:pStyle w:val="a5"/>
      <w:tabs>
        <w:tab w:val="clear" w:pos="415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BFA" w:rsidRDefault="00651BFA" w:rsidP="00651BFA">
      <w:r>
        <w:separator/>
      </w:r>
    </w:p>
  </w:footnote>
  <w:footnote w:type="continuationSeparator" w:id="0">
    <w:p w:rsidR="00651BFA" w:rsidRDefault="00651BFA" w:rsidP="00651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5578B"/>
    <w:multiLevelType w:val="multilevel"/>
    <w:tmpl w:val="3E65578B"/>
    <w:lvl w:ilvl="0">
      <w:start w:val="1"/>
      <w:numFmt w:val="japaneseCounting"/>
      <w:lvlText w:val="（%1）"/>
      <w:lvlJc w:val="left"/>
      <w:pPr>
        <w:ind w:left="1630" w:hanging="99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妮娅">
    <w15:presenceInfo w15:providerId="None" w15:userId="董妮娅"/>
  </w15:person>
  <w15:person w15:author="陈劲松">
    <w15:presenceInfo w15:providerId="None" w15:userId="陈劲松"/>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Y3NGM3NDI2NGJmYmIwNjIzYTc3OWI5OGViNzAxY2IifQ=="/>
  </w:docVars>
  <w:rsids>
    <w:rsidRoot w:val="009E3C63"/>
    <w:rsid w:val="00001843"/>
    <w:rsid w:val="00005E27"/>
    <w:rsid w:val="000071A3"/>
    <w:rsid w:val="00012F2A"/>
    <w:rsid w:val="000138DF"/>
    <w:rsid w:val="00015C30"/>
    <w:rsid w:val="00016732"/>
    <w:rsid w:val="000200FB"/>
    <w:rsid w:val="00022DED"/>
    <w:rsid w:val="000232CE"/>
    <w:rsid w:val="000254B3"/>
    <w:rsid w:val="00026C1B"/>
    <w:rsid w:val="00026C6E"/>
    <w:rsid w:val="00027A41"/>
    <w:rsid w:val="00033552"/>
    <w:rsid w:val="00033F52"/>
    <w:rsid w:val="00034BA6"/>
    <w:rsid w:val="00034E36"/>
    <w:rsid w:val="00034FBF"/>
    <w:rsid w:val="00035338"/>
    <w:rsid w:val="000400A0"/>
    <w:rsid w:val="00040737"/>
    <w:rsid w:val="00041A97"/>
    <w:rsid w:val="000421D5"/>
    <w:rsid w:val="00045EF3"/>
    <w:rsid w:val="000512FF"/>
    <w:rsid w:val="00052689"/>
    <w:rsid w:val="00052B84"/>
    <w:rsid w:val="00053082"/>
    <w:rsid w:val="00057270"/>
    <w:rsid w:val="000671DD"/>
    <w:rsid w:val="00067F4A"/>
    <w:rsid w:val="00072DA0"/>
    <w:rsid w:val="00072E9B"/>
    <w:rsid w:val="000759A4"/>
    <w:rsid w:val="00075FA3"/>
    <w:rsid w:val="00084B65"/>
    <w:rsid w:val="00090849"/>
    <w:rsid w:val="000908D9"/>
    <w:rsid w:val="000928C2"/>
    <w:rsid w:val="000929A6"/>
    <w:rsid w:val="000934B2"/>
    <w:rsid w:val="00093C26"/>
    <w:rsid w:val="000975B5"/>
    <w:rsid w:val="000A0F54"/>
    <w:rsid w:val="000A141F"/>
    <w:rsid w:val="000A17E2"/>
    <w:rsid w:val="000A447D"/>
    <w:rsid w:val="000A482E"/>
    <w:rsid w:val="000A56F2"/>
    <w:rsid w:val="000A71FC"/>
    <w:rsid w:val="000A7628"/>
    <w:rsid w:val="000A7B1A"/>
    <w:rsid w:val="000B3DE8"/>
    <w:rsid w:val="000B521A"/>
    <w:rsid w:val="000B54C3"/>
    <w:rsid w:val="000B7529"/>
    <w:rsid w:val="000C1DBA"/>
    <w:rsid w:val="000C3C10"/>
    <w:rsid w:val="000D090A"/>
    <w:rsid w:val="000D1276"/>
    <w:rsid w:val="000D4D7B"/>
    <w:rsid w:val="000D5293"/>
    <w:rsid w:val="000D64C7"/>
    <w:rsid w:val="000E088B"/>
    <w:rsid w:val="000E2B43"/>
    <w:rsid w:val="000E52C4"/>
    <w:rsid w:val="000E7DBB"/>
    <w:rsid w:val="000F04F9"/>
    <w:rsid w:val="000F342E"/>
    <w:rsid w:val="000F3813"/>
    <w:rsid w:val="000F476E"/>
    <w:rsid w:val="000F70DC"/>
    <w:rsid w:val="000F71D5"/>
    <w:rsid w:val="001031EF"/>
    <w:rsid w:val="00104094"/>
    <w:rsid w:val="00104473"/>
    <w:rsid w:val="001049AD"/>
    <w:rsid w:val="00104F7F"/>
    <w:rsid w:val="00105E30"/>
    <w:rsid w:val="001073DC"/>
    <w:rsid w:val="00111B62"/>
    <w:rsid w:val="00113144"/>
    <w:rsid w:val="0011510A"/>
    <w:rsid w:val="00116332"/>
    <w:rsid w:val="0012155A"/>
    <w:rsid w:val="00130258"/>
    <w:rsid w:val="001416A6"/>
    <w:rsid w:val="00144FCB"/>
    <w:rsid w:val="001459B7"/>
    <w:rsid w:val="00150A58"/>
    <w:rsid w:val="00150C93"/>
    <w:rsid w:val="001520EE"/>
    <w:rsid w:val="001537DF"/>
    <w:rsid w:val="001538B1"/>
    <w:rsid w:val="00153DE0"/>
    <w:rsid w:val="00161B8D"/>
    <w:rsid w:val="00164B2B"/>
    <w:rsid w:val="00167B6D"/>
    <w:rsid w:val="00170366"/>
    <w:rsid w:val="00170F48"/>
    <w:rsid w:val="00174E35"/>
    <w:rsid w:val="0017624C"/>
    <w:rsid w:val="0018441C"/>
    <w:rsid w:val="00190F68"/>
    <w:rsid w:val="00192AF1"/>
    <w:rsid w:val="001947A8"/>
    <w:rsid w:val="001A0ACB"/>
    <w:rsid w:val="001A1E0B"/>
    <w:rsid w:val="001A31DE"/>
    <w:rsid w:val="001A49DC"/>
    <w:rsid w:val="001A6242"/>
    <w:rsid w:val="001A6E4B"/>
    <w:rsid w:val="001B6551"/>
    <w:rsid w:val="001B7C71"/>
    <w:rsid w:val="001C0594"/>
    <w:rsid w:val="001C059A"/>
    <w:rsid w:val="001C0955"/>
    <w:rsid w:val="001C5409"/>
    <w:rsid w:val="001C5CAA"/>
    <w:rsid w:val="001C6FC4"/>
    <w:rsid w:val="001C7B59"/>
    <w:rsid w:val="001C7CB7"/>
    <w:rsid w:val="001D1A9F"/>
    <w:rsid w:val="001D1B7E"/>
    <w:rsid w:val="001D30C8"/>
    <w:rsid w:val="001D382C"/>
    <w:rsid w:val="001D68F7"/>
    <w:rsid w:val="001E088D"/>
    <w:rsid w:val="001E30C8"/>
    <w:rsid w:val="001E3158"/>
    <w:rsid w:val="001E3AB2"/>
    <w:rsid w:val="001E3B5B"/>
    <w:rsid w:val="001E3E1C"/>
    <w:rsid w:val="001E563F"/>
    <w:rsid w:val="001F4A0E"/>
    <w:rsid w:val="001F6ACF"/>
    <w:rsid w:val="00207607"/>
    <w:rsid w:val="002171D9"/>
    <w:rsid w:val="0022578E"/>
    <w:rsid w:val="00227590"/>
    <w:rsid w:val="00230E0E"/>
    <w:rsid w:val="00232A2E"/>
    <w:rsid w:val="0023396D"/>
    <w:rsid w:val="00234D6C"/>
    <w:rsid w:val="002365C1"/>
    <w:rsid w:val="0024109A"/>
    <w:rsid w:val="00246438"/>
    <w:rsid w:val="00246B92"/>
    <w:rsid w:val="00247003"/>
    <w:rsid w:val="00250922"/>
    <w:rsid w:val="00253EE9"/>
    <w:rsid w:val="0025787B"/>
    <w:rsid w:val="00257D22"/>
    <w:rsid w:val="002614EE"/>
    <w:rsid w:val="00261579"/>
    <w:rsid w:val="00262E0F"/>
    <w:rsid w:val="002654DE"/>
    <w:rsid w:val="002658FD"/>
    <w:rsid w:val="00266A8B"/>
    <w:rsid w:val="0026703B"/>
    <w:rsid w:val="00267817"/>
    <w:rsid w:val="00267CB6"/>
    <w:rsid w:val="002709D3"/>
    <w:rsid w:val="00270C54"/>
    <w:rsid w:val="002714C5"/>
    <w:rsid w:val="00286BDE"/>
    <w:rsid w:val="00287584"/>
    <w:rsid w:val="00290185"/>
    <w:rsid w:val="0029410A"/>
    <w:rsid w:val="00294197"/>
    <w:rsid w:val="0029773A"/>
    <w:rsid w:val="00297B65"/>
    <w:rsid w:val="002A09CF"/>
    <w:rsid w:val="002A139A"/>
    <w:rsid w:val="002A2E4B"/>
    <w:rsid w:val="002A44DA"/>
    <w:rsid w:val="002A6E1F"/>
    <w:rsid w:val="002A6FDD"/>
    <w:rsid w:val="002A7E96"/>
    <w:rsid w:val="002B0CFE"/>
    <w:rsid w:val="002B2937"/>
    <w:rsid w:val="002B2BA6"/>
    <w:rsid w:val="002B3208"/>
    <w:rsid w:val="002B6377"/>
    <w:rsid w:val="002B70BC"/>
    <w:rsid w:val="002C04F5"/>
    <w:rsid w:val="002C3105"/>
    <w:rsid w:val="002C321C"/>
    <w:rsid w:val="002C366B"/>
    <w:rsid w:val="002C45B2"/>
    <w:rsid w:val="002C775B"/>
    <w:rsid w:val="002D040A"/>
    <w:rsid w:val="002D1748"/>
    <w:rsid w:val="002D2085"/>
    <w:rsid w:val="002D283C"/>
    <w:rsid w:val="002D3FA8"/>
    <w:rsid w:val="002D727E"/>
    <w:rsid w:val="002E17C6"/>
    <w:rsid w:val="002E1BD1"/>
    <w:rsid w:val="002E4B42"/>
    <w:rsid w:val="002F1558"/>
    <w:rsid w:val="002F1A34"/>
    <w:rsid w:val="002F26BB"/>
    <w:rsid w:val="002F3451"/>
    <w:rsid w:val="002F6945"/>
    <w:rsid w:val="00303AA1"/>
    <w:rsid w:val="00306504"/>
    <w:rsid w:val="003139BB"/>
    <w:rsid w:val="00314640"/>
    <w:rsid w:val="00315F0E"/>
    <w:rsid w:val="00320FA5"/>
    <w:rsid w:val="003236DD"/>
    <w:rsid w:val="0033047A"/>
    <w:rsid w:val="0033297E"/>
    <w:rsid w:val="003407B0"/>
    <w:rsid w:val="003413B3"/>
    <w:rsid w:val="00342133"/>
    <w:rsid w:val="003430A6"/>
    <w:rsid w:val="00344F9B"/>
    <w:rsid w:val="00347498"/>
    <w:rsid w:val="00350374"/>
    <w:rsid w:val="00350972"/>
    <w:rsid w:val="00350F4F"/>
    <w:rsid w:val="00352C87"/>
    <w:rsid w:val="0035426B"/>
    <w:rsid w:val="00357257"/>
    <w:rsid w:val="00364C4C"/>
    <w:rsid w:val="00367862"/>
    <w:rsid w:val="00370ADD"/>
    <w:rsid w:val="003828D8"/>
    <w:rsid w:val="00383092"/>
    <w:rsid w:val="00385F67"/>
    <w:rsid w:val="00386A9A"/>
    <w:rsid w:val="00394AEC"/>
    <w:rsid w:val="00394EEB"/>
    <w:rsid w:val="00395A8C"/>
    <w:rsid w:val="003A1874"/>
    <w:rsid w:val="003A72BF"/>
    <w:rsid w:val="003B2917"/>
    <w:rsid w:val="003B60AF"/>
    <w:rsid w:val="003B7E01"/>
    <w:rsid w:val="003C0E72"/>
    <w:rsid w:val="003C475D"/>
    <w:rsid w:val="003C552B"/>
    <w:rsid w:val="003C6EF0"/>
    <w:rsid w:val="003C79AB"/>
    <w:rsid w:val="003D2A29"/>
    <w:rsid w:val="003D4CC5"/>
    <w:rsid w:val="003D592C"/>
    <w:rsid w:val="003E4266"/>
    <w:rsid w:val="003E6438"/>
    <w:rsid w:val="003F2036"/>
    <w:rsid w:val="003F3197"/>
    <w:rsid w:val="003F43E7"/>
    <w:rsid w:val="003F478E"/>
    <w:rsid w:val="00403663"/>
    <w:rsid w:val="0040419F"/>
    <w:rsid w:val="004056F6"/>
    <w:rsid w:val="00412452"/>
    <w:rsid w:val="00414ADD"/>
    <w:rsid w:val="00415FF5"/>
    <w:rsid w:val="00416E12"/>
    <w:rsid w:val="00417E03"/>
    <w:rsid w:val="00422651"/>
    <w:rsid w:val="0042295C"/>
    <w:rsid w:val="00422A92"/>
    <w:rsid w:val="00423123"/>
    <w:rsid w:val="004245A7"/>
    <w:rsid w:val="00425DAD"/>
    <w:rsid w:val="00433EAA"/>
    <w:rsid w:val="004353D9"/>
    <w:rsid w:val="00435B32"/>
    <w:rsid w:val="00436461"/>
    <w:rsid w:val="00436E1D"/>
    <w:rsid w:val="00440ED0"/>
    <w:rsid w:val="00445210"/>
    <w:rsid w:val="00445DF8"/>
    <w:rsid w:val="00446FA9"/>
    <w:rsid w:val="00453965"/>
    <w:rsid w:val="00455F6F"/>
    <w:rsid w:val="00456082"/>
    <w:rsid w:val="00457658"/>
    <w:rsid w:val="00457ED9"/>
    <w:rsid w:val="004612DA"/>
    <w:rsid w:val="004634EE"/>
    <w:rsid w:val="0046414B"/>
    <w:rsid w:val="00465D58"/>
    <w:rsid w:val="00465DBD"/>
    <w:rsid w:val="0046787E"/>
    <w:rsid w:val="00467EDF"/>
    <w:rsid w:val="00470546"/>
    <w:rsid w:val="00473786"/>
    <w:rsid w:val="004754FB"/>
    <w:rsid w:val="00475F8E"/>
    <w:rsid w:val="00477320"/>
    <w:rsid w:val="00481DAD"/>
    <w:rsid w:val="0048692F"/>
    <w:rsid w:val="00490657"/>
    <w:rsid w:val="00494636"/>
    <w:rsid w:val="00495790"/>
    <w:rsid w:val="00496937"/>
    <w:rsid w:val="004A1579"/>
    <w:rsid w:val="004A30BB"/>
    <w:rsid w:val="004A4506"/>
    <w:rsid w:val="004A59DA"/>
    <w:rsid w:val="004A5E9E"/>
    <w:rsid w:val="004A727A"/>
    <w:rsid w:val="004B018B"/>
    <w:rsid w:val="004B18C3"/>
    <w:rsid w:val="004B522C"/>
    <w:rsid w:val="004B72FD"/>
    <w:rsid w:val="004B7CA4"/>
    <w:rsid w:val="004C0779"/>
    <w:rsid w:val="004C34CE"/>
    <w:rsid w:val="004C5681"/>
    <w:rsid w:val="004D547E"/>
    <w:rsid w:val="004E0C40"/>
    <w:rsid w:val="004E23D3"/>
    <w:rsid w:val="004E3311"/>
    <w:rsid w:val="004E4EA6"/>
    <w:rsid w:val="004F0B77"/>
    <w:rsid w:val="004F3FD5"/>
    <w:rsid w:val="004F44D5"/>
    <w:rsid w:val="004F68F0"/>
    <w:rsid w:val="004F6936"/>
    <w:rsid w:val="004F72AF"/>
    <w:rsid w:val="00500A94"/>
    <w:rsid w:val="005047E7"/>
    <w:rsid w:val="00510209"/>
    <w:rsid w:val="005131B5"/>
    <w:rsid w:val="00514614"/>
    <w:rsid w:val="005155CB"/>
    <w:rsid w:val="0051616F"/>
    <w:rsid w:val="005169C2"/>
    <w:rsid w:val="00521D52"/>
    <w:rsid w:val="0053252E"/>
    <w:rsid w:val="00537C14"/>
    <w:rsid w:val="00542914"/>
    <w:rsid w:val="0055039E"/>
    <w:rsid w:val="00550B5C"/>
    <w:rsid w:val="005515DD"/>
    <w:rsid w:val="00553656"/>
    <w:rsid w:val="005564DD"/>
    <w:rsid w:val="0056092D"/>
    <w:rsid w:val="00560CEB"/>
    <w:rsid w:val="0056238B"/>
    <w:rsid w:val="0057347F"/>
    <w:rsid w:val="00573C24"/>
    <w:rsid w:val="00575D74"/>
    <w:rsid w:val="00577996"/>
    <w:rsid w:val="00582438"/>
    <w:rsid w:val="00582636"/>
    <w:rsid w:val="0058309B"/>
    <w:rsid w:val="00584926"/>
    <w:rsid w:val="005849B6"/>
    <w:rsid w:val="005928DA"/>
    <w:rsid w:val="005951C2"/>
    <w:rsid w:val="00597750"/>
    <w:rsid w:val="00597F54"/>
    <w:rsid w:val="005A0081"/>
    <w:rsid w:val="005A1D9A"/>
    <w:rsid w:val="005A29C0"/>
    <w:rsid w:val="005A5AE2"/>
    <w:rsid w:val="005B15B7"/>
    <w:rsid w:val="005B5556"/>
    <w:rsid w:val="005B5FCD"/>
    <w:rsid w:val="005B64BA"/>
    <w:rsid w:val="005B6604"/>
    <w:rsid w:val="005B6D58"/>
    <w:rsid w:val="005B73D5"/>
    <w:rsid w:val="005C3E93"/>
    <w:rsid w:val="005C4A96"/>
    <w:rsid w:val="005C5637"/>
    <w:rsid w:val="005D2489"/>
    <w:rsid w:val="005D378E"/>
    <w:rsid w:val="005D5B52"/>
    <w:rsid w:val="005D5C22"/>
    <w:rsid w:val="005E069C"/>
    <w:rsid w:val="005E1AFD"/>
    <w:rsid w:val="005E3A6E"/>
    <w:rsid w:val="005E4203"/>
    <w:rsid w:val="005E4634"/>
    <w:rsid w:val="005E4D2E"/>
    <w:rsid w:val="005E63BA"/>
    <w:rsid w:val="005E6A82"/>
    <w:rsid w:val="005F12F5"/>
    <w:rsid w:val="005F1A5F"/>
    <w:rsid w:val="005F1BBD"/>
    <w:rsid w:val="005F2167"/>
    <w:rsid w:val="005F3543"/>
    <w:rsid w:val="005F384A"/>
    <w:rsid w:val="005F4E7E"/>
    <w:rsid w:val="00600CB5"/>
    <w:rsid w:val="00604297"/>
    <w:rsid w:val="006050F7"/>
    <w:rsid w:val="00606FCC"/>
    <w:rsid w:val="00611F3F"/>
    <w:rsid w:val="00615A56"/>
    <w:rsid w:val="00616436"/>
    <w:rsid w:val="006217DE"/>
    <w:rsid w:val="006222DA"/>
    <w:rsid w:val="0062633D"/>
    <w:rsid w:val="00631004"/>
    <w:rsid w:val="006312B9"/>
    <w:rsid w:val="006341A8"/>
    <w:rsid w:val="00634692"/>
    <w:rsid w:val="006368BB"/>
    <w:rsid w:val="006410C0"/>
    <w:rsid w:val="0064361F"/>
    <w:rsid w:val="00650440"/>
    <w:rsid w:val="006519CC"/>
    <w:rsid w:val="00651BFA"/>
    <w:rsid w:val="00651ECF"/>
    <w:rsid w:val="00655421"/>
    <w:rsid w:val="00660EFD"/>
    <w:rsid w:val="006631B3"/>
    <w:rsid w:val="00664AA5"/>
    <w:rsid w:val="00664D3D"/>
    <w:rsid w:val="006676E9"/>
    <w:rsid w:val="00667850"/>
    <w:rsid w:val="00673B2D"/>
    <w:rsid w:val="00674C2B"/>
    <w:rsid w:val="00674F0B"/>
    <w:rsid w:val="00677485"/>
    <w:rsid w:val="00677F8A"/>
    <w:rsid w:val="00680B5A"/>
    <w:rsid w:val="006812BE"/>
    <w:rsid w:val="00684027"/>
    <w:rsid w:val="0068796B"/>
    <w:rsid w:val="006900EC"/>
    <w:rsid w:val="006908E6"/>
    <w:rsid w:val="00693EBF"/>
    <w:rsid w:val="00694395"/>
    <w:rsid w:val="00695923"/>
    <w:rsid w:val="00696BCA"/>
    <w:rsid w:val="00696DA9"/>
    <w:rsid w:val="006A27F6"/>
    <w:rsid w:val="006A5B59"/>
    <w:rsid w:val="006B1008"/>
    <w:rsid w:val="006B1E07"/>
    <w:rsid w:val="006B2EB8"/>
    <w:rsid w:val="006C0DA4"/>
    <w:rsid w:val="006C142C"/>
    <w:rsid w:val="006C286C"/>
    <w:rsid w:val="006C467B"/>
    <w:rsid w:val="006C70AC"/>
    <w:rsid w:val="006C715E"/>
    <w:rsid w:val="006C764A"/>
    <w:rsid w:val="006D26FE"/>
    <w:rsid w:val="006D37D1"/>
    <w:rsid w:val="006D5F91"/>
    <w:rsid w:val="006D6D03"/>
    <w:rsid w:val="006D7DF2"/>
    <w:rsid w:val="006E0791"/>
    <w:rsid w:val="006E158C"/>
    <w:rsid w:val="006E1BCF"/>
    <w:rsid w:val="006E3A83"/>
    <w:rsid w:val="006E7097"/>
    <w:rsid w:val="006E7098"/>
    <w:rsid w:val="006F044A"/>
    <w:rsid w:val="006F3D89"/>
    <w:rsid w:val="006F42DF"/>
    <w:rsid w:val="006F4560"/>
    <w:rsid w:val="006F7393"/>
    <w:rsid w:val="006F76F4"/>
    <w:rsid w:val="007000AC"/>
    <w:rsid w:val="00702065"/>
    <w:rsid w:val="007022FE"/>
    <w:rsid w:val="00702C49"/>
    <w:rsid w:val="00703158"/>
    <w:rsid w:val="0070318E"/>
    <w:rsid w:val="007070DF"/>
    <w:rsid w:val="00707E2B"/>
    <w:rsid w:val="00714D4F"/>
    <w:rsid w:val="0071610A"/>
    <w:rsid w:val="007169F6"/>
    <w:rsid w:val="00731682"/>
    <w:rsid w:val="00731A54"/>
    <w:rsid w:val="0073218D"/>
    <w:rsid w:val="0073485F"/>
    <w:rsid w:val="0074012A"/>
    <w:rsid w:val="0074157E"/>
    <w:rsid w:val="0074440E"/>
    <w:rsid w:val="00746228"/>
    <w:rsid w:val="007513C0"/>
    <w:rsid w:val="00752FBD"/>
    <w:rsid w:val="007532C6"/>
    <w:rsid w:val="0075400F"/>
    <w:rsid w:val="00755C48"/>
    <w:rsid w:val="00757067"/>
    <w:rsid w:val="00757AB1"/>
    <w:rsid w:val="007624E4"/>
    <w:rsid w:val="00764550"/>
    <w:rsid w:val="007648E7"/>
    <w:rsid w:val="007657EF"/>
    <w:rsid w:val="007665E4"/>
    <w:rsid w:val="0077710A"/>
    <w:rsid w:val="0078026C"/>
    <w:rsid w:val="00781661"/>
    <w:rsid w:val="007872B8"/>
    <w:rsid w:val="007876D7"/>
    <w:rsid w:val="007912D7"/>
    <w:rsid w:val="00791F02"/>
    <w:rsid w:val="00792568"/>
    <w:rsid w:val="007930EA"/>
    <w:rsid w:val="0079415E"/>
    <w:rsid w:val="00794BD7"/>
    <w:rsid w:val="00796A56"/>
    <w:rsid w:val="007A6F3E"/>
    <w:rsid w:val="007B7D2D"/>
    <w:rsid w:val="007C09C8"/>
    <w:rsid w:val="007C0E64"/>
    <w:rsid w:val="007C2875"/>
    <w:rsid w:val="007C3490"/>
    <w:rsid w:val="007C4770"/>
    <w:rsid w:val="007C7ADF"/>
    <w:rsid w:val="007D002B"/>
    <w:rsid w:val="007D1C92"/>
    <w:rsid w:val="007D36CB"/>
    <w:rsid w:val="007D586E"/>
    <w:rsid w:val="007D7381"/>
    <w:rsid w:val="007D7A14"/>
    <w:rsid w:val="007E0E22"/>
    <w:rsid w:val="007E3E8A"/>
    <w:rsid w:val="007E4F82"/>
    <w:rsid w:val="007E57D8"/>
    <w:rsid w:val="007E68C4"/>
    <w:rsid w:val="007E7B1D"/>
    <w:rsid w:val="007F104C"/>
    <w:rsid w:val="007F130F"/>
    <w:rsid w:val="007F4271"/>
    <w:rsid w:val="007F469A"/>
    <w:rsid w:val="007F47EA"/>
    <w:rsid w:val="007F4D25"/>
    <w:rsid w:val="007F5ADD"/>
    <w:rsid w:val="007F6452"/>
    <w:rsid w:val="007F7867"/>
    <w:rsid w:val="00801DB6"/>
    <w:rsid w:val="008058A0"/>
    <w:rsid w:val="008069BF"/>
    <w:rsid w:val="00806A74"/>
    <w:rsid w:val="0080749F"/>
    <w:rsid w:val="0080769D"/>
    <w:rsid w:val="0081171F"/>
    <w:rsid w:val="00813873"/>
    <w:rsid w:val="00820873"/>
    <w:rsid w:val="00822CFD"/>
    <w:rsid w:val="00822DF5"/>
    <w:rsid w:val="0082622B"/>
    <w:rsid w:val="008265FB"/>
    <w:rsid w:val="008271F9"/>
    <w:rsid w:val="00833E93"/>
    <w:rsid w:val="008355B6"/>
    <w:rsid w:val="00836836"/>
    <w:rsid w:val="00836DA3"/>
    <w:rsid w:val="00840BC7"/>
    <w:rsid w:val="00840C24"/>
    <w:rsid w:val="008425A7"/>
    <w:rsid w:val="00842A3F"/>
    <w:rsid w:val="00842D5E"/>
    <w:rsid w:val="0084355C"/>
    <w:rsid w:val="00843D19"/>
    <w:rsid w:val="0085019D"/>
    <w:rsid w:val="00854EB8"/>
    <w:rsid w:val="00856457"/>
    <w:rsid w:val="00860AFD"/>
    <w:rsid w:val="00862309"/>
    <w:rsid w:val="00863215"/>
    <w:rsid w:val="00867114"/>
    <w:rsid w:val="008703F1"/>
    <w:rsid w:val="008704DB"/>
    <w:rsid w:val="0087072D"/>
    <w:rsid w:val="00872391"/>
    <w:rsid w:val="008733EE"/>
    <w:rsid w:val="008736C6"/>
    <w:rsid w:val="00881143"/>
    <w:rsid w:val="00882ACD"/>
    <w:rsid w:val="008832B6"/>
    <w:rsid w:val="00884BBB"/>
    <w:rsid w:val="00884FCA"/>
    <w:rsid w:val="008858A8"/>
    <w:rsid w:val="008860F9"/>
    <w:rsid w:val="0088751B"/>
    <w:rsid w:val="00890BFF"/>
    <w:rsid w:val="00891992"/>
    <w:rsid w:val="00891D33"/>
    <w:rsid w:val="00892BA6"/>
    <w:rsid w:val="008950A5"/>
    <w:rsid w:val="008959E7"/>
    <w:rsid w:val="008963DE"/>
    <w:rsid w:val="008B1CCE"/>
    <w:rsid w:val="008B566C"/>
    <w:rsid w:val="008B6FEA"/>
    <w:rsid w:val="008B73BA"/>
    <w:rsid w:val="008C1D5D"/>
    <w:rsid w:val="008C5B04"/>
    <w:rsid w:val="008D0ACC"/>
    <w:rsid w:val="008D3905"/>
    <w:rsid w:val="008D4030"/>
    <w:rsid w:val="008D4B74"/>
    <w:rsid w:val="008D4CFD"/>
    <w:rsid w:val="008D56CD"/>
    <w:rsid w:val="008D5A96"/>
    <w:rsid w:val="008E2081"/>
    <w:rsid w:val="008E6DD7"/>
    <w:rsid w:val="008F0730"/>
    <w:rsid w:val="008F3CEB"/>
    <w:rsid w:val="008F556A"/>
    <w:rsid w:val="008F55E4"/>
    <w:rsid w:val="008F607A"/>
    <w:rsid w:val="008F659D"/>
    <w:rsid w:val="008F6A5A"/>
    <w:rsid w:val="008F6AF1"/>
    <w:rsid w:val="008F6EDD"/>
    <w:rsid w:val="008F7C79"/>
    <w:rsid w:val="009017EC"/>
    <w:rsid w:val="009042B2"/>
    <w:rsid w:val="00904A40"/>
    <w:rsid w:val="00907B5C"/>
    <w:rsid w:val="00915779"/>
    <w:rsid w:val="00920CB6"/>
    <w:rsid w:val="00927690"/>
    <w:rsid w:val="00930A7D"/>
    <w:rsid w:val="00932FA4"/>
    <w:rsid w:val="009344D4"/>
    <w:rsid w:val="00934E42"/>
    <w:rsid w:val="0093728F"/>
    <w:rsid w:val="009402C8"/>
    <w:rsid w:val="00942011"/>
    <w:rsid w:val="009443E5"/>
    <w:rsid w:val="0094446E"/>
    <w:rsid w:val="00945266"/>
    <w:rsid w:val="00945D4A"/>
    <w:rsid w:val="00946CF8"/>
    <w:rsid w:val="00947E94"/>
    <w:rsid w:val="00955749"/>
    <w:rsid w:val="0095744A"/>
    <w:rsid w:val="009644FA"/>
    <w:rsid w:val="00970529"/>
    <w:rsid w:val="009747DB"/>
    <w:rsid w:val="0097562F"/>
    <w:rsid w:val="00982B91"/>
    <w:rsid w:val="009841BD"/>
    <w:rsid w:val="00984460"/>
    <w:rsid w:val="009871A2"/>
    <w:rsid w:val="00996B8B"/>
    <w:rsid w:val="00997BE5"/>
    <w:rsid w:val="00997D1C"/>
    <w:rsid w:val="009A0172"/>
    <w:rsid w:val="009A0450"/>
    <w:rsid w:val="009A09B3"/>
    <w:rsid w:val="009A40F7"/>
    <w:rsid w:val="009A464E"/>
    <w:rsid w:val="009A67EF"/>
    <w:rsid w:val="009B0C46"/>
    <w:rsid w:val="009B1298"/>
    <w:rsid w:val="009B5202"/>
    <w:rsid w:val="009B5C7E"/>
    <w:rsid w:val="009C298F"/>
    <w:rsid w:val="009C3BBE"/>
    <w:rsid w:val="009C471F"/>
    <w:rsid w:val="009C47CF"/>
    <w:rsid w:val="009C5FE6"/>
    <w:rsid w:val="009C72D3"/>
    <w:rsid w:val="009D3C93"/>
    <w:rsid w:val="009D3CA3"/>
    <w:rsid w:val="009D59F9"/>
    <w:rsid w:val="009D6DB6"/>
    <w:rsid w:val="009D7153"/>
    <w:rsid w:val="009E072C"/>
    <w:rsid w:val="009E0F50"/>
    <w:rsid w:val="009E3C63"/>
    <w:rsid w:val="009E5BDE"/>
    <w:rsid w:val="009E7ACE"/>
    <w:rsid w:val="009F2F42"/>
    <w:rsid w:val="009F5979"/>
    <w:rsid w:val="00A01C10"/>
    <w:rsid w:val="00A02217"/>
    <w:rsid w:val="00A026C8"/>
    <w:rsid w:val="00A033D2"/>
    <w:rsid w:val="00A05810"/>
    <w:rsid w:val="00A1183E"/>
    <w:rsid w:val="00A128A3"/>
    <w:rsid w:val="00A129B5"/>
    <w:rsid w:val="00A15CC6"/>
    <w:rsid w:val="00A15F8A"/>
    <w:rsid w:val="00A2248E"/>
    <w:rsid w:val="00A22E81"/>
    <w:rsid w:val="00A26552"/>
    <w:rsid w:val="00A27E4C"/>
    <w:rsid w:val="00A3206D"/>
    <w:rsid w:val="00A329B2"/>
    <w:rsid w:val="00A354C0"/>
    <w:rsid w:val="00A42A10"/>
    <w:rsid w:val="00A42BF6"/>
    <w:rsid w:val="00A42D03"/>
    <w:rsid w:val="00A431ED"/>
    <w:rsid w:val="00A45463"/>
    <w:rsid w:val="00A52B5B"/>
    <w:rsid w:val="00A54389"/>
    <w:rsid w:val="00A56DBA"/>
    <w:rsid w:val="00A608A3"/>
    <w:rsid w:val="00A65020"/>
    <w:rsid w:val="00A65523"/>
    <w:rsid w:val="00A6596B"/>
    <w:rsid w:val="00A66D37"/>
    <w:rsid w:val="00A70C64"/>
    <w:rsid w:val="00A7370F"/>
    <w:rsid w:val="00A746DD"/>
    <w:rsid w:val="00A81AE4"/>
    <w:rsid w:val="00A86B79"/>
    <w:rsid w:val="00A9600A"/>
    <w:rsid w:val="00A96236"/>
    <w:rsid w:val="00AA14AA"/>
    <w:rsid w:val="00AA2B81"/>
    <w:rsid w:val="00AA329C"/>
    <w:rsid w:val="00AA6057"/>
    <w:rsid w:val="00AB08CE"/>
    <w:rsid w:val="00AB2EA1"/>
    <w:rsid w:val="00AB3424"/>
    <w:rsid w:val="00AB3CBB"/>
    <w:rsid w:val="00AB40D7"/>
    <w:rsid w:val="00AB5F80"/>
    <w:rsid w:val="00AC307C"/>
    <w:rsid w:val="00AC4B47"/>
    <w:rsid w:val="00AD008C"/>
    <w:rsid w:val="00AD0FB2"/>
    <w:rsid w:val="00AD262D"/>
    <w:rsid w:val="00AD296D"/>
    <w:rsid w:val="00AD2DF7"/>
    <w:rsid w:val="00AD380B"/>
    <w:rsid w:val="00AD60C2"/>
    <w:rsid w:val="00AD6E83"/>
    <w:rsid w:val="00AE1EF0"/>
    <w:rsid w:val="00AE33B2"/>
    <w:rsid w:val="00AF3F64"/>
    <w:rsid w:val="00AF62BA"/>
    <w:rsid w:val="00AF6B57"/>
    <w:rsid w:val="00AF797B"/>
    <w:rsid w:val="00B0157D"/>
    <w:rsid w:val="00B01907"/>
    <w:rsid w:val="00B01E6B"/>
    <w:rsid w:val="00B04215"/>
    <w:rsid w:val="00B0685C"/>
    <w:rsid w:val="00B11B8F"/>
    <w:rsid w:val="00B12A99"/>
    <w:rsid w:val="00B21DFC"/>
    <w:rsid w:val="00B24AE0"/>
    <w:rsid w:val="00B24E67"/>
    <w:rsid w:val="00B30310"/>
    <w:rsid w:val="00B3054A"/>
    <w:rsid w:val="00B33AC4"/>
    <w:rsid w:val="00B36270"/>
    <w:rsid w:val="00B3732B"/>
    <w:rsid w:val="00B415CE"/>
    <w:rsid w:val="00B437D6"/>
    <w:rsid w:val="00B44D1B"/>
    <w:rsid w:val="00B50ADD"/>
    <w:rsid w:val="00B513EB"/>
    <w:rsid w:val="00B5189C"/>
    <w:rsid w:val="00B54849"/>
    <w:rsid w:val="00B55002"/>
    <w:rsid w:val="00B5542E"/>
    <w:rsid w:val="00B5559C"/>
    <w:rsid w:val="00B56D36"/>
    <w:rsid w:val="00B605C1"/>
    <w:rsid w:val="00B609F7"/>
    <w:rsid w:val="00B65E0E"/>
    <w:rsid w:val="00B77EB1"/>
    <w:rsid w:val="00B836DE"/>
    <w:rsid w:val="00B85373"/>
    <w:rsid w:val="00B85B92"/>
    <w:rsid w:val="00B8635F"/>
    <w:rsid w:val="00B865CF"/>
    <w:rsid w:val="00B90D83"/>
    <w:rsid w:val="00B93239"/>
    <w:rsid w:val="00B9360C"/>
    <w:rsid w:val="00BA0EE5"/>
    <w:rsid w:val="00BA1526"/>
    <w:rsid w:val="00BA28E9"/>
    <w:rsid w:val="00BA588A"/>
    <w:rsid w:val="00BA5AB6"/>
    <w:rsid w:val="00BA61CA"/>
    <w:rsid w:val="00BA7165"/>
    <w:rsid w:val="00BA725E"/>
    <w:rsid w:val="00BA79E1"/>
    <w:rsid w:val="00BC188C"/>
    <w:rsid w:val="00BC337A"/>
    <w:rsid w:val="00BC48D2"/>
    <w:rsid w:val="00BC524A"/>
    <w:rsid w:val="00BC56B4"/>
    <w:rsid w:val="00BD27CC"/>
    <w:rsid w:val="00BD2F34"/>
    <w:rsid w:val="00BD419C"/>
    <w:rsid w:val="00BD4347"/>
    <w:rsid w:val="00BD4971"/>
    <w:rsid w:val="00BD4BF6"/>
    <w:rsid w:val="00BD6B34"/>
    <w:rsid w:val="00BD7A57"/>
    <w:rsid w:val="00BE1E88"/>
    <w:rsid w:val="00BE7829"/>
    <w:rsid w:val="00BF37D2"/>
    <w:rsid w:val="00BF4079"/>
    <w:rsid w:val="00BF4DF8"/>
    <w:rsid w:val="00BF615E"/>
    <w:rsid w:val="00C02EBD"/>
    <w:rsid w:val="00C037CD"/>
    <w:rsid w:val="00C05141"/>
    <w:rsid w:val="00C07DE0"/>
    <w:rsid w:val="00C157F5"/>
    <w:rsid w:val="00C201C7"/>
    <w:rsid w:val="00C20A00"/>
    <w:rsid w:val="00C20C1E"/>
    <w:rsid w:val="00C20EFD"/>
    <w:rsid w:val="00C228D0"/>
    <w:rsid w:val="00C23287"/>
    <w:rsid w:val="00C25874"/>
    <w:rsid w:val="00C26C54"/>
    <w:rsid w:val="00C274D1"/>
    <w:rsid w:val="00C30F72"/>
    <w:rsid w:val="00C34481"/>
    <w:rsid w:val="00C37FF0"/>
    <w:rsid w:val="00C42898"/>
    <w:rsid w:val="00C433E7"/>
    <w:rsid w:val="00C436C6"/>
    <w:rsid w:val="00C43BB8"/>
    <w:rsid w:val="00C43CF9"/>
    <w:rsid w:val="00C45166"/>
    <w:rsid w:val="00C478BD"/>
    <w:rsid w:val="00C5013F"/>
    <w:rsid w:val="00C530A1"/>
    <w:rsid w:val="00C577AB"/>
    <w:rsid w:val="00C60C97"/>
    <w:rsid w:val="00C63796"/>
    <w:rsid w:val="00C67208"/>
    <w:rsid w:val="00C67A14"/>
    <w:rsid w:val="00C67FBF"/>
    <w:rsid w:val="00C70945"/>
    <w:rsid w:val="00C71255"/>
    <w:rsid w:val="00C73B43"/>
    <w:rsid w:val="00C73CBA"/>
    <w:rsid w:val="00C75EE0"/>
    <w:rsid w:val="00C76D5C"/>
    <w:rsid w:val="00C77FA4"/>
    <w:rsid w:val="00C82657"/>
    <w:rsid w:val="00C85363"/>
    <w:rsid w:val="00C922AC"/>
    <w:rsid w:val="00C94C1E"/>
    <w:rsid w:val="00C96BFC"/>
    <w:rsid w:val="00C97C0A"/>
    <w:rsid w:val="00CA39F5"/>
    <w:rsid w:val="00CA3ADF"/>
    <w:rsid w:val="00CA61C7"/>
    <w:rsid w:val="00CA7ED6"/>
    <w:rsid w:val="00CB316A"/>
    <w:rsid w:val="00CB3AC5"/>
    <w:rsid w:val="00CB4564"/>
    <w:rsid w:val="00CB50B2"/>
    <w:rsid w:val="00CC314C"/>
    <w:rsid w:val="00CC3879"/>
    <w:rsid w:val="00CC415F"/>
    <w:rsid w:val="00CC474B"/>
    <w:rsid w:val="00CC5FDC"/>
    <w:rsid w:val="00CC71CC"/>
    <w:rsid w:val="00CD14F4"/>
    <w:rsid w:val="00CD2BA0"/>
    <w:rsid w:val="00CD6204"/>
    <w:rsid w:val="00CD72B3"/>
    <w:rsid w:val="00CE229C"/>
    <w:rsid w:val="00CE647C"/>
    <w:rsid w:val="00CE653F"/>
    <w:rsid w:val="00CE7050"/>
    <w:rsid w:val="00CE7BF7"/>
    <w:rsid w:val="00CF042E"/>
    <w:rsid w:val="00CF0AB7"/>
    <w:rsid w:val="00CF26D9"/>
    <w:rsid w:val="00CF2887"/>
    <w:rsid w:val="00CF2A9C"/>
    <w:rsid w:val="00CF6671"/>
    <w:rsid w:val="00CF7E81"/>
    <w:rsid w:val="00D00E4D"/>
    <w:rsid w:val="00D019B1"/>
    <w:rsid w:val="00D056CA"/>
    <w:rsid w:val="00D10760"/>
    <w:rsid w:val="00D1106E"/>
    <w:rsid w:val="00D11561"/>
    <w:rsid w:val="00D11932"/>
    <w:rsid w:val="00D13CF3"/>
    <w:rsid w:val="00D1408A"/>
    <w:rsid w:val="00D1533C"/>
    <w:rsid w:val="00D15579"/>
    <w:rsid w:val="00D15C35"/>
    <w:rsid w:val="00D160BC"/>
    <w:rsid w:val="00D227F5"/>
    <w:rsid w:val="00D23D09"/>
    <w:rsid w:val="00D25595"/>
    <w:rsid w:val="00D307BE"/>
    <w:rsid w:val="00D33831"/>
    <w:rsid w:val="00D365C9"/>
    <w:rsid w:val="00D41129"/>
    <w:rsid w:val="00D42EF9"/>
    <w:rsid w:val="00D43675"/>
    <w:rsid w:val="00D43CD9"/>
    <w:rsid w:val="00D43EBA"/>
    <w:rsid w:val="00D462EC"/>
    <w:rsid w:val="00D47BBB"/>
    <w:rsid w:val="00D50554"/>
    <w:rsid w:val="00D625CD"/>
    <w:rsid w:val="00D6680F"/>
    <w:rsid w:val="00D731BD"/>
    <w:rsid w:val="00D77813"/>
    <w:rsid w:val="00D809DD"/>
    <w:rsid w:val="00D80FED"/>
    <w:rsid w:val="00D8224B"/>
    <w:rsid w:val="00D83E81"/>
    <w:rsid w:val="00D84806"/>
    <w:rsid w:val="00D84B36"/>
    <w:rsid w:val="00D85867"/>
    <w:rsid w:val="00D8677C"/>
    <w:rsid w:val="00D90037"/>
    <w:rsid w:val="00D9017C"/>
    <w:rsid w:val="00D905AA"/>
    <w:rsid w:val="00D938D1"/>
    <w:rsid w:val="00D97F47"/>
    <w:rsid w:val="00DA043E"/>
    <w:rsid w:val="00DA05E2"/>
    <w:rsid w:val="00DA0675"/>
    <w:rsid w:val="00DA0B1F"/>
    <w:rsid w:val="00DB28CA"/>
    <w:rsid w:val="00DB3187"/>
    <w:rsid w:val="00DB360C"/>
    <w:rsid w:val="00DB4144"/>
    <w:rsid w:val="00DC0A43"/>
    <w:rsid w:val="00DC10D2"/>
    <w:rsid w:val="00DC151D"/>
    <w:rsid w:val="00DC6C1A"/>
    <w:rsid w:val="00DD438A"/>
    <w:rsid w:val="00DD798D"/>
    <w:rsid w:val="00DE1B11"/>
    <w:rsid w:val="00DE713C"/>
    <w:rsid w:val="00DE7405"/>
    <w:rsid w:val="00DE780D"/>
    <w:rsid w:val="00DF0163"/>
    <w:rsid w:val="00DF206A"/>
    <w:rsid w:val="00DF52C5"/>
    <w:rsid w:val="00DF5D61"/>
    <w:rsid w:val="00DF7E3D"/>
    <w:rsid w:val="00E00F83"/>
    <w:rsid w:val="00E03043"/>
    <w:rsid w:val="00E06EA3"/>
    <w:rsid w:val="00E0764B"/>
    <w:rsid w:val="00E07D74"/>
    <w:rsid w:val="00E13CA9"/>
    <w:rsid w:val="00E1474D"/>
    <w:rsid w:val="00E17670"/>
    <w:rsid w:val="00E21428"/>
    <w:rsid w:val="00E255C7"/>
    <w:rsid w:val="00E27782"/>
    <w:rsid w:val="00E27A31"/>
    <w:rsid w:val="00E27A9E"/>
    <w:rsid w:val="00E31F7C"/>
    <w:rsid w:val="00E33903"/>
    <w:rsid w:val="00E34EDC"/>
    <w:rsid w:val="00E40813"/>
    <w:rsid w:val="00E41D5A"/>
    <w:rsid w:val="00E437F5"/>
    <w:rsid w:val="00E44BA2"/>
    <w:rsid w:val="00E462CE"/>
    <w:rsid w:val="00E47B51"/>
    <w:rsid w:val="00E507F0"/>
    <w:rsid w:val="00E518B9"/>
    <w:rsid w:val="00E51F82"/>
    <w:rsid w:val="00E52099"/>
    <w:rsid w:val="00E525BD"/>
    <w:rsid w:val="00E5382B"/>
    <w:rsid w:val="00E54313"/>
    <w:rsid w:val="00E543B3"/>
    <w:rsid w:val="00E57BF4"/>
    <w:rsid w:val="00E608CA"/>
    <w:rsid w:val="00E60CCB"/>
    <w:rsid w:val="00E64626"/>
    <w:rsid w:val="00E65CC8"/>
    <w:rsid w:val="00E65E50"/>
    <w:rsid w:val="00E710B5"/>
    <w:rsid w:val="00E7122D"/>
    <w:rsid w:val="00E75449"/>
    <w:rsid w:val="00E858B1"/>
    <w:rsid w:val="00E87780"/>
    <w:rsid w:val="00E87845"/>
    <w:rsid w:val="00E95FC5"/>
    <w:rsid w:val="00E96264"/>
    <w:rsid w:val="00E970E4"/>
    <w:rsid w:val="00EA32C1"/>
    <w:rsid w:val="00EA5A40"/>
    <w:rsid w:val="00EA5F61"/>
    <w:rsid w:val="00EB30A6"/>
    <w:rsid w:val="00EB380E"/>
    <w:rsid w:val="00EB40E9"/>
    <w:rsid w:val="00EB46B1"/>
    <w:rsid w:val="00EC1632"/>
    <w:rsid w:val="00EC5B3C"/>
    <w:rsid w:val="00EC6F95"/>
    <w:rsid w:val="00ED2572"/>
    <w:rsid w:val="00ED2B6B"/>
    <w:rsid w:val="00ED48F6"/>
    <w:rsid w:val="00ED57BC"/>
    <w:rsid w:val="00ED69F9"/>
    <w:rsid w:val="00EE1B29"/>
    <w:rsid w:val="00EE1E2A"/>
    <w:rsid w:val="00EE3DD8"/>
    <w:rsid w:val="00EE666C"/>
    <w:rsid w:val="00EE686B"/>
    <w:rsid w:val="00EE6E16"/>
    <w:rsid w:val="00EE717C"/>
    <w:rsid w:val="00EE7C88"/>
    <w:rsid w:val="00EF08EF"/>
    <w:rsid w:val="00EF12CC"/>
    <w:rsid w:val="00EF288D"/>
    <w:rsid w:val="00EF44D9"/>
    <w:rsid w:val="00EF4F27"/>
    <w:rsid w:val="00F01C7B"/>
    <w:rsid w:val="00F03812"/>
    <w:rsid w:val="00F06F7F"/>
    <w:rsid w:val="00F10C90"/>
    <w:rsid w:val="00F11E36"/>
    <w:rsid w:val="00F124E4"/>
    <w:rsid w:val="00F14223"/>
    <w:rsid w:val="00F17FBD"/>
    <w:rsid w:val="00F2136A"/>
    <w:rsid w:val="00F21AD4"/>
    <w:rsid w:val="00F22485"/>
    <w:rsid w:val="00F248A9"/>
    <w:rsid w:val="00F24EF0"/>
    <w:rsid w:val="00F27BCD"/>
    <w:rsid w:val="00F3062E"/>
    <w:rsid w:val="00F32DDE"/>
    <w:rsid w:val="00F45384"/>
    <w:rsid w:val="00F45E1F"/>
    <w:rsid w:val="00F460C6"/>
    <w:rsid w:val="00F46FF1"/>
    <w:rsid w:val="00F51269"/>
    <w:rsid w:val="00F52AB4"/>
    <w:rsid w:val="00F53F71"/>
    <w:rsid w:val="00F5488E"/>
    <w:rsid w:val="00F5779B"/>
    <w:rsid w:val="00F62C97"/>
    <w:rsid w:val="00F6426E"/>
    <w:rsid w:val="00F649B9"/>
    <w:rsid w:val="00F676F6"/>
    <w:rsid w:val="00F71C53"/>
    <w:rsid w:val="00F72077"/>
    <w:rsid w:val="00F72759"/>
    <w:rsid w:val="00F73E27"/>
    <w:rsid w:val="00F77737"/>
    <w:rsid w:val="00F8522B"/>
    <w:rsid w:val="00F854F5"/>
    <w:rsid w:val="00F9258C"/>
    <w:rsid w:val="00F9330D"/>
    <w:rsid w:val="00F9585D"/>
    <w:rsid w:val="00F9708D"/>
    <w:rsid w:val="00FB07F1"/>
    <w:rsid w:val="00FB15CF"/>
    <w:rsid w:val="00FB31F0"/>
    <w:rsid w:val="00FB35B9"/>
    <w:rsid w:val="00FB49A7"/>
    <w:rsid w:val="00FB4DE8"/>
    <w:rsid w:val="00FB5512"/>
    <w:rsid w:val="00FB6CEA"/>
    <w:rsid w:val="00FB7B3F"/>
    <w:rsid w:val="00FC0350"/>
    <w:rsid w:val="00FC47F2"/>
    <w:rsid w:val="00FC4AEC"/>
    <w:rsid w:val="00FC4F2E"/>
    <w:rsid w:val="00FC5D20"/>
    <w:rsid w:val="00FC6BF7"/>
    <w:rsid w:val="00FC73B8"/>
    <w:rsid w:val="00FD0863"/>
    <w:rsid w:val="00FD3149"/>
    <w:rsid w:val="00FD31BA"/>
    <w:rsid w:val="00FD6475"/>
    <w:rsid w:val="00FE199C"/>
    <w:rsid w:val="00FE2719"/>
    <w:rsid w:val="00FE2FBA"/>
    <w:rsid w:val="00FE36BD"/>
    <w:rsid w:val="00FE4663"/>
    <w:rsid w:val="00FE6A64"/>
    <w:rsid w:val="00FF1A69"/>
    <w:rsid w:val="00FF2A1A"/>
    <w:rsid w:val="00FF2AB7"/>
    <w:rsid w:val="00FF4C4D"/>
    <w:rsid w:val="00FF644F"/>
    <w:rsid w:val="00FF64E9"/>
    <w:rsid w:val="02512FF3"/>
    <w:rsid w:val="1B9866E6"/>
    <w:rsid w:val="1E1A30E6"/>
    <w:rsid w:val="23375383"/>
    <w:rsid w:val="37B74EA7"/>
    <w:rsid w:val="3E4742B1"/>
    <w:rsid w:val="62F54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F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51BFA"/>
    <w:pPr>
      <w:keepNext/>
      <w:keepLines/>
      <w:spacing w:before="340" w:after="330" w:line="576" w:lineRule="auto"/>
      <w:outlineLvl w:val="0"/>
    </w:pPr>
    <w:rPr>
      <w:b/>
      <w:kern w:val="44"/>
      <w:sz w:val="44"/>
    </w:rPr>
  </w:style>
  <w:style w:type="paragraph" w:styleId="2">
    <w:name w:val="heading 2"/>
    <w:basedOn w:val="a"/>
    <w:next w:val="a"/>
    <w:link w:val="2Char"/>
    <w:unhideWhenUsed/>
    <w:qFormat/>
    <w:rsid w:val="00651BF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51BFA"/>
    <w:pPr>
      <w:ind w:firstLine="200"/>
    </w:pPr>
    <w:rPr>
      <w:rFonts w:ascii="仿宋_GB2312" w:eastAsia="仿宋_GB2312"/>
      <w:sz w:val="30"/>
      <w:szCs w:val="22"/>
    </w:rPr>
  </w:style>
  <w:style w:type="paragraph" w:styleId="20">
    <w:name w:val="Body Text Indent 2"/>
    <w:basedOn w:val="a"/>
    <w:link w:val="2Char0"/>
    <w:qFormat/>
    <w:rsid w:val="00651BFA"/>
    <w:pPr>
      <w:spacing w:after="120" w:line="480" w:lineRule="auto"/>
      <w:ind w:leftChars="200" w:left="420"/>
    </w:pPr>
  </w:style>
  <w:style w:type="paragraph" w:styleId="a4">
    <w:name w:val="Balloon Text"/>
    <w:basedOn w:val="a"/>
    <w:link w:val="Char0"/>
    <w:uiPriority w:val="99"/>
    <w:semiHidden/>
    <w:unhideWhenUsed/>
    <w:qFormat/>
    <w:rsid w:val="00651BFA"/>
    <w:rPr>
      <w:sz w:val="18"/>
      <w:szCs w:val="18"/>
    </w:rPr>
  </w:style>
  <w:style w:type="paragraph" w:styleId="a5">
    <w:name w:val="footer"/>
    <w:basedOn w:val="a"/>
    <w:link w:val="Char1"/>
    <w:qFormat/>
    <w:rsid w:val="00651BFA"/>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651BF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651BFA"/>
  </w:style>
  <w:style w:type="paragraph" w:styleId="21">
    <w:name w:val="toc 2"/>
    <w:basedOn w:val="a"/>
    <w:next w:val="a"/>
    <w:qFormat/>
    <w:rsid w:val="00651BFA"/>
    <w:pPr>
      <w:ind w:leftChars="200" w:left="420"/>
    </w:pPr>
  </w:style>
  <w:style w:type="character" w:styleId="a7">
    <w:name w:val="page number"/>
    <w:basedOn w:val="a0"/>
    <w:qFormat/>
    <w:rsid w:val="00651BFA"/>
  </w:style>
  <w:style w:type="character" w:customStyle="1" w:styleId="1Char">
    <w:name w:val="标题 1 Char"/>
    <w:basedOn w:val="a0"/>
    <w:link w:val="1"/>
    <w:qFormat/>
    <w:rsid w:val="00651BFA"/>
    <w:rPr>
      <w:rFonts w:ascii="Times New Roman" w:eastAsia="宋体" w:hAnsi="Times New Roman" w:cs="Times New Roman"/>
      <w:b/>
      <w:kern w:val="44"/>
      <w:sz w:val="44"/>
      <w:szCs w:val="24"/>
    </w:rPr>
  </w:style>
  <w:style w:type="character" w:customStyle="1" w:styleId="2Char">
    <w:name w:val="标题 2 Char"/>
    <w:basedOn w:val="a0"/>
    <w:link w:val="2"/>
    <w:qFormat/>
    <w:rsid w:val="00651BFA"/>
    <w:rPr>
      <w:rFonts w:ascii="Arial" w:eastAsia="黑体" w:hAnsi="Arial" w:cs="Times New Roman"/>
      <w:b/>
      <w:sz w:val="32"/>
      <w:szCs w:val="24"/>
    </w:rPr>
  </w:style>
  <w:style w:type="character" w:customStyle="1" w:styleId="Char">
    <w:name w:val="正文文本 Char"/>
    <w:basedOn w:val="a0"/>
    <w:link w:val="a3"/>
    <w:uiPriority w:val="99"/>
    <w:qFormat/>
    <w:rsid w:val="00651BFA"/>
    <w:rPr>
      <w:rFonts w:ascii="仿宋_GB2312" w:eastAsia="仿宋_GB2312" w:hAnsi="Times New Roman" w:cs="Times New Roman"/>
      <w:sz w:val="30"/>
    </w:rPr>
  </w:style>
  <w:style w:type="character" w:customStyle="1" w:styleId="2Char0">
    <w:name w:val="正文文本缩进 2 Char"/>
    <w:basedOn w:val="a0"/>
    <w:link w:val="20"/>
    <w:qFormat/>
    <w:rsid w:val="00651BFA"/>
    <w:rPr>
      <w:rFonts w:ascii="Times New Roman" w:eastAsia="宋体" w:hAnsi="Times New Roman" w:cs="Times New Roman"/>
      <w:szCs w:val="24"/>
    </w:rPr>
  </w:style>
  <w:style w:type="character" w:customStyle="1" w:styleId="Char1">
    <w:name w:val="页脚 Char"/>
    <w:basedOn w:val="a0"/>
    <w:link w:val="a5"/>
    <w:qFormat/>
    <w:rsid w:val="00651BFA"/>
    <w:rPr>
      <w:rFonts w:ascii="Times New Roman" w:eastAsia="宋体" w:hAnsi="Times New Roman" w:cs="Times New Roman"/>
      <w:sz w:val="18"/>
      <w:szCs w:val="18"/>
    </w:rPr>
  </w:style>
  <w:style w:type="character" w:customStyle="1" w:styleId="Char2">
    <w:name w:val="页眉 Char"/>
    <w:basedOn w:val="a0"/>
    <w:link w:val="a6"/>
    <w:uiPriority w:val="99"/>
    <w:semiHidden/>
    <w:qFormat/>
    <w:rsid w:val="00651BFA"/>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651BFA"/>
    <w:rPr>
      <w:rFonts w:ascii="Times New Roman" w:eastAsia="宋体" w:hAnsi="Times New Roman" w:cs="Times New Roman"/>
      <w:kern w:val="2"/>
      <w:sz w:val="18"/>
      <w:szCs w:val="18"/>
    </w:rPr>
  </w:style>
  <w:style w:type="paragraph" w:styleId="a8">
    <w:name w:val="List Paragraph"/>
    <w:basedOn w:val="a"/>
    <w:uiPriority w:val="99"/>
    <w:unhideWhenUsed/>
    <w:rsid w:val="00F52AB4"/>
    <w:pPr>
      <w:ind w:firstLineChars="200" w:firstLine="420"/>
    </w:pPr>
  </w:style>
</w:styles>
</file>

<file path=word/webSettings.xml><?xml version="1.0" encoding="utf-8"?>
<w:webSettings xmlns:r="http://schemas.openxmlformats.org/officeDocument/2006/relationships" xmlns:w="http://schemas.openxmlformats.org/wordprocessingml/2006/main">
  <w:divs>
    <w:div w:id="1280456321">
      <w:bodyDiv w:val="1"/>
      <w:marLeft w:val="0"/>
      <w:marRight w:val="0"/>
      <w:marTop w:val="0"/>
      <w:marBottom w:val="0"/>
      <w:divBdr>
        <w:top w:val="none" w:sz="0" w:space="0" w:color="auto"/>
        <w:left w:val="none" w:sz="0" w:space="0" w:color="auto"/>
        <w:bottom w:val="none" w:sz="0" w:space="0" w:color="auto"/>
        <w:right w:val="none" w:sz="0" w:space="0" w:color="auto"/>
      </w:divBdr>
    </w:div>
    <w:div w:id="1496988641">
      <w:bodyDiv w:val="1"/>
      <w:marLeft w:val="0"/>
      <w:marRight w:val="0"/>
      <w:marTop w:val="0"/>
      <w:marBottom w:val="0"/>
      <w:divBdr>
        <w:top w:val="none" w:sz="0" w:space="0" w:color="auto"/>
        <w:left w:val="none" w:sz="0" w:space="0" w:color="auto"/>
        <w:bottom w:val="none" w:sz="0" w:space="0" w:color="auto"/>
        <w:right w:val="none" w:sz="0" w:space="0" w:color="auto"/>
      </w:divBdr>
    </w:div>
    <w:div w:id="191334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CE5A7-1B91-4E0C-BDB2-D05E2041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11932</Words>
  <Characters>1108</Characters>
  <Application>Microsoft Office Word</Application>
  <DocSecurity>0</DocSecurity>
  <Lines>9</Lines>
  <Paragraphs>26</Paragraphs>
  <ScaleCrop>false</ScaleCrop>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王欣宇</dc:creator>
  <cp:lastModifiedBy>董妮娅</cp:lastModifiedBy>
  <cp:revision>7</cp:revision>
  <cp:lastPrinted>2023-08-18T07:01:00Z</cp:lastPrinted>
  <dcterms:created xsi:type="dcterms:W3CDTF">2023-08-21T06:52:00Z</dcterms:created>
  <dcterms:modified xsi:type="dcterms:W3CDTF">2023-08-22T02:06:00Z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22B8653575AD408F8557F8EB36C89CB7_13</vt:lpwstr>
  </property>
</Properties>
</file>