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北京市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交通委员会</w:t>
      </w:r>
      <w:r>
        <w:rPr>
          <w:rFonts w:hint="eastAsia" w:ascii="华文中宋" w:hAnsi="华文中宋" w:eastAsia="华文中宋"/>
          <w:sz w:val="36"/>
          <w:szCs w:val="36"/>
        </w:rPr>
        <w:t>行政职权运行通用责任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清单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2"/>
        <w:tblW w:w="8536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843"/>
        <w:gridCol w:w="5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53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、行政确认类行政职权运行通用责任清单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运行环节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责任事项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(一)受理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对符合确认条件的,当场受理。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  申请材料不齐全或者不符合法定形式的,应当一次性告知申请人需要补正的全部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内容和合理的补正期限。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对不符合受理条件的,应当书面告知办理人不予办理行政确认的理由和依据。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(二)确认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在法定期限(承诺期限)内完成确认。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严格按照流程图规定进行研究确认,不得提高确认标准、扩大确认范围等。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按照一定的技术规范要求以书面形式作出决定,并发放确认文书。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不符合确认要求的不予确认,并说明理由。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(三)送达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送达程序参照民事诉讼法有关规定执行。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(四)事后监管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建立健全事后监管制度,依法履行监督责任。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ZTJmYThiYmI3YzcxMWFiYzBiYTNmOWNiN2I1Y2YifQ=="/>
  </w:docVars>
  <w:rsids>
    <w:rsidRoot w:val="29B77CF1"/>
    <w:rsid w:val="1B171298"/>
    <w:rsid w:val="1D8F0099"/>
    <w:rsid w:val="29B77CF1"/>
    <w:rsid w:val="2D4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3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2022-12-27T06:00:00Z</dcterms:created>
  <dc:creator>高妹纸</dc:creator>
  <cp:lastModifiedBy>高妹纸</cp:lastModifiedBy>
  <dcterms:modified xsi:type="dcterms:W3CDTF">2022-12-27T06:31:34Z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86F7E5860BB74B6F9B6F21500EC0237E</vt:lpwstr>
  </property>
</Properties>
</file>